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136"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5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SCHEDULE 14A INFORMATION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right="4620" w:firstLine="8"/>
        <w:spacing w:after="0" w:line="216" w:lineRule="exact"/>
        <w:tabs>
          <w:tab w:leader="none" w:pos="58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60" w:hanging="571"/>
        <w:spacing w:after="0" w:line="239"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6"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580" w:hanging="572"/>
        <w:spacing w:after="0" w:line="239" w:lineRule="auto"/>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-3271520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-2988310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-2576830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-2293620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-1916430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-1461770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-716280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-433070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-149860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132715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7203440" cy="9262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9262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1506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5060" cy="3257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April 17, 2017</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139065</wp:posOffset>
            </wp:positionV>
            <wp:extent cx="1320800" cy="2032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2032635"/>
                    </a:xfrm>
                    <a:prstGeom prst="rect">
                      <a:avLst/>
                    </a:prstGeom>
                    <a:noFill/>
                  </pic:spPr>
                </pic:pic>
              </a:graphicData>
            </a:graphic>
          </wp:anchor>
        </w:drawing>
      </w:r>
    </w:p>
    <w:p>
      <w:pPr>
        <w:spacing w:after="0" w:line="201" w:lineRule="exact"/>
        <w:rPr>
          <w:sz w:val="20"/>
          <w:szCs w:val="20"/>
          <w:color w:val="auto"/>
        </w:rPr>
      </w:pPr>
    </w:p>
    <w:p>
      <w:pPr>
        <w:jc w:val="both"/>
        <w:ind w:right="2740"/>
        <w:spacing w:after="0" w:line="260" w:lineRule="auto"/>
        <w:rPr>
          <w:sz w:val="20"/>
          <w:szCs w:val="20"/>
          <w:color w:val="auto"/>
        </w:rPr>
      </w:pPr>
      <w:r>
        <w:rPr>
          <w:rFonts w:ascii="Arial" w:cs="Arial" w:eastAsia="Arial" w:hAnsi="Arial"/>
          <w:sz w:val="16"/>
          <w:szCs w:val="16"/>
          <w:color w:val="auto"/>
        </w:rPr>
        <w:t>On behalf of the Martin Marietta Board of Directors and executive officers, it is my pleasure to invite you to our 2017 Annual Meeting of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Strong Financial Performance</w:t>
      </w:r>
    </w:p>
    <w:p>
      <w:pPr>
        <w:spacing w:after="0" w:line="22" w:lineRule="exact"/>
        <w:rPr>
          <w:sz w:val="20"/>
          <w:szCs w:val="20"/>
          <w:color w:val="auto"/>
        </w:rPr>
      </w:pPr>
    </w:p>
    <w:p>
      <w:pPr>
        <w:jc w:val="both"/>
        <w:ind w:right="2720"/>
        <w:spacing w:after="0" w:line="250" w:lineRule="auto"/>
        <w:rPr>
          <w:sz w:val="20"/>
          <w:szCs w:val="20"/>
          <w:color w:val="auto"/>
        </w:rPr>
      </w:pPr>
      <w:r>
        <w:rPr>
          <w:rFonts w:ascii="Arial" w:cs="Arial" w:eastAsia="Arial" w:hAnsi="Arial"/>
          <w:sz w:val="16"/>
          <w:szCs w:val="16"/>
          <w:color w:val="auto"/>
        </w:rPr>
        <w:t>2016 was an exceptional year for Martin Marietta. We established several new financial records and demonstrated the earnings power of our strategically-positioned assets, driven by a more durable, construction-centric recovery. Our record performance and market position yielded strong returns for our shareholders, delivering a 64% total shareholder return, the 9th best in the S&amp;P 500. And, as always, we achieved these results while remaining committed to the safety, ethics, integrity and values that are the hallmark of Martin Marietta.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Engagement</w:t>
      </w:r>
    </w:p>
    <w:p>
      <w:pPr>
        <w:spacing w:after="0" w:line="22" w:lineRule="exact"/>
        <w:rPr>
          <w:sz w:val="20"/>
          <w:szCs w:val="20"/>
          <w:color w:val="auto"/>
        </w:rPr>
      </w:pPr>
    </w:p>
    <w:p>
      <w:pPr>
        <w:jc w:val="both"/>
        <w:ind w:right="2720"/>
        <w:spacing w:after="0" w:line="249" w:lineRule="auto"/>
        <w:rPr>
          <w:sz w:val="20"/>
          <w:szCs w:val="20"/>
          <w:color w:val="auto"/>
        </w:rPr>
      </w:pPr>
      <w:r>
        <w:rPr>
          <w:rFonts w:ascii="Arial" w:cs="Arial" w:eastAsia="Arial" w:hAnsi="Arial"/>
          <w:sz w:val="16"/>
          <w:szCs w:val="16"/>
          <w:color w:val="auto"/>
        </w:rPr>
        <w:t>We held an Investor Day in Dallas, Texas in 2016. Management provided overviews of our accomplishments relative to our five-year Strategic Operating Analysis and Review (“SOAR 2020”), outlined generally objectives for SOAR 2020 and offered a snapshot of the potential earnings power of the business. However, Texas was, literally, the show’s star. Presentations from our regional management provided insight into the fundamental drivers of the Texas economy. Operations tours were provided at both the Bridgeport/Chico Quarry Complex as well as the Midlothian Cement Plant, including facilities that were added in our recent acquisition of Texas Industries.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investor outreach in 2016 extended to 127 meetings with 314 investor groups, and conversations with most of our top 20 shareholders. We visited with our shareholders across the United States and in Toronto, Frankfurt, London, Edinburgh and Paris. We also issued our second Sustainability Report in 2016 - “</w:t>
      </w:r>
      <w:r>
        <w:rPr>
          <w:rFonts w:ascii="Arial" w:cs="Arial" w:eastAsia="Arial" w:hAnsi="Arial"/>
          <w:sz w:val="16"/>
          <w:szCs w:val="16"/>
          <w:i w:val="1"/>
          <w:iCs w:val="1"/>
          <w:color w:val="auto"/>
        </w:rPr>
        <w:t>Building Solid Foundations – Partnering for Stronger Communities</w:t>
      </w:r>
      <w:r>
        <w:rPr>
          <w:rFonts w:ascii="Arial" w:cs="Arial" w:eastAsia="Arial" w:hAnsi="Arial"/>
          <w:sz w:val="16"/>
          <w:szCs w:val="16"/>
          <w:color w:val="auto"/>
        </w:rPr>
        <w:t>” - in response to our shareholders’ request that we share our story on the efforts and improvements we are making in this important aspect. From our world-class safety programs and performance, to our targeted and intentional support of education and health, and environmental programs that ensure operational excellence, we have a solid foundation and an exciting opportunity to build upon.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Developments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were several important changes to our corporate governance in 2016. First, shareholders approved amendments to our Articles of Incorporation that provide for annual elections of directors. Second, the Board did not renew the shareholder rights plan that expired in October 2016. Our Board continues to review our governance policies to ensure we are able to create appropriate value for our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Member Changes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this year’s meeting, William E. McDonald will retire in accordance with the mandatory retirement provision in our bylaws. We wish Bill well in retirement and are extremely grateful for his steady guidance and thoughtful leadership given generously through his 21 years on our Board.</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added two new Board members in 2016, namely John J. Koraleski, former Chairman and CEO of Union Pacific Railroad, and Donald W. Slager, President and CEO of Republic Services. We are delighted to have both Jack and Don, who each bring strong backgrounds and experience with publicly-traded companies to provide their insights into our Board mix.</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Voting</w:t>
      </w:r>
    </w:p>
    <w:p>
      <w:pPr>
        <w:spacing w:after="0" w:line="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Because </w:t>
      </w:r>
      <w:r>
        <w:rPr>
          <w:rFonts w:ascii="Arial" w:cs="Arial" w:eastAsia="Arial" w:hAnsi="Arial"/>
          <w:sz w:val="16"/>
          <w:szCs w:val="16"/>
          <w:i w:val="1"/>
          <w:iCs w:val="1"/>
          <w:color w:val="auto"/>
        </w:rPr>
        <w:t>your</w:t>
      </w:r>
      <w:r>
        <w:rPr>
          <w:rFonts w:ascii="Arial" w:cs="Arial" w:eastAsia="Arial" w:hAnsi="Arial"/>
          <w:sz w:val="16"/>
          <w:szCs w:val="16"/>
          <w:color w:val="auto"/>
        </w:rPr>
        <w:t xml:space="preserve"> proxy vote matters, I urge you to cast it promptly — even if you plan to attend the Annual Meeting. We encourage you to vote so that your shares will be represented and voted at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Martin Marietta.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191895"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Howard Nye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 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007CBA"/>
        </w:rPr>
        <w:t>MARTIN MARIETTA MATERIALS, INC.</w:t>
      </w:r>
    </w:p>
    <w:p>
      <w:pPr>
        <w:spacing w:after="0" w:line="16"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07CBA"/>
        </w:rPr>
        <w:t>2710 Wycliff Road, Raleigh, North Carolina 27607</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CBA"/>
        </w:rPr>
        <w:t>Notice of Annual Meeting of Shareholders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CBA"/>
        </w:rPr>
        <w:t>To Be Held May 18, 2017</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Annual Meeting of Shareholders of Martin Marietta Materials, Inc. will be held on Thursday, May 18, 2017, at 11:30 a.m. at our principal office located at 2710 Wycliff Road, Raleigh, North Carolina. At the meeting, the holders of our outstanding common stock will act on the following matters:</w:t>
      </w:r>
    </w:p>
    <w:p>
      <w:pPr>
        <w:spacing w:after="0" w:line="196" w:lineRule="exact"/>
        <w:rPr>
          <w:sz w:val="20"/>
          <w:szCs w:val="20"/>
          <w:color w:val="auto"/>
        </w:rPr>
      </w:pPr>
    </w:p>
    <w:p>
      <w:pPr>
        <w:ind w:left="800" w:hanging="454"/>
        <w:spacing w:after="0" w:line="260"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Election as Directors the four (4) nominees named in the attached proxy statement, each to serve their respective term as described in the attached proxy statement, and until their successors are duly elected and qualified;</w:t>
      </w:r>
    </w:p>
    <w:p>
      <w:pPr>
        <w:spacing w:after="0" w:line="195"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the appointment of PricewaterhouseCoopers LLP as independent auditors for 2017;</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to approve the compensation of our named executive officers;</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to select the frequency of future shareholder votes to approve the compensation of our named executive officers;</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shareholder proposal described in the accompanying proxy statement, if properly presented at the Annual Meeting; and</w:t>
      </w:r>
    </w:p>
    <w:p>
      <w:pPr>
        <w:spacing w:after="0" w:line="221"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other business that may properly come before the meeting.</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All holders of record of Martin Marietta common stock (NYSE: MLM) at the close of business on March 10, 2017 are entitled to notice of and to vote at the Annual Meeting and any adjournments or postponements of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have enclosed our 2016 Annual Report to Shareholders. The report is not part of the proxy soliciting materials for the Annual Meeting.</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Whether or not you expect to attend the meeting, we hope you will </w:t>
      </w:r>
      <w:r>
        <w:rPr>
          <w:rFonts w:ascii="Arial" w:cs="Arial" w:eastAsia="Arial" w:hAnsi="Arial"/>
          <w:sz w:val="16"/>
          <w:szCs w:val="16"/>
          <w:b w:val="1"/>
          <w:bCs w:val="1"/>
          <w:color w:val="auto"/>
        </w:rPr>
        <w:t>date and sign the enclosed proxy card</w:t>
      </w:r>
      <w:r>
        <w:rPr>
          <w:rFonts w:ascii="Arial" w:cs="Arial" w:eastAsia="Arial" w:hAnsi="Arial"/>
          <w:sz w:val="16"/>
          <w:szCs w:val="16"/>
          <w:color w:val="auto"/>
        </w:rPr>
        <w:t xml:space="preserve"> and mail it promptly in the enclosed stamped envelope. Submitting your proxy now will not prevent you from voting your shares at the meeting, as your proxy is revocable at your option.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20904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90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Roselyn R. Bar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Counsel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17, 2017</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SHAREHOLDER MEETING TO BE HELD ON MAY 18, 2017: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Martin Marietta’s proxy statement, form of proxy card and 2016 Annual Report to Shareholders are also available at </w:t>
      </w:r>
      <w:r>
        <w:rPr>
          <w:rFonts w:ascii="Arial" w:cs="Arial" w:eastAsia="Arial" w:hAnsi="Arial"/>
          <w:sz w:val="16"/>
          <w:szCs w:val="16"/>
          <w:i w:val="1"/>
          <w:iCs w:val="1"/>
          <w:color w:val="auto"/>
        </w:rPr>
        <w:t>ir.martinmarietta.com/reports.cfm</w:t>
      </w:r>
      <w:r>
        <w:rPr>
          <w:rFonts w:ascii="Arial" w:cs="Arial" w:eastAsia="Arial" w:hAnsi="Arial"/>
          <w:sz w:val="16"/>
          <w:szCs w:val="16"/>
          <w:color w:val="auto"/>
        </w:rPr>
        <w:t>.</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42"/>
          <w:szCs w:val="42"/>
          <w:color w:val="auto"/>
        </w:rPr>
        <w:t>Table of Contents</w:t>
      </w:r>
    </w:p>
    <w:p>
      <w:pPr>
        <w:sectPr>
          <w:pgSz w:w="11900" w:h="16838" w:orient="portrait"/>
          <w:cols w:equalWidth="0" w:num="1">
            <w:col w:w="11240"/>
          </w:cols>
          <w:pgMar w:left="240" w:top="459" w:right="41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Proxy Summary</w:t>
        </w:r>
      </w:hyperlink>
    </w:p>
    <w:p>
      <w:pPr>
        <w:spacing w:after="0" w:line="310" w:lineRule="exact"/>
        <w:rPr>
          <w:sz w:val="20"/>
          <w:szCs w:val="20"/>
          <w:color w:val="auto"/>
        </w:rPr>
      </w:pPr>
    </w:p>
    <w:p>
      <w:pPr>
        <w:ind w:left="20"/>
        <w:spacing w:after="0"/>
        <w:rPr>
          <w:rFonts w:ascii="Arial" w:cs="Arial" w:eastAsia="Arial" w:hAnsi="Arial"/>
          <w:sz w:val="20"/>
          <w:szCs w:val="20"/>
          <w:u w:val="single" w:color="auto"/>
          <w:color w:val="0000EE"/>
        </w:rPr>
      </w:pPr>
      <w:hyperlink w:anchor="page11">
        <w:r>
          <w:rPr>
            <w:rFonts w:ascii="Arial" w:cs="Arial" w:eastAsia="Arial" w:hAnsi="Arial"/>
            <w:sz w:val="20"/>
            <w:szCs w:val="20"/>
            <w:u w:val="single" w:color="auto"/>
            <w:color w:val="0000EE"/>
          </w:rPr>
          <w:t>The Board of Directors</w:t>
        </w:r>
      </w:hyperlink>
    </w:p>
    <w:p>
      <w:pPr>
        <w:spacing w:after="0" w:line="310" w:lineRule="exact"/>
        <w:rPr>
          <w:sz w:val="20"/>
          <w:szCs w:val="20"/>
          <w:color w:val="auto"/>
        </w:rPr>
      </w:pPr>
    </w:p>
    <w:p>
      <w:pPr>
        <w:ind w:left="20"/>
        <w:spacing w:after="0"/>
        <w:rPr>
          <w:rFonts w:ascii="Arial" w:cs="Arial" w:eastAsia="Arial" w:hAnsi="Arial"/>
          <w:sz w:val="20"/>
          <w:szCs w:val="20"/>
          <w:u w:val="single" w:color="auto"/>
          <w:color w:val="0000EE"/>
        </w:rPr>
      </w:pPr>
      <w:hyperlink w:anchor="page12">
        <w:r>
          <w:rPr>
            <w:rFonts w:ascii="Arial" w:cs="Arial" w:eastAsia="Arial" w:hAnsi="Arial"/>
            <w:sz w:val="20"/>
            <w:szCs w:val="20"/>
            <w:u w:val="single" w:color="auto"/>
            <w:color w:val="0000EE"/>
          </w:rPr>
          <w:t>Proposal 1 – Election of Directors</w:t>
        </w:r>
      </w:hyperlink>
    </w:p>
    <w:p>
      <w:pPr>
        <w:spacing w:after="0" w:line="59" w:lineRule="exact"/>
        <w:rPr>
          <w:sz w:val="20"/>
          <w:szCs w:val="20"/>
          <w:color w:val="auto"/>
        </w:rPr>
      </w:pPr>
    </w:p>
    <w:p>
      <w:pPr>
        <w:ind w:left="34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Director Compensation</w:t>
        </w:r>
      </w:hyperlink>
    </w:p>
    <w:p>
      <w:pPr>
        <w:spacing w:after="0" w:line="324" w:lineRule="exact"/>
        <w:rPr>
          <w:sz w:val="20"/>
          <w:szCs w:val="20"/>
          <w:color w:val="auto"/>
        </w:rPr>
      </w:pPr>
    </w:p>
    <w:p>
      <w:pPr>
        <w:ind w:left="20"/>
        <w:spacing w:after="0" w:line="236" w:lineRule="auto"/>
        <w:rPr>
          <w:rFonts w:ascii="Arial" w:cs="Arial" w:eastAsia="Arial" w:hAnsi="Arial"/>
          <w:sz w:val="20"/>
          <w:szCs w:val="20"/>
          <w:u w:val="single" w:color="auto"/>
          <w:color w:val="0000EE"/>
        </w:rPr>
      </w:pPr>
      <w:hyperlink w:anchor="page18">
        <w:r>
          <w:rPr>
            <w:rFonts w:ascii="Arial" w:cs="Arial" w:eastAsia="Arial" w:hAnsi="Arial"/>
            <w:sz w:val="20"/>
            <w:szCs w:val="20"/>
            <w:u w:val="single" w:color="auto"/>
            <w:color w:val="0000EE"/>
          </w:rPr>
          <w:t>Security Ownership of Certain Beneficial Owners and</w:t>
        </w:r>
      </w:hyperlink>
      <w:r>
        <w:rPr>
          <w:rFonts w:ascii="Arial" w:cs="Arial" w:eastAsia="Arial" w:hAnsi="Arial"/>
          <w:sz w:val="20"/>
          <w:szCs w:val="20"/>
          <w:u w:val="single" w:color="auto"/>
          <w:color w:val="0000EE"/>
        </w:rPr>
        <w:t xml:space="preserve"> </w:t>
      </w:r>
      <w:hyperlink w:anchor="page18">
        <w:r>
          <w:rPr>
            <w:rFonts w:ascii="Arial" w:cs="Arial" w:eastAsia="Arial" w:hAnsi="Arial"/>
            <w:sz w:val="20"/>
            <w:szCs w:val="20"/>
            <w:u w:val="single" w:color="auto"/>
            <w:color w:val="0000EE"/>
          </w:rPr>
          <w:t>Management</w:t>
        </w:r>
      </w:hyperlink>
    </w:p>
    <w:p>
      <w:pPr>
        <w:spacing w:after="0" w:line="53" w:lineRule="exact"/>
        <w:rPr>
          <w:sz w:val="20"/>
          <w:szCs w:val="20"/>
          <w:color w:val="auto"/>
        </w:rPr>
      </w:pPr>
    </w:p>
    <w:p>
      <w:pPr>
        <w:ind w:left="34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Section 16(a) Beneficial Ownership Reporting Compliance</w:t>
        </w:r>
      </w:hyperlink>
    </w:p>
    <w:p>
      <w:pPr>
        <w:spacing w:after="0" w:line="324" w:lineRule="exact"/>
        <w:rPr>
          <w:sz w:val="20"/>
          <w:szCs w:val="20"/>
          <w:color w:val="auto"/>
        </w:rPr>
      </w:pPr>
    </w:p>
    <w:p>
      <w:pPr>
        <w:ind w:left="20"/>
        <w:spacing w:after="0"/>
        <w:rPr>
          <w:rFonts w:ascii="Arial" w:cs="Arial" w:eastAsia="Arial" w:hAnsi="Arial"/>
          <w:sz w:val="20"/>
          <w:szCs w:val="20"/>
          <w:u w:val="single" w:color="auto"/>
          <w:color w:val="0000EE"/>
        </w:rPr>
      </w:pPr>
      <w:hyperlink w:anchor="page20">
        <w:r>
          <w:rPr>
            <w:rFonts w:ascii="Arial" w:cs="Arial" w:eastAsia="Arial" w:hAnsi="Arial"/>
            <w:sz w:val="20"/>
            <w:szCs w:val="20"/>
            <w:u w:val="single" w:color="auto"/>
            <w:color w:val="0000EE"/>
          </w:rPr>
          <w:t>Corporate Governance Matters</w:t>
        </w:r>
      </w:hyperlink>
    </w:p>
    <w:p>
      <w:pPr>
        <w:spacing w:after="0" w:line="59" w:lineRule="exact"/>
        <w:rPr>
          <w:sz w:val="20"/>
          <w:szCs w:val="20"/>
          <w:color w:val="auto"/>
        </w:rPr>
      </w:pPr>
    </w:p>
    <w:p>
      <w:pPr>
        <w:ind w:left="340"/>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Corporate Governance Philosophy</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Board Committees</w:t>
        </w:r>
      </w:hyperlink>
    </w:p>
    <w:p>
      <w:pPr>
        <w:spacing w:after="0" w:line="324" w:lineRule="exact"/>
        <w:rPr>
          <w:sz w:val="20"/>
          <w:szCs w:val="20"/>
          <w:color w:val="auto"/>
        </w:rPr>
      </w:pPr>
    </w:p>
    <w:p>
      <w:pPr>
        <w:ind w:left="20"/>
        <w:spacing w:after="0"/>
        <w:rPr>
          <w:rFonts w:ascii="Arial" w:cs="Arial" w:eastAsia="Arial" w:hAnsi="Arial"/>
          <w:sz w:val="20"/>
          <w:szCs w:val="20"/>
          <w:u w:val="single" w:color="auto"/>
          <w:color w:val="0000EE"/>
        </w:rPr>
      </w:pPr>
      <w:hyperlink w:anchor="page29">
        <w:r>
          <w:rPr>
            <w:rFonts w:ascii="Arial" w:cs="Arial" w:eastAsia="Arial" w:hAnsi="Arial"/>
            <w:sz w:val="20"/>
            <w:szCs w:val="20"/>
            <w:u w:val="single" w:color="auto"/>
            <w:color w:val="0000EE"/>
          </w:rPr>
          <w:t>Proposal 2 – Independent Auditors</w:t>
        </w:r>
      </w:hyperlink>
    </w:p>
    <w:p>
      <w:pPr>
        <w:spacing w:after="0" w:line="59"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Summary of Fees</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Audit Fees</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Audit-Related Fees</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Tax Fees</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All Other Fees</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Pre-Approval Policies and Procedures</w:t>
        </w:r>
      </w:hyperlink>
    </w:p>
    <w:p>
      <w:pPr>
        <w:spacing w:after="0" w:line="73" w:lineRule="exact"/>
        <w:rPr>
          <w:sz w:val="20"/>
          <w:szCs w:val="20"/>
          <w:color w:val="auto"/>
        </w:rPr>
      </w:pPr>
    </w:p>
    <w:p>
      <w:pPr>
        <w:ind w:left="3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Audit Committee Review</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jc w:val="right"/>
              <w:ind w:right="325"/>
              <w:spacing w:after="0"/>
              <w:rPr>
                <w:sz w:val="20"/>
                <w:szCs w:val="20"/>
                <w:color w:val="auto"/>
              </w:rPr>
            </w:pPr>
            <w:r>
              <w:rPr>
                <w:rFonts w:ascii="Arial" w:cs="Arial" w:eastAsia="Arial" w:hAnsi="Arial"/>
                <w:sz w:val="20"/>
                <w:szCs w:val="20"/>
                <w:color w:val="007CBA"/>
              </w:rPr>
              <w:t>1</w:t>
            </w:r>
          </w:p>
        </w:tc>
        <w:tc>
          <w:tcPr>
            <w:tcW w:w="4580" w:type="dxa"/>
            <w:vAlign w:val="bottom"/>
            <w:gridSpan w:val="9"/>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20"/>
                <w:szCs w:val="20"/>
                <w:color w:val="007CBA"/>
              </w:rPr>
              <w:t>43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60" w:type="dxa"/>
            <w:vAlign w:val="bottom"/>
            <w:gridSpan w:val="8"/>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Executive Officer Compensation</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600" w:type="dxa"/>
            <w:vAlign w:val="bottom"/>
          </w:tcPr>
          <w:p>
            <w:pPr>
              <w:jc w:val="right"/>
              <w:ind w:right="325"/>
              <w:spacing w:after="0"/>
              <w:rPr>
                <w:sz w:val="20"/>
                <w:szCs w:val="20"/>
                <w:color w:val="auto"/>
              </w:rPr>
            </w:pPr>
            <w:r>
              <w:rPr>
                <w:rFonts w:ascii="Arial" w:cs="Arial" w:eastAsia="Arial" w:hAnsi="Arial"/>
                <w:sz w:val="20"/>
                <w:szCs w:val="20"/>
                <w:color w:val="007CBA"/>
              </w:rPr>
              <w:t>6</w:t>
            </w:r>
          </w:p>
        </w:tc>
        <w:tc>
          <w:tcPr>
            <w:tcW w:w="320" w:type="dxa"/>
            <w:vAlign w:val="bottom"/>
          </w:tcPr>
          <w:p>
            <w:pPr>
              <w:spacing w:after="0"/>
              <w:rPr>
                <w:sz w:val="20"/>
                <w:szCs w:val="20"/>
                <w:color w:val="auto"/>
              </w:rPr>
            </w:pPr>
          </w:p>
        </w:tc>
        <w:tc>
          <w:tcPr>
            <w:tcW w:w="222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9"/>
              </w:rPr>
            </w:pPr>
            <w:hyperlink w:anchor="page48">
              <w:r>
                <w:rPr>
                  <w:rFonts w:ascii="Arial" w:cs="Arial" w:eastAsia="Arial" w:hAnsi="Arial"/>
                  <w:sz w:val="16"/>
                  <w:szCs w:val="16"/>
                  <w:color w:val="0000EE"/>
                  <w:w w:val="99"/>
                </w:rPr>
                <w:t>Summary Compensation Table</w:t>
              </w:r>
            </w:hyperlink>
          </w:p>
        </w:tc>
        <w:tc>
          <w:tcPr>
            <w:tcW w:w="80" w:type="dxa"/>
            <w:vAlign w:val="bottom"/>
            <w:tcBorders>
              <w:top w:val="single" w:sz="8" w:color="0000EE"/>
              <w:bottom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60" w:type="dxa"/>
            <w:vAlign w:val="bottom"/>
            <w:gridSpan w:val="8"/>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Grants of Plan-Based Awards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vMerge w:val="restart"/>
          </w:tcPr>
          <w:p>
            <w:pPr>
              <w:jc w:val="right"/>
              <w:ind w:right="325"/>
              <w:spacing w:after="0"/>
              <w:rPr>
                <w:sz w:val="20"/>
                <w:szCs w:val="20"/>
                <w:color w:val="auto"/>
              </w:rPr>
            </w:pPr>
            <w:r>
              <w:rPr>
                <w:rFonts w:ascii="Arial" w:cs="Arial" w:eastAsia="Arial" w:hAnsi="Arial"/>
                <w:sz w:val="20"/>
                <w:szCs w:val="20"/>
                <w:color w:val="007CBA"/>
              </w:rPr>
              <w:t>7</w:t>
            </w:r>
          </w:p>
        </w:tc>
        <w:tc>
          <w:tcPr>
            <w:tcW w:w="320" w:type="dxa"/>
            <w:vAlign w:val="bottom"/>
          </w:tcPr>
          <w:p>
            <w:pPr>
              <w:spacing w:after="0"/>
              <w:rPr>
                <w:sz w:val="20"/>
                <w:szCs w:val="20"/>
                <w:color w:val="auto"/>
              </w:rPr>
            </w:pPr>
          </w:p>
        </w:tc>
        <w:tc>
          <w:tcPr>
            <w:tcW w:w="3320" w:type="dxa"/>
            <w:vAlign w:val="bottom"/>
            <w:tcBorders>
              <w:bottom w:val="single" w:sz="8" w:color="0000EE"/>
            </w:tcBorders>
            <w:gridSpan w:val="7"/>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Outstanding Equity Awards at Fiscal Year-End</w:t>
              </w:r>
            </w:hyperlink>
          </w:p>
        </w:tc>
        <w:tc>
          <w:tcPr>
            <w:tcW w:w="940" w:type="dxa"/>
            <w:vAlign w:val="bottom"/>
            <w:vMerge w:val="restart"/>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00" w:type="dxa"/>
            <w:vAlign w:val="bottom"/>
            <w:gridSpan w:val="5"/>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00" w:type="dxa"/>
            <w:vAlign w:val="bottom"/>
            <w:vMerge w:val="restart"/>
          </w:tcPr>
          <w:p>
            <w:pPr>
              <w:jc w:val="right"/>
              <w:ind w:right="325"/>
              <w:spacing w:after="0"/>
              <w:rPr>
                <w:sz w:val="20"/>
                <w:szCs w:val="20"/>
                <w:color w:val="auto"/>
              </w:rPr>
            </w:pPr>
            <w:r>
              <w:rPr>
                <w:rFonts w:ascii="Arial" w:cs="Arial" w:eastAsia="Arial" w:hAnsi="Arial"/>
                <w:sz w:val="16"/>
                <w:szCs w:val="16"/>
                <w:color w:val="auto"/>
                <w:w w:val="89"/>
              </w:rPr>
              <w:t>11</w:t>
            </w:r>
          </w:p>
        </w:tc>
        <w:tc>
          <w:tcPr>
            <w:tcW w:w="320" w:type="dxa"/>
            <w:vAlign w:val="bottom"/>
          </w:tcPr>
          <w:p>
            <w:pPr>
              <w:spacing w:after="0"/>
              <w:rPr>
                <w:sz w:val="13"/>
                <w:szCs w:val="13"/>
                <w:color w:val="auto"/>
              </w:rPr>
            </w:pPr>
          </w:p>
        </w:tc>
        <w:tc>
          <w:tcPr>
            <w:tcW w:w="4260" w:type="dxa"/>
            <w:vAlign w:val="bottom"/>
            <w:gridSpan w:val="8"/>
          </w:tcPr>
          <w:p>
            <w:pPr>
              <w:spacing w:after="0" w:line="160" w:lineRule="exact"/>
              <w:rPr>
                <w:rFonts w:ascii="Arial" w:cs="Arial" w:eastAsia="Arial" w:hAnsi="Arial"/>
                <w:sz w:val="16"/>
                <w:szCs w:val="16"/>
                <w:color w:val="0000EE"/>
              </w:rPr>
            </w:pPr>
            <w:hyperlink w:anchor="page53">
              <w:r>
                <w:rPr>
                  <w:rFonts w:ascii="Arial" w:cs="Arial" w:eastAsia="Arial" w:hAnsi="Arial"/>
                  <w:sz w:val="16"/>
                  <w:szCs w:val="16"/>
                  <w:color w:val="0000EE"/>
                </w:rPr>
                <w:t>Option Exercises and Stock Vested</w:t>
              </w:r>
            </w:hyperlink>
          </w:p>
        </w:tc>
        <w:tc>
          <w:tcPr>
            <w:tcW w:w="820" w:type="dxa"/>
            <w:vAlign w:val="bottom"/>
          </w:tcPr>
          <w:p>
            <w:pPr>
              <w:jc w:val="right"/>
              <w:spacing w:after="0" w:line="160"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69"/>
        </w:trPr>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Borders>
              <w:top w:val="single" w:sz="8" w:color="0000EE"/>
            </w:tcBorders>
            <w:vMerge w:val="restart"/>
          </w:tcPr>
          <w:p>
            <w:pPr>
              <w:spacing w:after="0"/>
              <w:rPr>
                <w:rFonts w:ascii="Arial" w:cs="Arial" w:eastAsia="Arial" w:hAnsi="Arial"/>
                <w:sz w:val="16"/>
                <w:szCs w:val="16"/>
                <w:color w:val="0000EE"/>
                <w:w w:val="99"/>
              </w:rPr>
            </w:pPr>
            <w:hyperlink w:anchor="page55">
              <w:r>
                <w:rPr>
                  <w:rFonts w:ascii="Arial" w:cs="Arial" w:eastAsia="Arial" w:hAnsi="Arial"/>
                  <w:sz w:val="16"/>
                  <w:szCs w:val="16"/>
                  <w:color w:val="0000EE"/>
                  <w:w w:val="99"/>
                </w:rPr>
                <w:t>Pension Benefits</w:t>
              </w:r>
            </w:hyperlink>
          </w:p>
        </w:tc>
        <w:tc>
          <w:tcPr>
            <w:tcW w:w="1300" w:type="dxa"/>
            <w:vAlign w:val="bottom"/>
            <w:tcBorders>
              <w:top w:val="single" w:sz="8" w:color="0000EE"/>
            </w:tcBorders>
            <w:gridSpan w:val="5"/>
            <w:vMerge w:val="restart"/>
          </w:tcPr>
          <w:p>
            <w:pPr>
              <w:spacing w:after="0"/>
              <w:rPr>
                <w:sz w:val="5"/>
                <w:szCs w:val="5"/>
                <w:color w:val="auto"/>
              </w:rPr>
            </w:pPr>
          </w:p>
        </w:tc>
        <w:tc>
          <w:tcPr>
            <w:tcW w:w="1740" w:type="dxa"/>
            <w:vAlign w:val="bottom"/>
            <w:gridSpan w:val="2"/>
            <w:vMerge w:val="restart"/>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bottom w:val="single" w:sz="8" w:color="0000EE"/>
            </w:tcBorders>
            <w:vMerge w:val="continue"/>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60" w:type="dxa"/>
            <w:vAlign w:val="bottom"/>
            <w:tcBorders>
              <w:bottom w:val="single" w:sz="8" w:color="0000EE"/>
            </w:tcBorders>
            <w:gridSpan w:val="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Potential Payments Upon Termination or Change of Control</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007CBA"/>
        </w:rPr>
        <w:t>13</w:t>
      </w:r>
    </w:p>
    <w:p>
      <w:pPr>
        <w:ind w:left="640" w:hanging="606"/>
        <w:spacing w:after="0" w:line="214" w:lineRule="auto"/>
        <w:tabs>
          <w:tab w:leader="none" w:pos="640" w:val="left"/>
        </w:tabs>
        <w:numPr>
          <w:ilvl w:val="0"/>
          <w:numId w:val="5"/>
        </w:numPr>
        <w:rPr>
          <w:rFonts w:ascii="Arial" w:cs="Arial" w:eastAsia="Arial" w:hAnsi="Arial"/>
          <w:sz w:val="20"/>
          <w:szCs w:val="20"/>
          <w:color w:val="0000EE"/>
        </w:rPr>
      </w:pPr>
      <w:hyperlink w:anchor="page60">
        <w:r>
          <w:rPr>
            <w:rFonts w:ascii="Arial" w:cs="Arial" w:eastAsia="Arial" w:hAnsi="Arial"/>
            <w:sz w:val="20"/>
            <w:szCs w:val="20"/>
            <w:color w:val="0000EE"/>
          </w:rPr>
          <w:t>Proposal 3 – Advisory Vote on the Compensation of Our</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7"/>
              </w:rPr>
            </w:pPr>
            <w:hyperlink w:anchor="page60">
              <w:r>
                <w:rPr>
                  <w:rFonts w:ascii="Arial" w:cs="Arial" w:eastAsia="Arial" w:hAnsi="Arial"/>
                  <w:sz w:val="20"/>
                  <w:szCs w:val="20"/>
                  <w:color w:val="0000EE"/>
                  <w:w w:val="97"/>
                </w:rPr>
                <w:t>Named Executive Officers</w:t>
              </w:r>
            </w:hyperlink>
          </w:p>
        </w:tc>
        <w:tc>
          <w:tcPr>
            <w:tcW w:w="2620" w:type="dxa"/>
            <w:vAlign w:val="bottom"/>
            <w:tcBorders>
              <w:top w:val="single" w:sz="8" w:color="0000EE"/>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20"/>
                <w:szCs w:val="20"/>
                <w:color w:val="007CBA"/>
              </w:rPr>
              <w:t>55</w:t>
            </w:r>
          </w:p>
        </w:tc>
        <w:tc>
          <w:tcPr>
            <w:tcW w:w="0" w:type="dxa"/>
            <w:vAlign w:val="bottom"/>
          </w:tcPr>
          <w:p>
            <w:pPr>
              <w:spacing w:after="0"/>
              <w:rPr>
                <w:sz w:val="1"/>
                <w:szCs w:val="1"/>
                <w:color w:val="auto"/>
              </w:rPr>
            </w:pPr>
          </w:p>
        </w:tc>
      </w:tr>
      <w:tr>
        <w:trPr>
          <w:trHeight w:val="362"/>
        </w:trPr>
        <w:tc>
          <w:tcPr>
            <w:tcW w:w="640" w:type="dxa"/>
            <w:vAlign w:val="bottom"/>
          </w:tcPr>
          <w:p>
            <w:pPr>
              <w:jc w:val="right"/>
              <w:ind w:right="334"/>
              <w:spacing w:after="0"/>
              <w:rPr>
                <w:sz w:val="20"/>
                <w:szCs w:val="20"/>
                <w:color w:val="auto"/>
              </w:rPr>
            </w:pPr>
            <w:r>
              <w:rPr>
                <w:rFonts w:ascii="Arial" w:cs="Arial" w:eastAsia="Arial" w:hAnsi="Arial"/>
                <w:sz w:val="20"/>
                <w:szCs w:val="20"/>
                <w:color w:val="007CBA"/>
                <w:w w:val="89"/>
              </w:rPr>
              <w:t>15</w:t>
            </w:r>
          </w:p>
        </w:tc>
        <w:tc>
          <w:tcPr>
            <w:tcW w:w="4760" w:type="dxa"/>
            <w:vAlign w:val="bottom"/>
            <w:gridSpan w:val="7"/>
            <w:vMerge w:val="restart"/>
          </w:tcPr>
          <w:p>
            <w:pPr>
              <w:spacing w:after="0"/>
              <w:rPr>
                <w:rFonts w:ascii="Arial" w:cs="Arial" w:eastAsia="Arial" w:hAnsi="Arial"/>
                <w:sz w:val="20"/>
                <w:szCs w:val="20"/>
                <w:color w:val="0000EE"/>
                <w:w w:val="98"/>
              </w:rPr>
            </w:pPr>
            <w:hyperlink w:anchor="page61">
              <w:r>
                <w:rPr>
                  <w:rFonts w:ascii="Arial" w:cs="Arial" w:eastAsia="Arial" w:hAnsi="Arial"/>
                  <w:sz w:val="20"/>
                  <w:szCs w:val="20"/>
                  <w:color w:val="0000EE"/>
                  <w:w w:val="98"/>
                </w:rPr>
                <w:t>Proposal 4 – Advisory Vote on Frequency of Executive</w:t>
              </w:r>
            </w:hyperlink>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40" w:type="dxa"/>
            <w:vAlign w:val="bottom"/>
            <w:vMerge w:val="restart"/>
          </w:tcPr>
          <w:p>
            <w:pPr>
              <w:jc w:val="right"/>
              <w:ind w:right="334"/>
              <w:spacing w:after="0"/>
              <w:rPr>
                <w:sz w:val="20"/>
                <w:szCs w:val="20"/>
                <w:color w:val="auto"/>
              </w:rPr>
            </w:pPr>
            <w:r>
              <w:rPr>
                <w:rFonts w:ascii="Arial" w:cs="Arial" w:eastAsia="Arial" w:hAnsi="Arial"/>
                <w:sz w:val="16"/>
                <w:szCs w:val="16"/>
                <w:color w:val="auto"/>
              </w:rPr>
              <w:t>15</w:t>
            </w:r>
          </w:p>
        </w:tc>
        <w:tc>
          <w:tcPr>
            <w:tcW w:w="4760" w:type="dxa"/>
            <w:vAlign w:val="bottom"/>
            <w:tcBorders>
              <w:bottom w:val="single" w:sz="8" w:color="0000EE"/>
            </w:tcBorders>
            <w:gridSpan w:val="7"/>
            <w:vMerge w:val="continue"/>
          </w:tcPr>
          <w:p>
            <w:pPr>
              <w:spacing w:after="0"/>
              <w:rPr>
                <w:sz w:val="13"/>
                <w:szCs w:val="13"/>
                <w:color w:val="auto"/>
              </w:rPr>
            </w:pPr>
          </w:p>
        </w:tc>
        <w:tc>
          <w:tcPr>
            <w:tcW w:w="1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640" w:type="dxa"/>
            <w:vAlign w:val="bottom"/>
            <w:vMerge w:val="continue"/>
          </w:tcPr>
          <w:p>
            <w:pPr>
              <w:spacing w:after="0"/>
              <w:rPr>
                <w:sz w:val="5"/>
                <w:szCs w:val="5"/>
                <w:color w:val="auto"/>
              </w:rPr>
            </w:pPr>
          </w:p>
        </w:tc>
        <w:tc>
          <w:tcPr>
            <w:tcW w:w="1720" w:type="dxa"/>
            <w:vAlign w:val="bottom"/>
            <w:gridSpan w:val="2"/>
            <w:vMerge w:val="restart"/>
          </w:tcPr>
          <w:p>
            <w:pPr>
              <w:spacing w:after="0" w:line="196" w:lineRule="exact"/>
              <w:rPr>
                <w:rFonts w:ascii="Arial" w:cs="Arial" w:eastAsia="Arial" w:hAnsi="Arial"/>
                <w:sz w:val="20"/>
                <w:szCs w:val="20"/>
                <w:color w:val="0000EE"/>
                <w:w w:val="96"/>
              </w:rPr>
            </w:pPr>
            <w:hyperlink w:anchor="page61">
              <w:r>
                <w:rPr>
                  <w:rFonts w:ascii="Arial" w:cs="Arial" w:eastAsia="Arial" w:hAnsi="Arial"/>
                  <w:sz w:val="20"/>
                  <w:szCs w:val="20"/>
                  <w:color w:val="0000EE"/>
                  <w:w w:val="96"/>
                </w:rPr>
                <w:t>Compensation Vote</w:t>
              </w:r>
            </w:hyperlink>
          </w:p>
        </w:tc>
        <w:tc>
          <w:tcPr>
            <w:tcW w:w="3340" w:type="dxa"/>
            <w:vAlign w:val="bottom"/>
            <w:gridSpan w:val="8"/>
            <w:vMerge w:val="restart"/>
          </w:tcPr>
          <w:p>
            <w:pPr>
              <w:spacing w:after="0"/>
              <w:rPr>
                <w:sz w:val="5"/>
                <w:szCs w:val="5"/>
                <w:color w:val="auto"/>
              </w:rPr>
            </w:pPr>
          </w:p>
        </w:tc>
        <w:tc>
          <w:tcPr>
            <w:tcW w:w="340" w:type="dxa"/>
            <w:vAlign w:val="bottom"/>
            <w:vMerge w:val="restart"/>
          </w:tcPr>
          <w:p>
            <w:pPr>
              <w:jc w:val="right"/>
              <w:spacing w:after="0" w:line="196" w:lineRule="exact"/>
              <w:rPr>
                <w:sz w:val="20"/>
                <w:szCs w:val="20"/>
                <w:color w:val="auto"/>
              </w:rPr>
            </w:pPr>
            <w:r>
              <w:rPr>
                <w:rFonts w:ascii="Arial" w:cs="Arial" w:eastAsia="Arial" w:hAnsi="Arial"/>
                <w:sz w:val="20"/>
                <w:szCs w:val="20"/>
                <w:color w:val="007CBA"/>
              </w:rPr>
              <w:t>56</w:t>
            </w:r>
          </w:p>
        </w:tc>
        <w:tc>
          <w:tcPr>
            <w:tcW w:w="0" w:type="dxa"/>
            <w:vAlign w:val="bottom"/>
          </w:tcPr>
          <w:p>
            <w:pPr>
              <w:spacing w:after="0"/>
              <w:rPr>
                <w:sz w:val="1"/>
                <w:szCs w:val="1"/>
                <w:color w:val="auto"/>
              </w:rPr>
            </w:pPr>
          </w:p>
        </w:tc>
      </w:tr>
      <w:tr>
        <w:trPr>
          <w:trHeight w:val="133"/>
        </w:trPr>
        <w:tc>
          <w:tcPr>
            <w:tcW w:w="640" w:type="dxa"/>
            <w:vAlign w:val="bottom"/>
            <w:vMerge w:val="restart"/>
          </w:tcPr>
          <w:p>
            <w:pPr>
              <w:jc w:val="right"/>
              <w:ind w:right="334"/>
              <w:spacing w:after="0"/>
              <w:rPr>
                <w:sz w:val="20"/>
                <w:szCs w:val="20"/>
                <w:color w:val="auto"/>
              </w:rPr>
            </w:pPr>
            <w:r>
              <w:rPr>
                <w:rFonts w:ascii="Arial" w:cs="Arial" w:eastAsia="Arial" w:hAnsi="Arial"/>
                <w:sz w:val="16"/>
                <w:szCs w:val="16"/>
                <w:color w:val="auto"/>
              </w:rPr>
              <w:t>19</w:t>
            </w:r>
          </w:p>
        </w:tc>
        <w:tc>
          <w:tcPr>
            <w:tcW w:w="1720" w:type="dxa"/>
            <w:vAlign w:val="bottom"/>
            <w:tcBorders>
              <w:bottom w:val="single" w:sz="8" w:color="0000EE"/>
            </w:tcBorders>
            <w:gridSpan w:val="2"/>
            <w:vMerge w:val="continue"/>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40" w:type="dxa"/>
            <w:vAlign w:val="bottom"/>
            <w:vMerge w:val="continue"/>
          </w:tcPr>
          <w:p>
            <w:pPr>
              <w:spacing w:after="0"/>
              <w:rPr>
                <w:sz w:val="9"/>
                <w:szCs w:val="9"/>
                <w:color w:val="auto"/>
              </w:rPr>
            </w:pPr>
          </w:p>
        </w:tc>
        <w:tc>
          <w:tcPr>
            <w:tcW w:w="4620" w:type="dxa"/>
            <w:vAlign w:val="bottom"/>
            <w:gridSpan w:val="6"/>
            <w:vMerge w:val="restart"/>
          </w:tcPr>
          <w:p>
            <w:pPr>
              <w:spacing w:after="0"/>
              <w:rPr>
                <w:rFonts w:ascii="Arial" w:cs="Arial" w:eastAsia="Arial" w:hAnsi="Arial"/>
                <w:sz w:val="20"/>
                <w:szCs w:val="20"/>
                <w:color w:val="0000EE"/>
                <w:w w:val="98"/>
              </w:rPr>
            </w:pPr>
            <w:hyperlink w:anchor="page62">
              <w:r>
                <w:rPr>
                  <w:rFonts w:ascii="Arial" w:cs="Arial" w:eastAsia="Arial" w:hAnsi="Arial"/>
                  <w:sz w:val="20"/>
                  <w:szCs w:val="20"/>
                  <w:color w:val="0000EE"/>
                  <w:w w:val="98"/>
                </w:rPr>
                <w:t>Proposal 5 – Advisory Vote on Shareholder Proposal</w:t>
              </w:r>
            </w:hyperlink>
          </w:p>
        </w:tc>
        <w:tc>
          <w:tcPr>
            <w:tcW w:w="440" w:type="dxa"/>
            <w:vAlign w:val="bottom"/>
            <w:gridSpan w:val="4"/>
            <w:vMerge w:val="restart"/>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640" w:type="dxa"/>
            <w:vAlign w:val="bottom"/>
            <w:vMerge w:val="restart"/>
          </w:tcPr>
          <w:p>
            <w:pPr>
              <w:jc w:val="right"/>
              <w:ind w:right="334"/>
              <w:spacing w:after="0"/>
              <w:rPr>
                <w:sz w:val="20"/>
                <w:szCs w:val="20"/>
                <w:color w:val="auto"/>
              </w:rPr>
            </w:pPr>
            <w:r>
              <w:rPr>
                <w:rFonts w:ascii="Arial" w:cs="Arial" w:eastAsia="Arial" w:hAnsi="Arial"/>
                <w:sz w:val="20"/>
                <w:szCs w:val="20"/>
                <w:color w:val="007CBA"/>
                <w:w w:val="89"/>
              </w:rPr>
              <w:t>24</w:t>
            </w:r>
          </w:p>
        </w:tc>
        <w:tc>
          <w:tcPr>
            <w:tcW w:w="4620" w:type="dxa"/>
            <w:vAlign w:val="bottom"/>
            <w:tcBorders>
              <w:bottom w:val="single" w:sz="8" w:color="0000EE"/>
            </w:tcBorders>
            <w:gridSpan w:val="6"/>
            <w:vMerge w:val="continue"/>
          </w:tcPr>
          <w:p>
            <w:pPr>
              <w:spacing w:after="0"/>
              <w:rPr>
                <w:sz w:val="24"/>
                <w:szCs w:val="24"/>
                <w:color w:val="auto"/>
              </w:rPr>
            </w:pPr>
          </w:p>
        </w:tc>
        <w:tc>
          <w:tcPr>
            <w:tcW w:w="4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4940" w:type="dxa"/>
            <w:vAlign w:val="bottom"/>
            <w:gridSpan w:val="9"/>
            <w:vMerge w:val="restart"/>
          </w:tcPr>
          <w:p>
            <w:pPr>
              <w:spacing w:after="0" w:line="196" w:lineRule="exact"/>
              <w:rPr>
                <w:rFonts w:ascii="Arial" w:cs="Arial" w:eastAsia="Arial" w:hAnsi="Arial"/>
                <w:sz w:val="20"/>
                <w:szCs w:val="20"/>
                <w:color w:val="0000EE"/>
                <w:w w:val="98"/>
              </w:rPr>
            </w:pPr>
            <w:hyperlink w:anchor="page62">
              <w:r>
                <w:rPr>
                  <w:rFonts w:ascii="Arial" w:cs="Arial" w:eastAsia="Arial" w:hAnsi="Arial"/>
                  <w:sz w:val="20"/>
                  <w:szCs w:val="20"/>
                  <w:color w:val="0000EE"/>
                  <w:w w:val="98"/>
                </w:rPr>
                <w:t>Requesting that the Board Amend the Bylaws to Provide</w:t>
              </w:r>
            </w:hyperlink>
          </w:p>
        </w:tc>
        <w:tc>
          <w:tcPr>
            <w:tcW w:w="12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40" w:type="dxa"/>
            <w:vAlign w:val="bottom"/>
            <w:vMerge w:val="restart"/>
          </w:tcPr>
          <w:p>
            <w:pPr>
              <w:jc w:val="right"/>
              <w:ind w:right="334"/>
              <w:spacing w:after="0"/>
              <w:rPr>
                <w:sz w:val="20"/>
                <w:szCs w:val="20"/>
                <w:color w:val="auto"/>
              </w:rPr>
            </w:pPr>
            <w:r>
              <w:rPr>
                <w:rFonts w:ascii="Arial" w:cs="Arial" w:eastAsia="Arial" w:hAnsi="Arial"/>
                <w:sz w:val="16"/>
                <w:szCs w:val="16"/>
                <w:color w:val="auto"/>
              </w:rPr>
              <w:t>25</w:t>
            </w:r>
          </w:p>
        </w:tc>
        <w:tc>
          <w:tcPr>
            <w:tcW w:w="4940" w:type="dxa"/>
            <w:vAlign w:val="bottom"/>
            <w:tcBorders>
              <w:bottom w:val="single" w:sz="8" w:color="0000EE"/>
            </w:tcBorders>
            <w:gridSpan w:val="9"/>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007CBA"/>
              </w:rPr>
              <w:t>57</w:t>
            </w:r>
          </w:p>
        </w:tc>
        <w:tc>
          <w:tcPr>
            <w:tcW w:w="0" w:type="dxa"/>
            <w:vAlign w:val="bottom"/>
          </w:tcPr>
          <w:p>
            <w:pPr>
              <w:spacing w:after="0"/>
              <w:rPr>
                <w:sz w:val="1"/>
                <w:szCs w:val="1"/>
                <w:color w:val="auto"/>
              </w:rPr>
            </w:pPr>
          </w:p>
        </w:tc>
      </w:tr>
      <w:tr>
        <w:trPr>
          <w:trHeight w:val="196"/>
        </w:trPr>
        <w:tc>
          <w:tcPr>
            <w:tcW w:w="640" w:type="dxa"/>
            <w:vAlign w:val="bottom"/>
            <w:vMerge w:val="continue"/>
          </w:tcPr>
          <w:p>
            <w:pPr>
              <w:spacing w:after="0"/>
              <w:rPr>
                <w:sz w:val="17"/>
                <w:szCs w:val="17"/>
                <w:color w:val="auto"/>
              </w:rPr>
            </w:pPr>
          </w:p>
        </w:tc>
        <w:tc>
          <w:tcPr>
            <w:tcW w:w="5060" w:type="dxa"/>
            <w:vAlign w:val="bottom"/>
            <w:gridSpan w:val="10"/>
          </w:tcPr>
          <w:p>
            <w:pPr>
              <w:spacing w:after="0" w:line="196" w:lineRule="exact"/>
              <w:rPr>
                <w:rFonts w:ascii="Arial" w:cs="Arial" w:eastAsia="Arial" w:hAnsi="Arial"/>
                <w:sz w:val="20"/>
                <w:szCs w:val="20"/>
                <w:color w:val="0000EE"/>
              </w:rPr>
            </w:pPr>
            <w:hyperlink w:anchor="page62">
              <w:r>
                <w:rPr>
                  <w:rFonts w:ascii="Arial" w:cs="Arial" w:eastAsia="Arial" w:hAnsi="Arial"/>
                  <w:sz w:val="20"/>
                  <w:szCs w:val="20"/>
                  <w:color w:val="0000EE"/>
                </w:rPr>
                <w:t>for Proxy Access</w:t>
              </w:r>
            </w:hyperlink>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0" w:type="dxa"/>
            <w:vAlign w:val="bottom"/>
          </w:tcPr>
          <w:p>
            <w:pPr>
              <w:jc w:val="right"/>
              <w:ind w:right="334"/>
              <w:spacing w:after="0"/>
              <w:rPr>
                <w:sz w:val="20"/>
                <w:szCs w:val="20"/>
                <w:color w:val="auto"/>
              </w:rPr>
            </w:pPr>
            <w:r>
              <w:rPr>
                <w:rFonts w:ascii="Arial" w:cs="Arial" w:eastAsia="Arial" w:hAnsi="Arial"/>
                <w:sz w:val="16"/>
                <w:szCs w:val="16"/>
                <w:color w:val="auto"/>
              </w:rPr>
              <w:t>25</w:t>
            </w:r>
          </w:p>
        </w:tc>
        <w:tc>
          <w:tcPr>
            <w:tcW w:w="148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40" w:type="dxa"/>
            <w:vAlign w:val="bottom"/>
          </w:tcPr>
          <w:p>
            <w:pPr>
              <w:jc w:val="right"/>
              <w:ind w:right="334"/>
              <w:spacing w:after="0"/>
              <w:rPr>
                <w:sz w:val="20"/>
                <w:szCs w:val="20"/>
                <w:color w:val="auto"/>
              </w:rPr>
            </w:pPr>
            <w:r>
              <w:rPr>
                <w:rFonts w:ascii="Arial" w:cs="Arial" w:eastAsia="Arial" w:hAnsi="Arial"/>
                <w:sz w:val="16"/>
                <w:szCs w:val="16"/>
                <w:color w:val="auto"/>
              </w:rPr>
              <w:t>25</w:t>
            </w:r>
          </w:p>
        </w:tc>
        <w:tc>
          <w:tcPr>
            <w:tcW w:w="4200" w:type="dxa"/>
            <w:vAlign w:val="bottom"/>
            <w:gridSpan w:val="5"/>
            <w:vMerge w:val="restart"/>
          </w:tcPr>
          <w:p>
            <w:pPr>
              <w:spacing w:after="0"/>
              <w:rPr>
                <w:rFonts w:ascii="Arial" w:cs="Arial" w:eastAsia="Arial" w:hAnsi="Arial"/>
                <w:sz w:val="20"/>
                <w:szCs w:val="20"/>
                <w:color w:val="0000EE"/>
                <w:w w:val="98"/>
              </w:rPr>
            </w:pPr>
            <w:hyperlink w:anchor="page65">
              <w:r>
                <w:rPr>
                  <w:rFonts w:ascii="Arial" w:cs="Arial" w:eastAsia="Arial" w:hAnsi="Arial"/>
                  <w:sz w:val="20"/>
                  <w:szCs w:val="20"/>
                  <w:color w:val="0000EE"/>
                  <w:w w:val="98"/>
                </w:rPr>
                <w:t>Securities Authorized for Issuance Under Equity</w:t>
              </w:r>
            </w:hyperlink>
          </w:p>
        </w:tc>
        <w:tc>
          <w:tcPr>
            <w:tcW w:w="860" w:type="dxa"/>
            <w:vAlign w:val="bottom"/>
            <w:gridSpan w:val="5"/>
            <w:vMerge w:val="restart"/>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640" w:type="dxa"/>
            <w:vAlign w:val="bottom"/>
            <w:vMerge w:val="restart"/>
          </w:tcPr>
          <w:p>
            <w:pPr>
              <w:jc w:val="right"/>
              <w:ind w:right="334"/>
              <w:spacing w:after="0"/>
              <w:rPr>
                <w:sz w:val="20"/>
                <w:szCs w:val="20"/>
                <w:color w:val="auto"/>
              </w:rPr>
            </w:pPr>
            <w:r>
              <w:rPr>
                <w:rFonts w:ascii="Arial" w:cs="Arial" w:eastAsia="Arial" w:hAnsi="Arial"/>
                <w:sz w:val="16"/>
                <w:szCs w:val="16"/>
                <w:color w:val="auto"/>
              </w:rPr>
              <w:t>25</w:t>
            </w:r>
          </w:p>
        </w:tc>
        <w:tc>
          <w:tcPr>
            <w:tcW w:w="4200" w:type="dxa"/>
            <w:vAlign w:val="bottom"/>
            <w:tcBorders>
              <w:bottom w:val="single" w:sz="8" w:color="0000EE"/>
            </w:tcBorders>
            <w:gridSpan w:val="5"/>
            <w:vMerge w:val="continue"/>
          </w:tcPr>
          <w:p>
            <w:pPr>
              <w:spacing w:after="0"/>
              <w:rPr>
                <w:sz w:val="6"/>
                <w:szCs w:val="6"/>
                <w:color w:val="auto"/>
              </w:rPr>
            </w:pPr>
          </w:p>
        </w:tc>
        <w:tc>
          <w:tcPr>
            <w:tcW w:w="860" w:type="dxa"/>
            <w:vAlign w:val="bottom"/>
            <w:gridSpan w:val="5"/>
            <w:vMerge w:val="continue"/>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007CBA"/>
              </w:rPr>
              <w:t>60</w:t>
            </w:r>
          </w:p>
        </w:tc>
        <w:tc>
          <w:tcPr>
            <w:tcW w:w="0" w:type="dxa"/>
            <w:vAlign w:val="bottom"/>
          </w:tcPr>
          <w:p>
            <w:pPr>
              <w:spacing w:after="0"/>
              <w:rPr>
                <w:sz w:val="1"/>
                <w:szCs w:val="1"/>
                <w:color w:val="auto"/>
              </w:rPr>
            </w:pPr>
          </w:p>
        </w:tc>
      </w:tr>
      <w:tr>
        <w:trPr>
          <w:trHeight w:val="196"/>
        </w:trPr>
        <w:tc>
          <w:tcPr>
            <w:tcW w:w="640" w:type="dxa"/>
            <w:vAlign w:val="bottom"/>
            <w:vMerge w:val="continue"/>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20"/>
                <w:szCs w:val="20"/>
                <w:color w:val="0000EE"/>
                <w:w w:val="97"/>
              </w:rPr>
            </w:pPr>
            <w:hyperlink w:anchor="page65">
              <w:r>
                <w:rPr>
                  <w:rFonts w:ascii="Arial" w:cs="Arial" w:eastAsia="Arial" w:hAnsi="Arial"/>
                  <w:sz w:val="20"/>
                  <w:szCs w:val="20"/>
                  <w:color w:val="0000EE"/>
                  <w:w w:val="97"/>
                </w:rPr>
                <w:t>Compensation Plans</w:t>
              </w:r>
            </w:hyperlink>
          </w:p>
        </w:tc>
        <w:tc>
          <w:tcPr>
            <w:tcW w:w="3240" w:type="dxa"/>
            <w:vAlign w:val="bottom"/>
            <w:gridSpan w:val="7"/>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jc w:val="right"/>
              <w:ind w:right="279"/>
              <w:spacing w:after="0"/>
              <w:rPr>
                <w:sz w:val="20"/>
                <w:szCs w:val="20"/>
                <w:color w:val="auto"/>
              </w:rPr>
            </w:pPr>
            <w:r>
              <w:rPr>
                <w:rFonts w:ascii="Arial" w:cs="Arial" w:eastAsia="Arial" w:hAnsi="Arial"/>
                <w:sz w:val="16"/>
                <w:szCs w:val="16"/>
                <w:color w:val="auto"/>
                <w:w w:val="89"/>
              </w:rPr>
              <w:t>25</w:t>
            </w:r>
          </w:p>
        </w:tc>
        <w:tc>
          <w:tcPr>
            <w:tcW w:w="3780" w:type="dxa"/>
            <w:vAlign w:val="bottom"/>
            <w:gridSpan w:val="3"/>
            <w:vMerge w:val="restart"/>
          </w:tcPr>
          <w:p>
            <w:pPr>
              <w:ind w:left="380"/>
              <w:spacing w:after="0"/>
              <w:rPr>
                <w:rFonts w:ascii="Arial" w:cs="Arial" w:eastAsia="Arial" w:hAnsi="Arial"/>
                <w:sz w:val="16"/>
                <w:szCs w:val="16"/>
                <w:color w:val="0000EE"/>
              </w:rPr>
            </w:pPr>
            <w:hyperlink w:anchor="page65">
              <w:r>
                <w:rPr>
                  <w:rFonts w:ascii="Arial" w:cs="Arial" w:eastAsia="Arial" w:hAnsi="Arial"/>
                  <w:sz w:val="16"/>
                  <w:szCs w:val="16"/>
                  <w:color w:val="0000EE"/>
                </w:rPr>
                <w:t>Description of the TXI Legacy Plan</w:t>
              </w:r>
            </w:hyperlink>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25</w:t>
            </w:r>
          </w:p>
        </w:tc>
        <w:tc>
          <w:tcPr>
            <w:tcW w:w="3780" w:type="dxa"/>
            <w:vAlign w:val="bottom"/>
            <w:gridSpan w:val="3"/>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0" w:type="dxa"/>
            <w:vAlign w:val="bottom"/>
            <w:vMerge w:val="continue"/>
          </w:tcPr>
          <w:p>
            <w:pPr>
              <w:spacing w:after="0"/>
              <w:rPr>
                <w:sz w:val="17"/>
                <w:szCs w:val="17"/>
                <w:color w:val="auto"/>
              </w:rPr>
            </w:pPr>
          </w:p>
        </w:tc>
        <w:tc>
          <w:tcPr>
            <w:tcW w:w="3780" w:type="dxa"/>
            <w:vAlign w:val="bottom"/>
            <w:gridSpan w:val="3"/>
            <w:vMerge w:val="restart"/>
          </w:tcPr>
          <w:p>
            <w:pPr>
              <w:ind w:left="380"/>
              <w:spacing w:after="0"/>
              <w:rPr>
                <w:rFonts w:ascii="Arial" w:cs="Arial" w:eastAsia="Arial" w:hAnsi="Arial"/>
                <w:sz w:val="16"/>
                <w:szCs w:val="16"/>
                <w:color w:val="0000EE"/>
              </w:rPr>
            </w:pPr>
            <w:hyperlink w:anchor="page66">
              <w:r>
                <w:rPr>
                  <w:rFonts w:ascii="Arial" w:cs="Arial" w:eastAsia="Arial" w:hAnsi="Arial"/>
                  <w:sz w:val="16"/>
                  <w:szCs w:val="16"/>
                  <w:color w:val="0000EE"/>
                </w:rPr>
                <w:t>Description of the Deferred Compensation Plan</w:t>
              </w:r>
            </w:hyperlink>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25</w:t>
            </w:r>
          </w:p>
        </w:tc>
        <w:tc>
          <w:tcPr>
            <w:tcW w:w="3780" w:type="dxa"/>
            <w:vAlign w:val="bottom"/>
            <w:gridSpan w:val="3"/>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2">
            <w:col w:w="4680" w:space="520"/>
            <w:col w:w="6040"/>
          </w:cols>
          <w:pgMar w:left="240" w:top="459" w:right="419" w:bottom="1143"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4560" w:type="dxa"/>
            <w:vAlign w:val="bottom"/>
            <w:gridSpan w:val="23"/>
            <w:vMerge w:val="restart"/>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Audit Committee Report</w:t>
              </w:r>
            </w:hyperlink>
          </w:p>
        </w:tc>
        <w:tc>
          <w:tcPr>
            <w:tcW w:w="1260" w:type="dxa"/>
            <w:vAlign w:val="bottom"/>
            <w:vMerge w:val="restart"/>
          </w:tcPr>
          <w:p>
            <w:pPr>
              <w:jc w:val="right"/>
              <w:ind w:right="336"/>
              <w:spacing w:after="0"/>
              <w:rPr>
                <w:sz w:val="20"/>
                <w:szCs w:val="20"/>
                <w:color w:val="auto"/>
              </w:rPr>
            </w:pPr>
            <w:r>
              <w:rPr>
                <w:rFonts w:ascii="Arial" w:cs="Arial" w:eastAsia="Arial" w:hAnsi="Arial"/>
                <w:sz w:val="20"/>
                <w:szCs w:val="20"/>
                <w:color w:val="007CBA"/>
              </w:rPr>
              <w:t>26</w:t>
            </w:r>
          </w:p>
        </w:tc>
        <w:tc>
          <w:tcPr>
            <w:tcW w:w="4700" w:type="dxa"/>
            <w:vAlign w:val="bottom"/>
            <w:gridSpan w:val="6"/>
          </w:tcPr>
          <w:p>
            <w:pPr>
              <w:spacing w:after="0"/>
              <w:rPr>
                <w:sz w:val="20"/>
                <w:szCs w:val="20"/>
                <w:color w:val="auto"/>
              </w:rPr>
            </w:pPr>
            <w:r>
              <w:rPr>
                <w:rFonts w:ascii="Arial" w:cs="Arial" w:eastAsia="Arial" w:hAnsi="Arial"/>
                <w:sz w:val="20"/>
                <w:szCs w:val="20"/>
                <w:color w:val="0000EE"/>
              </w:rPr>
              <w:t>General Information</w:t>
            </w:r>
          </w:p>
        </w:tc>
        <w:tc>
          <w:tcPr>
            <w:tcW w:w="0" w:type="dxa"/>
            <w:vAlign w:val="bottom"/>
          </w:tcPr>
          <w:p>
            <w:pPr>
              <w:spacing w:after="0"/>
              <w:rPr>
                <w:sz w:val="1"/>
                <w:szCs w:val="1"/>
                <w:color w:val="auto"/>
              </w:rPr>
            </w:pPr>
          </w:p>
        </w:tc>
      </w:tr>
      <w:tr>
        <w:trPr>
          <w:trHeight w:val="20"/>
        </w:trPr>
        <w:tc>
          <w:tcPr>
            <w:tcW w:w="4560" w:type="dxa"/>
            <w:vAlign w:val="bottom"/>
            <w:gridSpan w:val="23"/>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60" w:type="dxa"/>
            <w:vAlign w:val="bottom"/>
            <w:gridSpan w:val="23"/>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700" w:type="dxa"/>
            <w:vAlign w:val="bottom"/>
            <w:gridSpan w:val="6"/>
            <w:vMerge w:val="restart"/>
          </w:tcPr>
          <w:p>
            <w:pPr>
              <w:spacing w:after="0"/>
              <w:rPr>
                <w:rFonts w:ascii="Arial" w:cs="Arial" w:eastAsia="Arial" w:hAnsi="Arial"/>
                <w:sz w:val="20"/>
                <w:szCs w:val="20"/>
                <w:color w:val="0000EE"/>
              </w:rPr>
            </w:pPr>
            <w:hyperlink w:anchor="page69">
              <w:r>
                <w:rPr>
                  <w:rFonts w:ascii="Arial" w:cs="Arial" w:eastAsia="Arial" w:hAnsi="Arial"/>
                  <w:sz w:val="20"/>
                  <w:szCs w:val="20"/>
                  <w:color w:val="0000EE"/>
                </w:rPr>
                <w:t>Incorporation by Reference</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560" w:type="dxa"/>
            <w:vAlign w:val="bottom"/>
            <w:gridSpan w:val="23"/>
            <w:vMerge w:val="restart"/>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Management Development and Compensation</w:t>
              </w:r>
            </w:hyperlink>
          </w:p>
        </w:tc>
        <w:tc>
          <w:tcPr>
            <w:tcW w:w="1260" w:type="dxa"/>
            <w:vAlign w:val="bottom"/>
          </w:tcPr>
          <w:p>
            <w:pPr>
              <w:spacing w:after="0"/>
              <w:rPr>
                <w:sz w:val="24"/>
                <w:szCs w:val="24"/>
                <w:color w:val="auto"/>
              </w:rPr>
            </w:pPr>
          </w:p>
        </w:tc>
        <w:tc>
          <w:tcPr>
            <w:tcW w:w="470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60" w:type="dxa"/>
            <w:vAlign w:val="bottom"/>
            <w:gridSpan w:val="23"/>
            <w:vMerge w:val="continue"/>
          </w:tcPr>
          <w:p>
            <w:pPr>
              <w:spacing w:after="0"/>
              <w:rPr>
                <w:sz w:val="14"/>
                <w:szCs w:val="14"/>
                <w:color w:val="auto"/>
              </w:rPr>
            </w:pPr>
          </w:p>
        </w:tc>
        <w:tc>
          <w:tcPr>
            <w:tcW w:w="1260" w:type="dxa"/>
            <w:vAlign w:val="bottom"/>
            <w:vMerge w:val="restart"/>
          </w:tcPr>
          <w:p>
            <w:pPr>
              <w:jc w:val="right"/>
              <w:ind w:right="336"/>
              <w:spacing w:after="0"/>
              <w:rPr>
                <w:sz w:val="20"/>
                <w:szCs w:val="20"/>
                <w:color w:val="auto"/>
              </w:rPr>
            </w:pPr>
            <w:r>
              <w:rPr>
                <w:rFonts w:ascii="Arial" w:cs="Arial" w:eastAsia="Arial" w:hAnsi="Arial"/>
                <w:sz w:val="20"/>
                <w:szCs w:val="20"/>
                <w:color w:val="007CBA"/>
              </w:rPr>
              <w:t>27</w:t>
            </w:r>
          </w:p>
        </w:tc>
        <w:tc>
          <w:tcPr>
            <w:tcW w:w="17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3"/>
          </w:tcPr>
          <w:p>
            <w:pPr>
              <w:spacing w:after="0" w:line="196" w:lineRule="exact"/>
              <w:rPr>
                <w:rFonts w:ascii="Arial" w:cs="Arial" w:eastAsia="Arial" w:hAnsi="Arial"/>
                <w:sz w:val="20"/>
                <w:szCs w:val="20"/>
                <w:color w:val="0000EE"/>
                <w:w w:val="97"/>
              </w:rPr>
            </w:pPr>
            <w:hyperlink w:anchor="page32">
              <w:r>
                <w:rPr>
                  <w:rFonts w:ascii="Arial" w:cs="Arial" w:eastAsia="Arial" w:hAnsi="Arial"/>
                  <w:sz w:val="20"/>
                  <w:szCs w:val="20"/>
                  <w:color w:val="0000EE"/>
                  <w:w w:val="97"/>
                </w:rPr>
                <w:t>Committee Report</w:t>
              </w:r>
            </w:hyperlink>
          </w:p>
        </w:tc>
        <w:tc>
          <w:tcPr>
            <w:tcW w:w="2480" w:type="dxa"/>
            <w:vAlign w:val="bottom"/>
            <w:tcBorders>
              <w:top w:val="single" w:sz="8" w:color="0000EE"/>
            </w:tcBorders>
            <w:gridSpan w:val="17"/>
          </w:tcPr>
          <w:p>
            <w:pPr>
              <w:spacing w:after="0"/>
              <w:rPr>
                <w:sz w:val="17"/>
                <w:szCs w:val="17"/>
                <w:color w:val="auto"/>
              </w:rPr>
            </w:pPr>
          </w:p>
        </w:tc>
        <w:tc>
          <w:tcPr>
            <w:tcW w:w="480" w:type="dxa"/>
            <w:vAlign w:val="bottom"/>
            <w:gridSpan w:val="3"/>
          </w:tcPr>
          <w:p>
            <w:pPr>
              <w:spacing w:after="0"/>
              <w:rPr>
                <w:sz w:val="17"/>
                <w:szCs w:val="17"/>
                <w:color w:val="auto"/>
              </w:rPr>
            </w:pPr>
          </w:p>
        </w:tc>
        <w:tc>
          <w:tcPr>
            <w:tcW w:w="1260" w:type="dxa"/>
            <w:vAlign w:val="bottom"/>
            <w:vMerge w:val="continue"/>
          </w:tcPr>
          <w:p>
            <w:pPr>
              <w:spacing w:after="0"/>
              <w:rPr>
                <w:sz w:val="17"/>
                <w:szCs w:val="17"/>
                <w:color w:val="auto"/>
              </w:rPr>
            </w:pPr>
          </w:p>
        </w:tc>
        <w:tc>
          <w:tcPr>
            <w:tcW w:w="4700" w:type="dxa"/>
            <w:vAlign w:val="bottom"/>
            <w:gridSpan w:val="6"/>
            <w:vMerge w:val="restart"/>
          </w:tcPr>
          <w:p>
            <w:pPr>
              <w:spacing w:after="0"/>
              <w:rPr>
                <w:rFonts w:ascii="Arial" w:cs="Arial" w:eastAsia="Arial" w:hAnsi="Arial"/>
                <w:sz w:val="20"/>
                <w:szCs w:val="20"/>
                <w:color w:val="0000EE"/>
                <w:w w:val="98"/>
              </w:rPr>
            </w:pPr>
            <w:hyperlink w:anchor="page69">
              <w:r>
                <w:rPr>
                  <w:rFonts w:ascii="Arial" w:cs="Arial" w:eastAsia="Arial" w:hAnsi="Arial"/>
                  <w:sz w:val="20"/>
                  <w:szCs w:val="20"/>
                  <w:color w:val="0000EE"/>
                  <w:w w:val="98"/>
                </w:rPr>
                <w:t>Shareholders’ Proposals for the 2018 Annual Meeting</w:t>
              </w:r>
            </w:hyperlink>
          </w:p>
        </w:tc>
        <w:tc>
          <w:tcPr>
            <w:tcW w:w="0" w:type="dxa"/>
            <w:vAlign w:val="bottom"/>
          </w:tcPr>
          <w:p>
            <w:pPr>
              <w:spacing w:after="0"/>
              <w:rPr>
                <w:sz w:val="1"/>
                <w:szCs w:val="1"/>
                <w:color w:val="auto"/>
              </w:rPr>
            </w:pPr>
          </w:p>
        </w:tc>
      </w:tr>
      <w:tr>
        <w:trPr>
          <w:trHeight w:val="120"/>
        </w:trPr>
        <w:tc>
          <w:tcPr>
            <w:tcW w:w="4220" w:type="dxa"/>
            <w:vAlign w:val="bottom"/>
            <w:gridSpan w:val="22"/>
            <w:vMerge w:val="restart"/>
          </w:tcPr>
          <w:p>
            <w:pPr>
              <w:spacing w:after="0"/>
              <w:rPr>
                <w:rFonts w:ascii="Arial" w:cs="Arial" w:eastAsia="Arial" w:hAnsi="Arial"/>
                <w:sz w:val="20"/>
                <w:szCs w:val="20"/>
                <w:color w:val="0000EE"/>
                <w:w w:val="98"/>
              </w:rPr>
            </w:pPr>
            <w:hyperlink w:anchor="page32">
              <w:r>
                <w:rPr>
                  <w:rFonts w:ascii="Arial" w:cs="Arial" w:eastAsia="Arial" w:hAnsi="Arial"/>
                  <w:sz w:val="20"/>
                  <w:szCs w:val="20"/>
                  <w:color w:val="0000EE"/>
                  <w:w w:val="98"/>
                </w:rPr>
                <w:t>Compensation Committee Interlocks and Insider</w:t>
              </w:r>
            </w:hyperlink>
          </w:p>
        </w:tc>
        <w:tc>
          <w:tcPr>
            <w:tcW w:w="34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4700" w:type="dxa"/>
            <w:vAlign w:val="bottom"/>
            <w:tcBorders>
              <w:bottom w:val="single" w:sz="8" w:color="0000EE"/>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0"/>
        </w:trPr>
        <w:tc>
          <w:tcPr>
            <w:tcW w:w="4220" w:type="dxa"/>
            <w:vAlign w:val="bottom"/>
            <w:tcBorders>
              <w:bottom w:val="single" w:sz="8" w:color="0000EE"/>
            </w:tcBorders>
            <w:gridSpan w:val="22"/>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700" w:type="dxa"/>
            <w:vAlign w:val="bottom"/>
            <w:gridSpan w:val="6"/>
            <w:vMerge w:val="restart"/>
          </w:tcPr>
          <w:p>
            <w:pPr>
              <w:spacing w:after="0"/>
              <w:rPr>
                <w:rFonts w:ascii="Arial" w:cs="Arial" w:eastAsia="Arial" w:hAnsi="Arial"/>
                <w:sz w:val="20"/>
                <w:szCs w:val="20"/>
                <w:color w:val="0000EE"/>
                <w:w w:val="99"/>
              </w:rPr>
            </w:pPr>
            <w:hyperlink w:anchor="page70">
              <w:r>
                <w:rPr>
                  <w:rFonts w:ascii="Arial" w:cs="Arial" w:eastAsia="Arial" w:hAnsi="Arial"/>
                  <w:sz w:val="20"/>
                  <w:szCs w:val="20"/>
                  <w:color w:val="0000EE"/>
                  <w:w w:val="99"/>
                </w:rPr>
                <w:t>Appendix A – Martin Marietta Guidelines for Potential</w:t>
              </w:r>
            </w:hyperlink>
          </w:p>
        </w:tc>
        <w:tc>
          <w:tcPr>
            <w:tcW w:w="0" w:type="dxa"/>
            <w:vAlign w:val="bottom"/>
          </w:tcPr>
          <w:p>
            <w:pPr>
              <w:spacing w:after="0"/>
              <w:rPr>
                <w:sz w:val="1"/>
                <w:szCs w:val="1"/>
                <w:color w:val="auto"/>
              </w:rPr>
            </w:pPr>
          </w:p>
        </w:tc>
      </w:tr>
      <w:tr>
        <w:trPr>
          <w:trHeight w:val="115"/>
        </w:trPr>
        <w:tc>
          <w:tcPr>
            <w:tcW w:w="3540" w:type="dxa"/>
            <w:vAlign w:val="bottom"/>
            <w:gridSpan w:val="17"/>
            <w:vMerge w:val="restart"/>
          </w:tcPr>
          <w:p>
            <w:pPr>
              <w:spacing w:after="0" w:line="196" w:lineRule="exact"/>
              <w:rPr>
                <w:rFonts w:ascii="Arial" w:cs="Arial" w:eastAsia="Arial" w:hAnsi="Arial"/>
                <w:sz w:val="20"/>
                <w:szCs w:val="20"/>
                <w:color w:val="0000EE"/>
                <w:w w:val="98"/>
              </w:rPr>
            </w:pPr>
            <w:hyperlink w:anchor="page32">
              <w:r>
                <w:rPr>
                  <w:rFonts w:ascii="Arial" w:cs="Arial" w:eastAsia="Arial" w:hAnsi="Arial"/>
                  <w:sz w:val="20"/>
                  <w:szCs w:val="20"/>
                  <w:color w:val="0000EE"/>
                  <w:w w:val="98"/>
                </w:rPr>
                <w:t>Participation in Compensation Decisions</w:t>
              </w:r>
            </w:hyperlink>
          </w:p>
        </w:tc>
        <w:tc>
          <w:tcPr>
            <w:tcW w:w="1020" w:type="dxa"/>
            <w:vAlign w:val="bottom"/>
            <w:gridSpan w:val="6"/>
            <w:vMerge w:val="restart"/>
          </w:tcPr>
          <w:p>
            <w:pPr>
              <w:spacing w:after="0"/>
              <w:rPr>
                <w:sz w:val="10"/>
                <w:szCs w:val="10"/>
                <w:color w:val="auto"/>
              </w:rPr>
            </w:pPr>
          </w:p>
        </w:tc>
        <w:tc>
          <w:tcPr>
            <w:tcW w:w="1260" w:type="dxa"/>
            <w:vAlign w:val="bottom"/>
            <w:vMerge w:val="restart"/>
          </w:tcPr>
          <w:p>
            <w:pPr>
              <w:jc w:val="right"/>
              <w:ind w:right="336"/>
              <w:spacing w:after="0" w:line="196" w:lineRule="exact"/>
              <w:rPr>
                <w:sz w:val="20"/>
                <w:szCs w:val="20"/>
                <w:color w:val="auto"/>
              </w:rPr>
            </w:pPr>
            <w:r>
              <w:rPr>
                <w:rFonts w:ascii="Arial" w:cs="Arial" w:eastAsia="Arial" w:hAnsi="Arial"/>
                <w:sz w:val="20"/>
                <w:szCs w:val="20"/>
                <w:color w:val="007CBA"/>
              </w:rPr>
              <w:t>27</w:t>
            </w:r>
          </w:p>
        </w:tc>
        <w:tc>
          <w:tcPr>
            <w:tcW w:w="47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3540" w:type="dxa"/>
            <w:vAlign w:val="bottom"/>
            <w:tcBorders>
              <w:bottom w:val="single" w:sz="8" w:color="0000EE"/>
            </w:tcBorders>
            <w:gridSpan w:val="17"/>
            <w:vMerge w:val="continue"/>
          </w:tcPr>
          <w:p>
            <w:pPr>
              <w:spacing w:after="0"/>
              <w:rPr>
                <w:sz w:val="5"/>
                <w:szCs w:val="5"/>
                <w:color w:val="auto"/>
              </w:rPr>
            </w:pPr>
          </w:p>
        </w:tc>
        <w:tc>
          <w:tcPr>
            <w:tcW w:w="1020" w:type="dxa"/>
            <w:vAlign w:val="bottom"/>
            <w:gridSpan w:val="6"/>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860" w:type="dxa"/>
            <w:vAlign w:val="bottom"/>
            <w:tcBorders>
              <w:top w:val="single" w:sz="8" w:color="0000EE"/>
              <w:bottom w:val="single" w:sz="8" w:color="0000EE"/>
            </w:tcBorders>
            <w:gridSpan w:val="2"/>
            <w:vMerge w:val="restart"/>
          </w:tcPr>
          <w:p>
            <w:pPr>
              <w:spacing w:after="0" w:line="196" w:lineRule="exact"/>
              <w:rPr>
                <w:rFonts w:ascii="Arial" w:cs="Arial" w:eastAsia="Arial" w:hAnsi="Arial"/>
                <w:sz w:val="20"/>
                <w:szCs w:val="20"/>
                <w:color w:val="0000EE"/>
                <w:w w:val="97"/>
              </w:rPr>
            </w:pPr>
            <w:hyperlink w:anchor="page70">
              <w:r>
                <w:rPr>
                  <w:rFonts w:ascii="Arial" w:cs="Arial" w:eastAsia="Arial" w:hAnsi="Arial"/>
                  <w:sz w:val="20"/>
                  <w:szCs w:val="20"/>
                  <w:color w:val="0000EE"/>
                  <w:w w:val="97"/>
                </w:rPr>
                <w:t>New Board Members</w:t>
              </w:r>
            </w:hyperlink>
          </w:p>
        </w:tc>
        <w:tc>
          <w:tcPr>
            <w:tcW w:w="2780" w:type="dxa"/>
            <w:vAlign w:val="bottom"/>
            <w:tcBorders>
              <w:top w:val="single" w:sz="8" w:color="0000EE"/>
              <w:bottom w:val="single" w:sz="8" w:color="0000EE"/>
            </w:tcBorders>
            <w:gridSpan w:val="3"/>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460" w:type="dxa"/>
            <w:vAlign w:val="bottom"/>
            <w:gridSpan w:val="16"/>
            <w:vMerge w:val="restart"/>
          </w:tcPr>
          <w:p>
            <w:pPr>
              <w:spacing w:after="0"/>
              <w:rPr>
                <w:rFonts w:ascii="Arial" w:cs="Arial" w:eastAsia="Arial" w:hAnsi="Arial"/>
                <w:sz w:val="20"/>
                <w:szCs w:val="20"/>
                <w:color w:val="0000EE"/>
                <w:w w:val="98"/>
              </w:rPr>
            </w:pPr>
            <w:hyperlink w:anchor="page33">
              <w:r>
                <w:rPr>
                  <w:rFonts w:ascii="Arial" w:cs="Arial" w:eastAsia="Arial" w:hAnsi="Arial"/>
                  <w:sz w:val="20"/>
                  <w:szCs w:val="20"/>
                  <w:color w:val="0000EE"/>
                  <w:w w:val="98"/>
                </w:rPr>
                <w:t>Compensation Discussion and Analysis</w:t>
              </w:r>
            </w:hyperlink>
          </w:p>
        </w:tc>
        <w:tc>
          <w:tcPr>
            <w:tcW w:w="1100" w:type="dxa"/>
            <w:vAlign w:val="bottom"/>
            <w:gridSpan w:val="7"/>
            <w:vMerge w:val="restart"/>
          </w:tcPr>
          <w:p>
            <w:pPr>
              <w:spacing w:after="0"/>
              <w:rPr>
                <w:sz w:val="10"/>
                <w:szCs w:val="10"/>
                <w:color w:val="auto"/>
              </w:rPr>
            </w:pPr>
          </w:p>
        </w:tc>
        <w:tc>
          <w:tcPr>
            <w:tcW w:w="1260" w:type="dxa"/>
            <w:vAlign w:val="bottom"/>
            <w:vMerge w:val="restart"/>
          </w:tcPr>
          <w:p>
            <w:pPr>
              <w:jc w:val="right"/>
              <w:ind w:right="336"/>
              <w:spacing w:after="0"/>
              <w:rPr>
                <w:sz w:val="20"/>
                <w:szCs w:val="20"/>
                <w:color w:val="auto"/>
              </w:rPr>
            </w:pPr>
            <w:r>
              <w:rPr>
                <w:rFonts w:ascii="Arial" w:cs="Arial" w:eastAsia="Arial" w:hAnsi="Arial"/>
                <w:sz w:val="20"/>
                <w:szCs w:val="20"/>
                <w:color w:val="007CBA"/>
              </w:rPr>
              <w:t>28</w:t>
            </w:r>
          </w:p>
        </w:tc>
        <w:tc>
          <w:tcPr>
            <w:tcW w:w="1860" w:type="dxa"/>
            <w:vAlign w:val="bottom"/>
            <w:tcBorders>
              <w:bottom w:val="single" w:sz="8" w:color="0000EE"/>
            </w:tcBorders>
            <w:gridSpan w:val="2"/>
            <w:vMerge w:val="continue"/>
          </w:tcPr>
          <w:p>
            <w:pPr>
              <w:spacing w:after="0"/>
              <w:rPr>
                <w:sz w:val="10"/>
                <w:szCs w:val="10"/>
                <w:color w:val="auto"/>
              </w:rPr>
            </w:pPr>
          </w:p>
        </w:tc>
        <w:tc>
          <w:tcPr>
            <w:tcW w:w="2780" w:type="dxa"/>
            <w:vAlign w:val="bottom"/>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0"/>
        </w:trPr>
        <w:tc>
          <w:tcPr>
            <w:tcW w:w="3460" w:type="dxa"/>
            <w:vAlign w:val="bottom"/>
            <w:tcBorders>
              <w:bottom w:val="single" w:sz="8" w:color="0000EE"/>
            </w:tcBorders>
            <w:gridSpan w:val="16"/>
            <w:vMerge w:val="continue"/>
          </w:tcPr>
          <w:p>
            <w:pPr>
              <w:spacing w:after="0"/>
              <w:rPr>
                <w:sz w:val="24"/>
                <w:szCs w:val="24"/>
                <w:color w:val="auto"/>
              </w:rPr>
            </w:pPr>
          </w:p>
        </w:tc>
        <w:tc>
          <w:tcPr>
            <w:tcW w:w="1100" w:type="dxa"/>
            <w:vAlign w:val="bottom"/>
            <w:gridSpan w:val="7"/>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4700" w:type="dxa"/>
            <w:vAlign w:val="bottom"/>
            <w:gridSpan w:val="6"/>
            <w:vMerge w:val="restart"/>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Appendix B – Non-GAAP Measures</w:t>
              </w:r>
            </w:hyperlink>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4240" w:type="dxa"/>
            <w:vAlign w:val="bottom"/>
            <w:gridSpan w:val="22"/>
            <w:vMerge w:val="restart"/>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Introduction</w:t>
              </w:r>
            </w:hyperlink>
          </w:p>
        </w:tc>
        <w:tc>
          <w:tcPr>
            <w:tcW w:w="1260" w:type="dxa"/>
            <w:vAlign w:val="bottom"/>
            <w:vMerge w:val="restart"/>
          </w:tcPr>
          <w:p>
            <w:pPr>
              <w:jc w:val="right"/>
              <w:ind w:right="336"/>
              <w:spacing w:after="0"/>
              <w:rPr>
                <w:sz w:val="20"/>
                <w:szCs w:val="20"/>
                <w:color w:val="auto"/>
              </w:rPr>
            </w:pPr>
            <w:r>
              <w:rPr>
                <w:rFonts w:ascii="Arial" w:cs="Arial" w:eastAsia="Arial" w:hAnsi="Arial"/>
                <w:sz w:val="16"/>
                <w:szCs w:val="16"/>
                <w:color w:val="auto"/>
              </w:rPr>
              <w:t>28</w:t>
            </w:r>
          </w:p>
        </w:tc>
        <w:tc>
          <w:tcPr>
            <w:tcW w:w="47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4240" w:type="dxa"/>
            <w:vAlign w:val="bottom"/>
            <w:gridSpan w:val="2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7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440" w:type="dxa"/>
            <w:vAlign w:val="bottom"/>
            <w:tcBorders>
              <w:bottom w:val="single" w:sz="8" w:color="0000EE"/>
            </w:tcBorders>
            <w:gridSpan w:val="3"/>
          </w:tcPr>
          <w:p>
            <w:pPr>
              <w:spacing w:after="0"/>
              <w:rPr>
                <w:rFonts w:ascii="Arial" w:cs="Arial" w:eastAsia="Arial" w:hAnsi="Arial"/>
                <w:sz w:val="16"/>
                <w:szCs w:val="16"/>
                <w:color w:val="0000EE"/>
                <w:w w:val="99"/>
              </w:rPr>
            </w:pPr>
            <w:hyperlink w:anchor="page33">
              <w:r>
                <w:rPr>
                  <w:rFonts w:ascii="Arial" w:cs="Arial" w:eastAsia="Arial" w:hAnsi="Arial"/>
                  <w:sz w:val="16"/>
                  <w:szCs w:val="16"/>
                  <w:color w:val="0000EE"/>
                  <w:w w:val="99"/>
                </w:rPr>
                <w:t>Executive Summary</w:t>
              </w:r>
            </w:hyperlink>
          </w:p>
        </w:tc>
        <w:tc>
          <w:tcPr>
            <w:tcW w:w="2800" w:type="dxa"/>
            <w:vAlign w:val="bottom"/>
            <w:gridSpan w:val="19"/>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28</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gridSpan w:val="22"/>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2016 Say-On-Pay Vote and Shareholder Outreach</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30</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780" w:type="dxa"/>
            <w:vAlign w:val="bottom"/>
            <w:tcBorders>
              <w:bottom w:val="single" w:sz="8" w:color="0000EE"/>
            </w:tcBorders>
            <w:gridSpan w:val="20"/>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Pay Decisions in 2016 Made in Light of Performance</w:t>
              </w:r>
            </w:hyperlink>
          </w:p>
        </w:tc>
        <w:tc>
          <w:tcPr>
            <w:tcW w:w="460" w:type="dxa"/>
            <w:vAlign w:val="bottom"/>
            <w:gridSpan w:val="2"/>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gridSpan w:val="22"/>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Our Compensation Strategy</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gridSpan w:val="2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Performance-Related Compensation</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33</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gridSpan w:val="2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Ongoing Corporate Governance Policies</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33</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42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Compensation Decisions Process</w:t>
              </w:r>
            </w:hyperlink>
          </w:p>
        </w:tc>
        <w:tc>
          <w:tcPr>
            <w:tcW w:w="480" w:type="dxa"/>
            <w:vAlign w:val="bottom"/>
            <w:tcBorders>
              <w:top w:val="single" w:sz="8" w:color="0000EE"/>
            </w:tcBorders>
            <w:gridSpan w:val="3"/>
          </w:tcPr>
          <w:p>
            <w:pPr>
              <w:spacing w:after="0"/>
              <w:rPr>
                <w:sz w:val="20"/>
                <w:szCs w:val="20"/>
                <w:color w:val="auto"/>
              </w:rPr>
            </w:pPr>
          </w:p>
        </w:tc>
        <w:tc>
          <w:tcPr>
            <w:tcW w:w="1340" w:type="dxa"/>
            <w:vAlign w:val="bottom"/>
            <w:gridSpan w:val="9"/>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33</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80" w:type="dxa"/>
            <w:vAlign w:val="bottom"/>
            <w:tcBorders>
              <w:bottom w:val="single" w:sz="8" w:color="0000EE"/>
            </w:tcBorders>
            <w:gridSpan w:val="12"/>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Determination of CEO Compensation</w:t>
              </w:r>
            </w:hyperlink>
          </w:p>
        </w:tc>
        <w:tc>
          <w:tcPr>
            <w:tcW w:w="1560" w:type="dxa"/>
            <w:vAlign w:val="bottom"/>
            <w:gridSpan w:val="10"/>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35</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3000" w:type="dxa"/>
            <w:vAlign w:val="bottom"/>
            <w:tcBorders>
              <w:bottom w:val="single" w:sz="8" w:color="0000EE"/>
            </w:tcBorders>
            <w:gridSpan w:val="14"/>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Compensation Program Risk Assessment</w:t>
              </w:r>
            </w:hyperlink>
          </w:p>
        </w:tc>
        <w:tc>
          <w:tcPr>
            <w:tcW w:w="1240" w:type="dxa"/>
            <w:vAlign w:val="bottom"/>
            <w:gridSpan w:val="8"/>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35</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gridSpan w:val="22"/>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Considerations Regarding 2016 Compensation</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36</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24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Stock-Based Awards Generally</w:t>
              </w:r>
            </w:hyperlink>
          </w:p>
        </w:tc>
        <w:tc>
          <w:tcPr>
            <w:tcW w:w="1120" w:type="dxa"/>
            <w:vAlign w:val="bottom"/>
            <w:tcBorders>
              <w:top w:val="single" w:sz="8" w:color="0000EE"/>
            </w:tcBorders>
            <w:gridSpan w:val="9"/>
          </w:tcPr>
          <w:p>
            <w:pPr>
              <w:spacing w:after="0"/>
              <w:rPr>
                <w:sz w:val="20"/>
                <w:szCs w:val="20"/>
                <w:color w:val="auto"/>
              </w:rPr>
            </w:pPr>
          </w:p>
        </w:tc>
        <w:tc>
          <w:tcPr>
            <w:tcW w:w="880" w:type="dxa"/>
            <w:vAlign w:val="bottom"/>
            <w:gridSpan w:val="5"/>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41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040" w:type="dxa"/>
            <w:vAlign w:val="bottom"/>
            <w:tcBorders>
              <w:bottom w:val="single" w:sz="8" w:color="0000EE"/>
            </w:tcBorders>
            <w:gridSpan w:val="6"/>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Stock Ownership Guidelines</w:t>
              </w:r>
            </w:hyperlink>
          </w:p>
        </w:tc>
        <w:tc>
          <w:tcPr>
            <w:tcW w:w="2200" w:type="dxa"/>
            <w:vAlign w:val="bottom"/>
            <w:gridSpan w:val="16"/>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41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40" w:type="dxa"/>
            <w:vAlign w:val="bottom"/>
            <w:tcBorders>
              <w:bottom w:val="single" w:sz="8" w:color="0000EE"/>
            </w:tcBorders>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Perquisites</w:t>
              </w:r>
            </w:hyperlink>
          </w:p>
        </w:tc>
        <w:tc>
          <w:tcPr>
            <w:tcW w:w="3400" w:type="dxa"/>
            <w:vAlign w:val="bottom"/>
            <w:gridSpan w:val="21"/>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41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gridSpan w:val="22"/>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Retirement and Other Benefits</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41</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2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240" w:type="dxa"/>
            <w:vAlign w:val="bottom"/>
            <w:tcBorders>
              <w:bottom w:val="single" w:sz="8" w:color="0000EE"/>
            </w:tcBorders>
            <w:gridSpan w:val="22"/>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Potential Payments upon Termination or Change of Control</w:t>
              </w:r>
            </w:hyperlink>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42</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32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Tax and Accounting Implications</w:t>
              </w:r>
            </w:hyperlink>
          </w:p>
        </w:tc>
        <w:tc>
          <w:tcPr>
            <w:tcW w:w="1920" w:type="dxa"/>
            <w:vAlign w:val="bottom"/>
            <w:gridSpan w:val="13"/>
          </w:tcPr>
          <w:p>
            <w:pPr>
              <w:spacing w:after="0"/>
              <w:rPr>
                <w:sz w:val="20"/>
                <w:szCs w:val="20"/>
                <w:color w:val="auto"/>
              </w:rPr>
            </w:pPr>
          </w:p>
        </w:tc>
        <w:tc>
          <w:tcPr>
            <w:tcW w:w="1260" w:type="dxa"/>
            <w:vAlign w:val="bottom"/>
          </w:tcPr>
          <w:p>
            <w:pPr>
              <w:jc w:val="right"/>
              <w:ind w:right="336"/>
              <w:spacing w:after="0"/>
              <w:rPr>
                <w:sz w:val="20"/>
                <w:szCs w:val="20"/>
                <w:color w:val="auto"/>
              </w:rPr>
            </w:pPr>
            <w:r>
              <w:rPr>
                <w:rFonts w:ascii="Arial" w:cs="Arial" w:eastAsia="Arial" w:hAnsi="Arial"/>
                <w:sz w:val="16"/>
                <w:szCs w:val="16"/>
                <w:color w:val="auto"/>
              </w:rPr>
              <w:t>42</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007CBA"/>
        </w:rPr>
        <w:t>62</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20"/>
          <w:szCs w:val="20"/>
          <w:color w:val="007CBA"/>
        </w:rPr>
        <w:t>64</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20"/>
          <w:szCs w:val="20"/>
          <w:color w:val="007CBA"/>
        </w:rPr>
        <w:t>64</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007CBA"/>
        </w:rPr>
        <w:t>A-1</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007CBA"/>
        </w:rPr>
        <w:t>B-1</w:t>
      </w:r>
    </w:p>
    <w:p>
      <w:pPr>
        <w:sectPr>
          <w:pgSz w:w="11900" w:h="16838" w:orient="portrait"/>
          <w:cols w:equalWidth="0" w:num="2">
            <w:col w:w="10540" w:space="380"/>
            <w:col w:w="320"/>
          </w:cols>
          <w:pgMar w:left="240" w:top="459" w:right="419" w:bottom="1143"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6886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688657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Proxy Summary</w:t>
      </w:r>
    </w:p>
    <w:p>
      <w:pPr>
        <w:spacing w:after="0" w:line="333" w:lineRule="exact"/>
        <w:rPr>
          <w:sz w:val="20"/>
          <w:szCs w:val="20"/>
          <w:color w:val="auto"/>
        </w:rPr>
      </w:pPr>
    </w:p>
    <w:p>
      <w:pPr>
        <w:jc w:val="both"/>
        <w:ind w:left="360" w:right="360"/>
        <w:spacing w:after="0" w:line="251" w:lineRule="auto"/>
        <w:rPr>
          <w:sz w:val="20"/>
          <w:szCs w:val="20"/>
          <w:color w:val="auto"/>
        </w:rPr>
      </w:pPr>
      <w:r>
        <w:rPr>
          <w:rFonts w:ascii="Arial" w:cs="Arial" w:eastAsia="Arial" w:hAnsi="Arial"/>
          <w:sz w:val="16"/>
          <w:szCs w:val="16"/>
          <w:color w:val="auto"/>
        </w:rPr>
        <w:t>This Proxy Summary highlights information about Martin Marietta that can be found elsewhere in this proxy statement. It does not contain all of the information you should consider in voting your shares. We encourage you to read the entire proxy statement for more detailed information on each topic prior to casting your vote. This proxy statement, the proxy card, and the notice of meeting are being sent commencing on approximately April 17, 2017 to shareholders of record on March 10, 2017.</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2017 Annual Meeting of Shareholders</w:t>
      </w:r>
    </w:p>
    <w:p>
      <w:pPr>
        <w:spacing w:after="0" w:line="203" w:lineRule="exact"/>
        <w:rPr>
          <w:sz w:val="20"/>
          <w:szCs w:val="20"/>
          <w:color w:val="auto"/>
        </w:rPr>
      </w:pPr>
    </w:p>
    <w:p>
      <w:pPr>
        <w:ind w:left="520"/>
        <w:spacing w:after="0"/>
        <w:tabs>
          <w:tab w:leader="none" w:pos="1940" w:val="left"/>
          <w:tab w:leader="none" w:pos="4600" w:val="left"/>
          <w:tab w:leader="none" w:pos="5920" w:val="left"/>
        </w:tabs>
        <w:rPr>
          <w:sz w:val="20"/>
          <w:szCs w:val="20"/>
          <w:color w:val="auto"/>
        </w:rPr>
      </w:pPr>
      <w:r>
        <w:rPr>
          <w:rFonts w:ascii="Arial" w:cs="Arial" w:eastAsia="Arial" w:hAnsi="Arial"/>
          <w:sz w:val="17"/>
          <w:szCs w:val="17"/>
          <w:b w:val="1"/>
          <w:bCs w:val="1"/>
          <w:color w:val="007CBA"/>
        </w:rPr>
        <w:t>Meeting Date:</w:t>
      </w:r>
      <w:r>
        <w:rPr>
          <w:sz w:val="20"/>
          <w:szCs w:val="20"/>
          <w:color w:val="auto"/>
        </w:rPr>
        <w:tab/>
      </w:r>
      <w:r>
        <w:rPr>
          <w:rFonts w:ascii="Arial" w:cs="Arial" w:eastAsia="Arial" w:hAnsi="Arial"/>
          <w:sz w:val="16"/>
          <w:szCs w:val="16"/>
          <w:color w:val="auto"/>
        </w:rPr>
        <w:t>May 18, 2017</w:t>
      </w:r>
      <w:r>
        <w:rPr>
          <w:sz w:val="20"/>
          <w:szCs w:val="20"/>
          <w:color w:val="auto"/>
        </w:rPr>
        <w:tab/>
      </w:r>
      <w:r>
        <w:rPr>
          <w:rFonts w:ascii="Arial" w:cs="Arial" w:eastAsia="Arial" w:hAnsi="Arial"/>
          <w:sz w:val="17"/>
          <w:szCs w:val="17"/>
          <w:b w:val="1"/>
          <w:bCs w:val="1"/>
          <w:color w:val="007CBA"/>
        </w:rPr>
        <w:t>Place:</w:t>
      </w:r>
      <w:r>
        <w:rPr>
          <w:sz w:val="20"/>
          <w:szCs w:val="20"/>
          <w:color w:val="auto"/>
        </w:rPr>
        <w:tab/>
      </w:r>
      <w:r>
        <w:rPr>
          <w:rFonts w:ascii="Arial" w:cs="Arial" w:eastAsia="Arial" w:hAnsi="Arial"/>
          <w:sz w:val="16"/>
          <w:szCs w:val="16"/>
          <w:color w:val="auto"/>
        </w:rPr>
        <w:t>2710 Wycliff Road, Raleigh, NC</w:t>
      </w:r>
    </w:p>
    <w:p>
      <w:pPr>
        <w:spacing w:after="0" w:line="141" w:lineRule="exact"/>
        <w:rPr>
          <w:sz w:val="20"/>
          <w:szCs w:val="20"/>
          <w:color w:val="auto"/>
        </w:rPr>
      </w:pPr>
    </w:p>
    <w:p>
      <w:pPr>
        <w:ind w:left="520"/>
        <w:spacing w:after="0"/>
        <w:tabs>
          <w:tab w:leader="none" w:pos="1940" w:val="left"/>
          <w:tab w:leader="none" w:pos="4600" w:val="left"/>
          <w:tab w:leader="none" w:pos="5920" w:val="left"/>
        </w:tabs>
        <w:rPr>
          <w:sz w:val="20"/>
          <w:szCs w:val="20"/>
          <w:color w:val="auto"/>
        </w:rPr>
      </w:pPr>
      <w:r>
        <w:rPr>
          <w:rFonts w:ascii="Arial" w:cs="Arial" w:eastAsia="Arial" w:hAnsi="Arial"/>
          <w:sz w:val="17"/>
          <w:szCs w:val="17"/>
          <w:b w:val="1"/>
          <w:bCs w:val="1"/>
          <w:color w:val="007CBA"/>
        </w:rPr>
        <w:t>Time:</w:t>
      </w:r>
      <w:r>
        <w:rPr>
          <w:sz w:val="20"/>
          <w:szCs w:val="20"/>
          <w:color w:val="auto"/>
        </w:rPr>
        <w:tab/>
      </w:r>
      <w:r>
        <w:rPr>
          <w:rFonts w:ascii="Arial" w:cs="Arial" w:eastAsia="Arial" w:hAnsi="Arial"/>
          <w:sz w:val="16"/>
          <w:szCs w:val="16"/>
          <w:color w:val="auto"/>
        </w:rPr>
        <w:t>11:30 am ET</w:t>
      </w:r>
      <w:r>
        <w:rPr>
          <w:sz w:val="20"/>
          <w:szCs w:val="20"/>
          <w:color w:val="auto"/>
        </w:rPr>
        <w:tab/>
      </w:r>
      <w:r>
        <w:rPr>
          <w:rFonts w:ascii="Arial" w:cs="Arial" w:eastAsia="Arial" w:hAnsi="Arial"/>
          <w:sz w:val="16"/>
          <w:szCs w:val="16"/>
          <w:b w:val="1"/>
          <w:bCs w:val="1"/>
          <w:color w:val="007CBA"/>
        </w:rPr>
        <w:t>Record Date:</w:t>
      </w:r>
      <w:r>
        <w:rPr>
          <w:sz w:val="20"/>
          <w:szCs w:val="20"/>
          <w:color w:val="auto"/>
        </w:rPr>
        <w:tab/>
      </w:r>
      <w:r>
        <w:rPr>
          <w:rFonts w:ascii="Arial" w:cs="Arial" w:eastAsia="Arial" w:hAnsi="Arial"/>
          <w:sz w:val="16"/>
          <w:szCs w:val="16"/>
          <w:color w:val="auto"/>
        </w:rPr>
        <w:t>March 10, 2017</w:t>
      </w:r>
    </w:p>
    <w:p>
      <w:pPr>
        <w:spacing w:after="0" w:line="374" w:lineRule="exact"/>
        <w:rPr>
          <w:sz w:val="20"/>
          <w:szCs w:val="20"/>
          <w:color w:val="auto"/>
        </w:rPr>
      </w:pPr>
    </w:p>
    <w:p>
      <w:pPr>
        <w:jc w:val="both"/>
        <w:ind w:left="360" w:right="340"/>
        <w:spacing w:after="0" w:line="260" w:lineRule="auto"/>
        <w:rPr>
          <w:sz w:val="20"/>
          <w:szCs w:val="20"/>
          <w:color w:val="auto"/>
        </w:rPr>
      </w:pPr>
      <w:r>
        <w:rPr>
          <w:rFonts w:ascii="Arial" w:cs="Arial" w:eastAsia="Arial" w:hAnsi="Arial"/>
          <w:sz w:val="16"/>
          <w:szCs w:val="16"/>
          <w:color w:val="auto"/>
        </w:rPr>
        <w:t>Your vote is important. You may vote in person at the Annual Meeting or submit a proxy over the internet. If you have received a paper copy of the proxy card (or if you request a paper copy of the materials), you may submit a proxy by telephone or by mail.</w:t>
      </w:r>
    </w:p>
    <w:p>
      <w:pPr>
        <w:sectPr>
          <w:pgSz w:w="11900" w:h="16838" w:orient="portrait"/>
          <w:cols w:equalWidth="0" w:num="1">
            <w:col w:w="11420"/>
          </w:cols>
          <w:pgMar w:left="240" w:top="459" w:right="239" w:bottom="1440" w:gutter="0" w:footer="0" w:header="0"/>
        </w:sectPr>
      </w:pPr>
    </w:p>
    <w:p>
      <w:pPr>
        <w:spacing w:after="0" w:line="20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7CBA"/>
        </w:rPr>
        <w:t>Via the Internet</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www.voteproxy.com.</w:t>
      </w:r>
    </w:p>
    <w:p>
      <w:pPr>
        <w:spacing w:after="0" w:line="200" w:lineRule="exact"/>
        <w:rPr>
          <w:sz w:val="20"/>
          <w:szCs w:val="20"/>
          <w:color w:val="auto"/>
        </w:rPr>
      </w:pPr>
    </w:p>
    <w:p>
      <w:pPr>
        <w:spacing w:after="0" w:line="204"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007CBA"/>
        </w:rPr>
        <w:t>By Telephone</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1-800-PROXIES (1-800-776-9437)</w:t>
      </w:r>
    </w:p>
    <w:p>
      <w:pPr>
        <w:spacing w:after="0" w:line="5" w:lineRule="exact"/>
        <w:rPr>
          <w:sz w:val="20"/>
          <w:szCs w:val="20"/>
          <w:color w:val="auto"/>
        </w:rPr>
      </w:pPr>
    </w:p>
    <w:p>
      <w:pPr>
        <w:ind w:left="1360" w:right="1120"/>
        <w:spacing w:after="0" w:line="260" w:lineRule="auto"/>
        <w:rPr>
          <w:sz w:val="20"/>
          <w:szCs w:val="20"/>
          <w:color w:val="auto"/>
        </w:rPr>
      </w:pPr>
      <w:r>
        <w:rPr>
          <w:rFonts w:ascii="Arial" w:cs="Arial" w:eastAsia="Arial" w:hAnsi="Arial"/>
          <w:sz w:val="16"/>
          <w:szCs w:val="16"/>
          <w:color w:val="auto"/>
        </w:rPr>
        <w:t>in the United States or 1-718-921-8500 from outside the United States.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7CBA"/>
        </w:rPr>
        <w:t>In Person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and vote by ballot.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7CBA"/>
        </w:rPr>
        <w:t>By Mail</w:t>
      </w:r>
    </w:p>
    <w:p>
      <w:pPr>
        <w:spacing w:after="0" w:line="14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Sign, date and mail your proxy card in the envelope provided.</w:t>
      </w:r>
    </w:p>
    <w:p>
      <w:pPr>
        <w:spacing w:after="0" w:line="389" w:lineRule="exact"/>
        <w:rPr>
          <w:sz w:val="20"/>
          <w:szCs w:val="20"/>
          <w:color w:val="auto"/>
        </w:rPr>
      </w:pPr>
    </w:p>
    <w:p>
      <w:pPr>
        <w:sectPr>
          <w:pgSz w:w="11900" w:h="16838" w:orient="portrait"/>
          <w:cols w:equalWidth="0" w:num="2">
            <w:col w:w="6360" w:space="720"/>
            <w:col w:w="4340"/>
          </w:cols>
          <w:pgMar w:left="240" w:top="459" w:right="239" w:bottom="1440" w:gutter="0" w:footer="0" w:header="0"/>
          <w:type w:val="continuous"/>
        </w:sectPr>
      </w:pP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submit your proxy by telephone or over the internet, you do not need to return your proxy card by mail.</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PROPOSALS AND VOTING RECOMMENDATIONS</w:t>
      </w:r>
    </w:p>
    <w:p>
      <w:pPr>
        <w:spacing w:after="0" w:line="114"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92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Proposal</w:t>
            </w:r>
          </w:p>
        </w:tc>
        <w:tc>
          <w:tcPr>
            <w:tcW w:w="5860" w:type="dxa"/>
            <w:vAlign w:val="bottom"/>
            <w:shd w:val="clear" w:color="auto" w:fill="007CBA"/>
          </w:tcPr>
          <w:p>
            <w:pPr>
              <w:ind w:left="120"/>
              <w:spacing w:after="0"/>
              <w:rPr>
                <w:sz w:val="20"/>
                <w:szCs w:val="20"/>
                <w:color w:val="auto"/>
              </w:rPr>
            </w:pPr>
            <w:r>
              <w:rPr>
                <w:rFonts w:ascii="Arial" w:cs="Arial" w:eastAsia="Arial" w:hAnsi="Arial"/>
                <w:sz w:val="16"/>
                <w:szCs w:val="16"/>
                <w:b w:val="1"/>
                <w:bCs w:val="1"/>
                <w:color w:val="FFFFFF"/>
              </w:rPr>
              <w:t>Description</w:t>
            </w:r>
          </w:p>
        </w:tc>
        <w:tc>
          <w:tcPr>
            <w:tcW w:w="310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Board Voting Recommendation</w:t>
            </w:r>
          </w:p>
        </w:tc>
        <w:tc>
          <w:tcPr>
            <w:tcW w:w="840" w:type="dxa"/>
            <w:vAlign w:val="bottom"/>
            <w:shd w:val="clear" w:color="auto" w:fill="007CBA"/>
          </w:tcPr>
          <w:p>
            <w:pPr>
              <w:jc w:val="right"/>
              <w:ind w:right="79"/>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216"/>
        </w:trPr>
        <w:tc>
          <w:tcPr>
            <w:tcW w:w="920" w:type="dxa"/>
            <w:vAlign w:val="bottom"/>
            <w:tcBorders>
              <w:bottom w:val="single" w:sz="8" w:color="007CBA"/>
            </w:tcBorders>
          </w:tcPr>
          <w:p>
            <w:pPr>
              <w:ind w:left="60"/>
              <w:spacing w:after="0"/>
              <w:rPr>
                <w:sz w:val="20"/>
                <w:szCs w:val="20"/>
                <w:color w:val="auto"/>
              </w:rPr>
            </w:pPr>
            <w:r>
              <w:rPr>
                <w:rFonts w:ascii="Arial" w:cs="Arial" w:eastAsia="Arial" w:hAnsi="Arial"/>
                <w:sz w:val="16"/>
                <w:szCs w:val="16"/>
                <w:color w:val="auto"/>
              </w:rPr>
              <w:t>1</w:t>
            </w:r>
          </w:p>
        </w:tc>
        <w:tc>
          <w:tcPr>
            <w:tcW w:w="5860" w:type="dxa"/>
            <w:vAlign w:val="bottom"/>
            <w:tcBorders>
              <w:bottom w:val="single" w:sz="8" w:color="007CBA"/>
            </w:tcBorders>
          </w:tcPr>
          <w:p>
            <w:pPr>
              <w:ind w:left="120"/>
              <w:spacing w:after="0"/>
              <w:rPr>
                <w:sz w:val="20"/>
                <w:szCs w:val="20"/>
                <w:color w:val="auto"/>
              </w:rPr>
            </w:pPr>
            <w:r>
              <w:rPr>
                <w:rFonts w:ascii="Arial" w:cs="Arial" w:eastAsia="Arial" w:hAnsi="Arial"/>
                <w:sz w:val="16"/>
                <w:szCs w:val="16"/>
                <w:color w:val="auto"/>
              </w:rPr>
              <w:t>Election of Four Director Nominees</w:t>
            </w:r>
          </w:p>
        </w:tc>
        <w:tc>
          <w:tcPr>
            <w:tcW w:w="3100" w:type="dxa"/>
            <w:vAlign w:val="bottom"/>
            <w:tcBorders>
              <w:bottom w:val="single" w:sz="8" w:color="007CBA"/>
            </w:tcBorders>
          </w:tcPr>
          <w:p>
            <w:pPr>
              <w:ind w:left="340"/>
              <w:spacing w:after="0"/>
              <w:rPr>
                <w:sz w:val="20"/>
                <w:szCs w:val="20"/>
                <w:color w:val="auto"/>
              </w:rPr>
            </w:pPr>
            <w:r>
              <w:rPr>
                <w:rFonts w:ascii="Arial" w:cs="Arial" w:eastAsia="Arial" w:hAnsi="Arial"/>
                <w:sz w:val="16"/>
                <w:szCs w:val="16"/>
                <w:color w:val="auto"/>
              </w:rPr>
              <w:t>FOR ALL DIRECTOR NOMINEES</w:t>
            </w:r>
          </w:p>
        </w:tc>
        <w:tc>
          <w:tcPr>
            <w:tcW w:w="84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4"/>
        </w:trPr>
        <w:tc>
          <w:tcPr>
            <w:tcW w:w="920" w:type="dxa"/>
            <w:vAlign w:val="bottom"/>
            <w:vMerge w:val="restart"/>
          </w:tcPr>
          <w:p>
            <w:pPr>
              <w:ind w:left="60"/>
              <w:spacing w:after="0"/>
              <w:rPr>
                <w:sz w:val="20"/>
                <w:szCs w:val="20"/>
                <w:color w:val="auto"/>
              </w:rPr>
            </w:pPr>
            <w:r>
              <w:rPr>
                <w:rFonts w:ascii="Arial" w:cs="Arial" w:eastAsia="Arial" w:hAnsi="Arial"/>
                <w:sz w:val="16"/>
                <w:szCs w:val="16"/>
                <w:color w:val="auto"/>
              </w:rPr>
              <w:t>2</w:t>
            </w:r>
          </w:p>
        </w:tc>
        <w:tc>
          <w:tcPr>
            <w:tcW w:w="5860" w:type="dxa"/>
            <w:vAlign w:val="bottom"/>
          </w:tcPr>
          <w:p>
            <w:pPr>
              <w:ind w:left="120"/>
              <w:spacing w:after="0"/>
              <w:rPr>
                <w:sz w:val="20"/>
                <w:szCs w:val="20"/>
                <w:color w:val="auto"/>
              </w:rPr>
            </w:pPr>
            <w:r>
              <w:rPr>
                <w:rFonts w:ascii="Arial" w:cs="Arial" w:eastAsia="Arial" w:hAnsi="Arial"/>
                <w:sz w:val="16"/>
                <w:szCs w:val="16"/>
                <w:color w:val="auto"/>
              </w:rPr>
              <w:t>Ratification of the appointment of</w:t>
            </w:r>
          </w:p>
        </w:tc>
        <w:tc>
          <w:tcPr>
            <w:tcW w:w="3100" w:type="dxa"/>
            <w:vAlign w:val="bottom"/>
            <w:vMerge w:val="restart"/>
          </w:tcPr>
          <w:p>
            <w:pPr>
              <w:ind w:left="340"/>
              <w:spacing w:after="0"/>
              <w:rPr>
                <w:sz w:val="20"/>
                <w:szCs w:val="20"/>
                <w:color w:val="auto"/>
              </w:rPr>
            </w:pPr>
            <w:r>
              <w:rPr>
                <w:rFonts w:ascii="Arial" w:cs="Arial" w:eastAsia="Arial" w:hAnsi="Arial"/>
                <w:sz w:val="16"/>
                <w:szCs w:val="16"/>
                <w:color w:val="auto"/>
              </w:rPr>
              <w:t>FOR</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5860" w:type="dxa"/>
            <w:vAlign w:val="bottom"/>
            <w:vMerge w:val="restart"/>
          </w:tcPr>
          <w:p>
            <w:pPr>
              <w:ind w:left="120"/>
              <w:spacing w:after="0"/>
              <w:rPr>
                <w:sz w:val="20"/>
                <w:szCs w:val="20"/>
                <w:color w:val="auto"/>
              </w:rPr>
            </w:pPr>
            <w:r>
              <w:rPr>
                <w:rFonts w:ascii="Arial" w:cs="Arial" w:eastAsia="Arial" w:hAnsi="Arial"/>
                <w:sz w:val="16"/>
                <w:szCs w:val="16"/>
                <w:color w:val="auto"/>
              </w:rPr>
              <w:t>PricewaterhouseCoopers LLP as independent auditors</w:t>
            </w:r>
          </w:p>
        </w:tc>
        <w:tc>
          <w:tcPr>
            <w:tcW w:w="31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920" w:type="dxa"/>
            <w:vAlign w:val="bottom"/>
            <w:tcBorders>
              <w:bottom w:val="single" w:sz="8" w:color="007CBA"/>
            </w:tcBorders>
          </w:tcPr>
          <w:p>
            <w:pPr>
              <w:spacing w:after="0"/>
              <w:rPr>
                <w:sz w:val="6"/>
                <w:szCs w:val="6"/>
                <w:color w:val="auto"/>
              </w:rPr>
            </w:pPr>
          </w:p>
        </w:tc>
        <w:tc>
          <w:tcPr>
            <w:tcW w:w="5860" w:type="dxa"/>
            <w:vAlign w:val="bottom"/>
            <w:tcBorders>
              <w:bottom w:val="single" w:sz="8" w:color="007CBA"/>
            </w:tcBorders>
            <w:vMerge w:val="continue"/>
          </w:tcPr>
          <w:p>
            <w:pPr>
              <w:spacing w:after="0"/>
              <w:rPr>
                <w:sz w:val="6"/>
                <w:szCs w:val="6"/>
                <w:color w:val="auto"/>
              </w:rPr>
            </w:pPr>
          </w:p>
        </w:tc>
        <w:tc>
          <w:tcPr>
            <w:tcW w:w="3100" w:type="dxa"/>
            <w:vAlign w:val="bottom"/>
            <w:tcBorders>
              <w:bottom w:val="single" w:sz="8" w:color="007CBA"/>
            </w:tcBorders>
          </w:tcPr>
          <w:p>
            <w:pPr>
              <w:spacing w:after="0"/>
              <w:rPr>
                <w:sz w:val="6"/>
                <w:szCs w:val="6"/>
                <w:color w:val="auto"/>
              </w:rPr>
            </w:pPr>
          </w:p>
        </w:tc>
        <w:tc>
          <w:tcPr>
            <w:tcW w:w="840" w:type="dxa"/>
            <w:vAlign w:val="bottom"/>
            <w:tcBorders>
              <w:bottom w:val="single" w:sz="8" w:color="007CBA"/>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07CBA"/>
            </w:tcBorders>
          </w:tcPr>
          <w:p>
            <w:pPr>
              <w:ind w:left="60"/>
              <w:spacing w:after="0"/>
              <w:rPr>
                <w:sz w:val="20"/>
                <w:szCs w:val="20"/>
                <w:color w:val="auto"/>
              </w:rPr>
            </w:pPr>
            <w:r>
              <w:rPr>
                <w:rFonts w:ascii="Arial" w:cs="Arial" w:eastAsia="Arial" w:hAnsi="Arial"/>
                <w:sz w:val="16"/>
                <w:szCs w:val="16"/>
                <w:color w:val="auto"/>
              </w:rPr>
              <w:t>3</w:t>
            </w:r>
          </w:p>
        </w:tc>
        <w:tc>
          <w:tcPr>
            <w:tcW w:w="5860" w:type="dxa"/>
            <w:vAlign w:val="bottom"/>
            <w:tcBorders>
              <w:bottom w:val="single" w:sz="8" w:color="007CBA"/>
            </w:tcBorders>
          </w:tcPr>
          <w:p>
            <w:pPr>
              <w:ind w:left="120"/>
              <w:spacing w:after="0"/>
              <w:rPr>
                <w:sz w:val="20"/>
                <w:szCs w:val="20"/>
                <w:color w:val="auto"/>
              </w:rPr>
            </w:pPr>
            <w:r>
              <w:rPr>
                <w:rFonts w:ascii="Arial" w:cs="Arial" w:eastAsia="Arial" w:hAnsi="Arial"/>
                <w:sz w:val="16"/>
                <w:szCs w:val="16"/>
                <w:color w:val="auto"/>
              </w:rPr>
              <w:t>Advisory Vote on Company’s Executive Compensation</w:t>
            </w:r>
          </w:p>
        </w:tc>
        <w:tc>
          <w:tcPr>
            <w:tcW w:w="3100" w:type="dxa"/>
            <w:vAlign w:val="bottom"/>
            <w:tcBorders>
              <w:bottom w:val="single" w:sz="8" w:color="007CBA"/>
            </w:tcBorders>
          </w:tcPr>
          <w:p>
            <w:pPr>
              <w:ind w:left="340"/>
              <w:spacing w:after="0"/>
              <w:rPr>
                <w:sz w:val="20"/>
                <w:szCs w:val="20"/>
                <w:color w:val="auto"/>
              </w:rPr>
            </w:pPr>
            <w:r>
              <w:rPr>
                <w:rFonts w:ascii="Arial" w:cs="Arial" w:eastAsia="Arial" w:hAnsi="Arial"/>
                <w:sz w:val="16"/>
                <w:szCs w:val="16"/>
                <w:color w:val="auto"/>
              </w:rPr>
              <w:t>FOR</w:t>
            </w:r>
          </w:p>
        </w:tc>
        <w:tc>
          <w:tcPr>
            <w:tcW w:w="84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920" w:type="dxa"/>
            <w:vAlign w:val="bottom"/>
            <w:tcBorders>
              <w:bottom w:val="single" w:sz="8" w:color="007CBA"/>
            </w:tcBorders>
          </w:tcPr>
          <w:p>
            <w:pPr>
              <w:ind w:left="60"/>
              <w:spacing w:after="0"/>
              <w:rPr>
                <w:sz w:val="20"/>
                <w:szCs w:val="20"/>
                <w:color w:val="auto"/>
              </w:rPr>
            </w:pPr>
            <w:r>
              <w:rPr>
                <w:rFonts w:ascii="Arial" w:cs="Arial" w:eastAsia="Arial" w:hAnsi="Arial"/>
                <w:sz w:val="16"/>
                <w:szCs w:val="16"/>
                <w:color w:val="auto"/>
              </w:rPr>
              <w:t>4</w:t>
            </w:r>
          </w:p>
        </w:tc>
        <w:tc>
          <w:tcPr>
            <w:tcW w:w="5860" w:type="dxa"/>
            <w:vAlign w:val="bottom"/>
            <w:tcBorders>
              <w:bottom w:val="single" w:sz="8" w:color="007CBA"/>
            </w:tcBorders>
          </w:tcPr>
          <w:p>
            <w:pPr>
              <w:ind w:left="120"/>
              <w:spacing w:after="0"/>
              <w:rPr>
                <w:sz w:val="20"/>
                <w:szCs w:val="20"/>
                <w:color w:val="auto"/>
              </w:rPr>
            </w:pPr>
            <w:r>
              <w:rPr>
                <w:rFonts w:ascii="Arial" w:cs="Arial" w:eastAsia="Arial" w:hAnsi="Arial"/>
                <w:sz w:val="16"/>
                <w:szCs w:val="16"/>
                <w:color w:val="auto"/>
              </w:rPr>
              <w:t>Advisory Vote on Frequency of Shareholder Votes on Executive Compensation</w:t>
            </w:r>
          </w:p>
        </w:tc>
        <w:tc>
          <w:tcPr>
            <w:tcW w:w="3100" w:type="dxa"/>
            <w:vAlign w:val="bottom"/>
            <w:tcBorders>
              <w:bottom w:val="single" w:sz="8" w:color="007CBA"/>
            </w:tcBorders>
          </w:tcPr>
          <w:p>
            <w:pPr>
              <w:ind w:left="340"/>
              <w:spacing w:after="0"/>
              <w:rPr>
                <w:sz w:val="20"/>
                <w:szCs w:val="20"/>
                <w:color w:val="auto"/>
              </w:rPr>
            </w:pPr>
            <w:r>
              <w:rPr>
                <w:rFonts w:ascii="Arial" w:cs="Arial" w:eastAsia="Arial" w:hAnsi="Arial"/>
                <w:sz w:val="16"/>
                <w:szCs w:val="16"/>
                <w:color w:val="auto"/>
              </w:rPr>
              <w:t>EVERY 1 YEAR</w:t>
            </w:r>
          </w:p>
        </w:tc>
        <w:tc>
          <w:tcPr>
            <w:tcW w:w="84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4"/>
        </w:trPr>
        <w:tc>
          <w:tcPr>
            <w:tcW w:w="920" w:type="dxa"/>
            <w:vAlign w:val="bottom"/>
          </w:tcPr>
          <w:p>
            <w:pPr>
              <w:ind w:left="60"/>
              <w:spacing w:after="0"/>
              <w:rPr>
                <w:sz w:val="20"/>
                <w:szCs w:val="20"/>
                <w:color w:val="auto"/>
              </w:rPr>
            </w:pPr>
            <w:r>
              <w:rPr>
                <w:rFonts w:ascii="Arial" w:cs="Arial" w:eastAsia="Arial" w:hAnsi="Arial"/>
                <w:sz w:val="16"/>
                <w:szCs w:val="16"/>
                <w:color w:val="auto"/>
              </w:rPr>
              <w:t>5</w:t>
            </w:r>
          </w:p>
        </w:tc>
        <w:tc>
          <w:tcPr>
            <w:tcW w:w="5860" w:type="dxa"/>
            <w:vAlign w:val="bottom"/>
          </w:tcPr>
          <w:p>
            <w:pPr>
              <w:ind w:left="120"/>
              <w:spacing w:after="0"/>
              <w:rPr>
                <w:sz w:val="20"/>
                <w:szCs w:val="20"/>
                <w:color w:val="auto"/>
              </w:rPr>
            </w:pPr>
            <w:r>
              <w:rPr>
                <w:rFonts w:ascii="Arial" w:cs="Arial" w:eastAsia="Arial" w:hAnsi="Arial"/>
                <w:sz w:val="16"/>
                <w:szCs w:val="16"/>
                <w:color w:val="auto"/>
              </w:rPr>
              <w:t>Advisory Vote on Shareholder Proposal Requesting that the Board Amend the</w:t>
            </w:r>
          </w:p>
        </w:tc>
        <w:tc>
          <w:tcPr>
            <w:tcW w:w="3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007CBA"/>
            </w:tcBorders>
          </w:tcPr>
          <w:p>
            <w:pPr>
              <w:spacing w:after="0"/>
              <w:rPr>
                <w:sz w:val="16"/>
                <w:szCs w:val="16"/>
                <w:color w:val="auto"/>
              </w:rPr>
            </w:pPr>
          </w:p>
        </w:tc>
        <w:tc>
          <w:tcPr>
            <w:tcW w:w="5860" w:type="dxa"/>
            <w:vAlign w:val="bottom"/>
            <w:tcBorders>
              <w:bottom w:val="single" w:sz="8" w:color="007CBA"/>
            </w:tcBorders>
          </w:tcPr>
          <w:p>
            <w:pPr>
              <w:ind w:left="120"/>
              <w:spacing w:after="0"/>
              <w:rPr>
                <w:sz w:val="20"/>
                <w:szCs w:val="20"/>
                <w:color w:val="auto"/>
              </w:rPr>
            </w:pPr>
            <w:r>
              <w:rPr>
                <w:rFonts w:ascii="Arial" w:cs="Arial" w:eastAsia="Arial" w:hAnsi="Arial"/>
                <w:sz w:val="16"/>
                <w:szCs w:val="16"/>
                <w:color w:val="auto"/>
              </w:rPr>
              <w:t>Bylaws to Provide for Proxy Access</w:t>
            </w:r>
          </w:p>
        </w:tc>
        <w:tc>
          <w:tcPr>
            <w:tcW w:w="3100" w:type="dxa"/>
            <w:vAlign w:val="bottom"/>
            <w:tcBorders>
              <w:bottom w:val="single" w:sz="8" w:color="007CBA"/>
            </w:tcBorders>
          </w:tcPr>
          <w:p>
            <w:pPr>
              <w:ind w:left="320"/>
              <w:spacing w:after="0"/>
              <w:rPr>
                <w:sz w:val="20"/>
                <w:szCs w:val="20"/>
                <w:color w:val="auto"/>
              </w:rPr>
            </w:pPr>
            <w:r>
              <w:rPr>
                <w:rFonts w:ascii="Arial" w:cs="Arial" w:eastAsia="Arial" w:hAnsi="Arial"/>
                <w:sz w:val="16"/>
                <w:szCs w:val="16"/>
                <w:color w:val="auto"/>
              </w:rPr>
              <w:t>AGAINST</w:t>
            </w:r>
          </w:p>
        </w:tc>
        <w:tc>
          <w:tcPr>
            <w:tcW w:w="84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1612265</wp:posOffset>
            </wp:positionV>
            <wp:extent cx="411480"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3"/>
                <w:szCs w:val="13"/>
                <w:color w:val="007CBA"/>
              </w:rPr>
              <w:t>2017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bl>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889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788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Shareholders Benefit from Martin Marietta’s Strong 2016 Performance</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Record net sales of $3.58 billion </w:t>
      </w:r>
      <w:r>
        <w:rPr>
          <w:rFonts w:ascii="Arial" w:cs="Arial" w:eastAsia="Arial" w:hAnsi="Arial"/>
          <w:sz w:val="16"/>
          <w:szCs w:val="16"/>
          <w:b w:val="1"/>
          <w:bCs w:val="1"/>
          <w:color w:val="auto"/>
        </w:rPr>
        <w:t>up 9.4%</w:t>
      </w:r>
      <w:r>
        <w:rPr>
          <w:rFonts w:ascii="Arial" w:cs="Arial" w:eastAsia="Arial" w:hAnsi="Arial"/>
          <w:sz w:val="16"/>
          <w:szCs w:val="16"/>
          <w:color w:val="auto"/>
        </w:rPr>
        <w:t xml:space="preserve"> from 2015</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Record gross profit of $909 million </w:t>
      </w:r>
      <w:r>
        <w:rPr>
          <w:rFonts w:ascii="Arial" w:cs="Arial" w:eastAsia="Arial" w:hAnsi="Arial"/>
          <w:sz w:val="16"/>
          <w:szCs w:val="16"/>
          <w:b w:val="1"/>
          <w:bCs w:val="1"/>
          <w:color w:val="auto"/>
        </w:rPr>
        <w:t>up 25.9%</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Record operating earnings of $667.3 million </w:t>
      </w:r>
      <w:r>
        <w:rPr>
          <w:rFonts w:ascii="Arial" w:cs="Arial" w:eastAsia="Arial" w:hAnsi="Arial"/>
          <w:sz w:val="16"/>
          <w:szCs w:val="16"/>
          <w:b w:val="1"/>
          <w:bCs w:val="1"/>
          <w:color w:val="auto"/>
        </w:rPr>
        <w:t>up 39.2%</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Net earnings attributable to Martin Marietta of $425.4 million, an </w:t>
      </w:r>
      <w:r>
        <w:rPr>
          <w:rFonts w:ascii="Arial" w:cs="Arial" w:eastAsia="Arial" w:hAnsi="Arial"/>
          <w:sz w:val="16"/>
          <w:szCs w:val="16"/>
          <w:b w:val="1"/>
          <w:bCs w:val="1"/>
          <w:color w:val="auto"/>
        </w:rPr>
        <w:t>increase of 47%</w:t>
      </w:r>
      <w:r>
        <w:rPr>
          <w:rFonts w:ascii="Arial" w:cs="Arial" w:eastAsia="Arial" w:hAnsi="Arial"/>
          <w:sz w:val="16"/>
          <w:szCs w:val="16"/>
          <w:color w:val="auto"/>
        </w:rPr>
        <w:t xml:space="preserve"> over 2015</w:t>
      </w:r>
    </w:p>
    <w:p>
      <w:pPr>
        <w:spacing w:after="0" w:line="86" w:lineRule="exact"/>
        <w:rPr>
          <w:sz w:val="20"/>
          <w:szCs w:val="20"/>
          <w:color w:val="auto"/>
        </w:rPr>
      </w:pPr>
    </w:p>
    <w:p>
      <w:pPr>
        <w:ind w:left="800" w:right="1640"/>
        <w:spacing w:after="0" w:line="392" w:lineRule="auto"/>
        <w:rPr>
          <w:sz w:val="20"/>
          <w:szCs w:val="20"/>
          <w:color w:val="auto"/>
        </w:rPr>
      </w:pPr>
      <w:r>
        <w:rPr>
          <w:rFonts w:ascii="Arial" w:cs="Arial" w:eastAsia="Arial" w:hAnsi="Arial"/>
          <w:sz w:val="16"/>
          <w:szCs w:val="16"/>
          <w:color w:val="auto"/>
        </w:rPr>
        <w:t xml:space="preserve">Earnings before interest, taxes, depreciation, depletion and amortization (EBITDA) of $971.6 million </w:t>
      </w:r>
      <w:r>
        <w:rPr>
          <w:rFonts w:ascii="Arial" w:cs="Arial" w:eastAsia="Arial" w:hAnsi="Arial"/>
          <w:sz w:val="16"/>
          <w:szCs w:val="16"/>
          <w:b w:val="1"/>
          <w:bCs w:val="1"/>
          <w:color w:val="auto"/>
        </w:rPr>
        <w:t>up 29.4%</w:t>
      </w:r>
      <w:r>
        <w:rPr>
          <w:rFonts w:ascii="Arial" w:cs="Arial" w:eastAsia="Arial" w:hAnsi="Arial"/>
          <w:sz w:val="16"/>
          <w:szCs w:val="16"/>
          <w:color w:val="auto"/>
        </w:rPr>
        <w:t xml:space="preserve"> from 2015 Earnings attributable to common shareholders per diluted share of $6.63 compared with $4.29, </w:t>
      </w:r>
      <w:r>
        <w:rPr>
          <w:rFonts w:ascii="Arial" w:cs="Arial" w:eastAsia="Arial" w:hAnsi="Arial"/>
          <w:sz w:val="16"/>
          <w:szCs w:val="16"/>
          <w:b w:val="1"/>
          <w:bCs w:val="1"/>
          <w:color w:val="auto"/>
        </w:rPr>
        <w:t>up 54.5%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Notes: Peak and trough years are measured against the reported earnings with no adjustments for unusual or infrequent items. Trough years vary for</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each measure as follows: Net Sales – 2009; Gross Profit – 2011; Operating Earnings – 2012; Net Earnings – 2011; EBITDA - 2012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1819910</wp:posOffset>
            </wp:positionV>
            <wp:extent cx="41148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080"/>
          </w:cols>
          <w:pgMar w:left="24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095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09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reconciliation of Net Earnings Attributable to Martin Marietta to EBITDA is included in 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Corporate Governance Highlights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Recent Updates</w:t>
      </w:r>
    </w:p>
    <w:p>
      <w:pPr>
        <w:spacing w:after="0" w:line="143"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Declassified Board phase-in begins—Directors elected in 2017 to serve one-year terms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7"/>
        </w:numPr>
        <w:rPr>
          <w:rFonts w:ascii="Arial" w:cs="Arial" w:eastAsia="Arial" w:hAnsi="Arial"/>
          <w:sz w:val="16"/>
          <w:szCs w:val="16"/>
          <w:color w:val="007CBA"/>
        </w:rPr>
      </w:pPr>
      <w:r>
        <w:rPr>
          <w:rFonts w:ascii="Arial" w:cs="Arial" w:eastAsia="Arial" w:hAnsi="Arial"/>
          <w:sz w:val="16"/>
          <w:szCs w:val="16"/>
          <w:color w:val="auto"/>
        </w:rPr>
        <w:t>Modifications to our long-term equity compensation and cash incentive programs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Board of Directors</w:t>
      </w:r>
    </w:p>
    <w:p>
      <w:pPr>
        <w:spacing w:after="0" w:line="143"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Lead Independent Director</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10 Directors; 9 are non-employees; 8 are independent</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Key committee Chairs are independent</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Executive sessions of non-management Directors at each regularly-scheduled meeting</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All Directors attended 100% of all Board and committee meetings in 2016</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Limited membership on other public company boards</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Code of Ethical Business Conduct and ethics program that reports to a Board Committee</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Regular Board self-assessments and Director peer review</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8"/>
        </w:numPr>
        <w:rPr>
          <w:rFonts w:ascii="Arial" w:cs="Arial" w:eastAsia="Arial" w:hAnsi="Arial"/>
          <w:sz w:val="16"/>
          <w:szCs w:val="16"/>
          <w:color w:val="007CBA"/>
        </w:rPr>
      </w:pPr>
      <w:r>
        <w:rPr>
          <w:rFonts w:ascii="Arial" w:cs="Arial" w:eastAsia="Arial" w:hAnsi="Arial"/>
          <w:sz w:val="16"/>
          <w:szCs w:val="16"/>
          <w:color w:val="auto"/>
        </w:rPr>
        <w:t>Risk oversight by full Board and Committees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Shareholder Interest</w:t>
      </w:r>
    </w:p>
    <w:p>
      <w:pPr>
        <w:spacing w:after="0" w:line="143"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007CBA"/>
        </w:rPr>
      </w:pPr>
      <w:r>
        <w:rPr>
          <w:rFonts w:ascii="Arial" w:cs="Arial" w:eastAsia="Arial" w:hAnsi="Arial"/>
          <w:sz w:val="16"/>
          <w:szCs w:val="16"/>
          <w:color w:val="auto"/>
        </w:rPr>
        <w:t>Majority voting standard for uncontested Director elections</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9"/>
        </w:numPr>
        <w:rPr>
          <w:rFonts w:ascii="Arial" w:cs="Arial" w:eastAsia="Arial" w:hAnsi="Arial"/>
          <w:sz w:val="16"/>
          <w:szCs w:val="16"/>
          <w:color w:val="007CBA"/>
        </w:rPr>
      </w:pPr>
      <w:r>
        <w:rPr>
          <w:rFonts w:ascii="Arial" w:cs="Arial" w:eastAsia="Arial" w:hAnsi="Arial"/>
          <w:sz w:val="16"/>
          <w:szCs w:val="16"/>
          <w:color w:val="auto"/>
        </w:rPr>
        <w:t>No shareholder rights plan</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9"/>
        </w:numPr>
        <w:rPr>
          <w:rFonts w:ascii="Arial" w:cs="Arial" w:eastAsia="Arial" w:hAnsi="Arial"/>
          <w:sz w:val="16"/>
          <w:szCs w:val="16"/>
          <w:color w:val="007CBA"/>
        </w:rPr>
      </w:pPr>
      <w:r>
        <w:rPr>
          <w:rFonts w:ascii="Arial" w:cs="Arial" w:eastAsia="Arial" w:hAnsi="Arial"/>
          <w:sz w:val="16"/>
          <w:szCs w:val="16"/>
          <w:color w:val="auto"/>
        </w:rPr>
        <w:t>Annual advisory vote to ratify independent auditor</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9"/>
        </w:numPr>
        <w:rPr>
          <w:rFonts w:ascii="Arial" w:cs="Arial" w:eastAsia="Arial" w:hAnsi="Arial"/>
          <w:sz w:val="16"/>
          <w:szCs w:val="16"/>
          <w:color w:val="007CBA"/>
        </w:rPr>
      </w:pPr>
      <w:r>
        <w:rPr>
          <w:rFonts w:ascii="Arial" w:cs="Arial" w:eastAsia="Arial" w:hAnsi="Arial"/>
          <w:sz w:val="16"/>
          <w:szCs w:val="16"/>
          <w:color w:val="auto"/>
        </w:rPr>
        <w:t>Annual advisory vote to approve executive compensation</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9"/>
        </w:numPr>
        <w:rPr>
          <w:rFonts w:ascii="Arial" w:cs="Arial" w:eastAsia="Arial" w:hAnsi="Arial"/>
          <w:sz w:val="16"/>
          <w:szCs w:val="16"/>
          <w:color w:val="007CBA"/>
        </w:rPr>
      </w:pPr>
      <w:r>
        <w:rPr>
          <w:rFonts w:ascii="Arial" w:cs="Arial" w:eastAsia="Arial" w:hAnsi="Arial"/>
          <w:sz w:val="16"/>
          <w:szCs w:val="16"/>
          <w:color w:val="auto"/>
        </w:rPr>
        <w:t>Longstanding active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1631315</wp:posOffset>
            </wp:positionV>
            <wp:extent cx="41148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3"/>
                <w:szCs w:val="13"/>
                <w:color w:val="007CBA"/>
              </w:rPr>
              <w:t>2017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086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08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Board Composition</w:t>
      </w:r>
    </w:p>
    <w:p>
      <w:pPr>
        <w:spacing w:after="0" w:line="258" w:lineRule="exact"/>
        <w:rPr>
          <w:sz w:val="20"/>
          <w:szCs w:val="20"/>
          <w:color w:val="auto"/>
        </w:rPr>
      </w:pPr>
    </w:p>
    <w:p>
      <w:pPr>
        <w:jc w:val="both"/>
        <w:ind w:left="360"/>
        <w:spacing w:after="0" w:line="253" w:lineRule="auto"/>
        <w:rPr>
          <w:sz w:val="20"/>
          <w:szCs w:val="20"/>
          <w:color w:val="auto"/>
        </w:rPr>
      </w:pPr>
      <w:r>
        <w:rPr>
          <w:rFonts w:ascii="Arial" w:cs="Arial" w:eastAsia="Arial" w:hAnsi="Arial"/>
          <w:sz w:val="16"/>
          <w:szCs w:val="16"/>
          <w:color w:val="auto"/>
        </w:rPr>
        <w:t xml:space="preserve">In 2016, we elected two new Directors to the Board, each with extensive experience serving as chief executive officers and members of the board of directors of large publicly-traded companies. We were recognized in 2015 at the </w:t>
      </w:r>
      <w:r>
        <w:rPr>
          <w:rFonts w:ascii="Arial" w:cs="Arial" w:eastAsia="Arial" w:hAnsi="Arial"/>
          <w:sz w:val="16"/>
          <w:szCs w:val="16"/>
          <w:i w:val="1"/>
          <w:iCs w:val="1"/>
          <w:color w:val="auto"/>
        </w:rPr>
        <w:t>Women’s Forum of New York at its Biennial Breakfast of 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Champions </w:t>
      </w:r>
      <w:r>
        <w:rPr>
          <w:rFonts w:ascii="Arial" w:cs="Arial" w:eastAsia="Arial" w:hAnsi="Arial"/>
          <w:sz w:val="16"/>
          <w:szCs w:val="16"/>
          <w:color w:val="auto"/>
        </w:rPr>
        <w:t>for our Board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Board Attendance</w:t>
      </w:r>
    </w:p>
    <w:p>
      <w:pPr>
        <w:spacing w:after="0" w:line="258" w:lineRule="exact"/>
        <w:rPr>
          <w:sz w:val="20"/>
          <w:szCs w:val="20"/>
          <w:color w:val="auto"/>
        </w:rPr>
      </w:pPr>
    </w:p>
    <w:p>
      <w:pPr>
        <w:jc w:val="both"/>
        <w:ind w:left="360"/>
        <w:spacing w:after="0" w:line="260" w:lineRule="auto"/>
        <w:rPr>
          <w:sz w:val="20"/>
          <w:szCs w:val="20"/>
          <w:color w:val="auto"/>
        </w:rPr>
      </w:pPr>
      <w:r>
        <w:rPr>
          <w:rFonts w:ascii="Arial" w:cs="Arial" w:eastAsia="Arial" w:hAnsi="Arial"/>
          <w:sz w:val="16"/>
          <w:szCs w:val="16"/>
          <w:color w:val="auto"/>
        </w:rPr>
        <w:t>In 2016, all directors attended 100% of the total Board and committee meetings to which they were assigned. All incumbent directors attended the May 2016 Annual Meeting, except for Mr. Koraleski who joined the Board in August 2016.</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Our Compensation Approach</w:t>
      </w:r>
    </w:p>
    <w:p>
      <w:pPr>
        <w:spacing w:after="0" w:line="258" w:lineRule="exact"/>
        <w:rPr>
          <w:sz w:val="20"/>
          <w:szCs w:val="20"/>
          <w:color w:val="auto"/>
        </w:rPr>
      </w:pPr>
    </w:p>
    <w:p>
      <w:pPr>
        <w:jc w:val="both"/>
        <w:ind w:left="360"/>
        <w:spacing w:after="0" w:line="251" w:lineRule="auto"/>
        <w:rPr>
          <w:sz w:val="20"/>
          <w:szCs w:val="20"/>
          <w:color w:val="auto"/>
        </w:rPr>
      </w:pPr>
      <w:r>
        <w:rPr>
          <w:rFonts w:ascii="Arial" w:cs="Arial" w:eastAsia="Arial" w:hAnsi="Arial"/>
          <w:sz w:val="16"/>
          <w:szCs w:val="16"/>
          <w:color w:val="auto"/>
        </w:rPr>
        <w:t>A substantial portion of compensation paid to our named executive officers (“NEOs”) is variable and performance-based. We use the 50th percentile of our comparator group to set target compensation, but actual pay realized by our NEOs is dependent on our financial, operational and other related performance. Based on our record levels of performance in 2016, variable compensation payable under both our short-term and long-term incentive plans exceeded the target amounts established for each NEO, which is consistent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3746500</wp:posOffset>
            </wp:positionV>
            <wp:extent cx="41148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080"/>
          </w:cols>
          <w:pgMar w:left="240" w:top="459" w:right="5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889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788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Shareholder Rights and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Will any other matters be presented at the Annual Meeting?</w:t>
      </w:r>
    </w:p>
    <w:p>
      <w:pPr>
        <w:spacing w:after="0" w:line="218" w:lineRule="exact"/>
        <w:rPr>
          <w:sz w:val="20"/>
          <w:szCs w:val="20"/>
          <w:color w:val="auto"/>
        </w:rPr>
      </w:pPr>
    </w:p>
    <w:p>
      <w:pPr>
        <w:jc w:val="both"/>
        <w:ind w:left="360" w:right="340"/>
        <w:spacing w:after="0" w:line="250"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007CBA"/>
        </w:rPr>
        <w:t>What are the Board’s recommendations?</w:t>
      </w:r>
    </w:p>
    <w:p>
      <w:pPr>
        <w:spacing w:after="0" w:line="218" w:lineRule="exact"/>
        <w:rPr>
          <w:sz w:val="20"/>
          <w:szCs w:val="20"/>
          <w:color w:val="auto"/>
        </w:rPr>
      </w:pPr>
    </w:p>
    <w:p>
      <w:pPr>
        <w:jc w:val="both"/>
        <w:ind w:left="360" w:right="340"/>
        <w:spacing w:after="0" w:line="253" w:lineRule="auto"/>
        <w:rPr>
          <w:sz w:val="20"/>
          <w:szCs w:val="20"/>
          <w:color w:val="auto"/>
        </w:rPr>
      </w:pPr>
      <w:r>
        <w:rPr>
          <w:rFonts w:ascii="Arial" w:cs="Arial" w:eastAsia="Arial" w:hAnsi="Arial"/>
          <w:sz w:val="16"/>
          <w:szCs w:val="16"/>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8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nominated slate of Directors;</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PricewaterhouseCoopers LLP as independent auditors;</w:t>
      </w:r>
    </w:p>
    <w:p>
      <w:pPr>
        <w:spacing w:after="0" w:line="8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the compensation of our named executive officers as described in this proxy statement;</w:t>
      </w:r>
    </w:p>
    <w:p>
      <w:pPr>
        <w:spacing w:after="0" w:line="86" w:lineRule="exact"/>
        <w:rPr>
          <w:rFonts w:ascii="Arial" w:cs="Arial" w:eastAsia="Arial" w:hAnsi="Arial"/>
          <w:sz w:val="16"/>
          <w:szCs w:val="16"/>
          <w:color w:val="007CBA"/>
        </w:rPr>
      </w:pPr>
    </w:p>
    <w:p>
      <w:pPr>
        <w:ind w:left="780" w:right="340" w:hanging="326"/>
        <w:spacing w:after="0" w:line="286" w:lineRule="auto"/>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selection of “</w:t>
      </w:r>
      <w:r>
        <w:rPr>
          <w:rFonts w:ascii="Arial" w:cs="Arial" w:eastAsia="Arial" w:hAnsi="Arial"/>
          <w:sz w:val="16"/>
          <w:szCs w:val="16"/>
          <w:b w:val="1"/>
          <w:bCs w:val="1"/>
          <w:color w:val="auto"/>
        </w:rPr>
        <w:t>EVERY 1 YEAR</w:t>
      </w:r>
      <w:r>
        <w:rPr>
          <w:rFonts w:ascii="Arial" w:cs="Arial" w:eastAsia="Arial" w:hAnsi="Arial"/>
          <w:sz w:val="16"/>
          <w:szCs w:val="16"/>
          <w:color w:val="auto"/>
        </w:rPr>
        <w:t>” for the frequency of future non-binding advisory votes on the compensation of our named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w:t>
      </w:r>
    </w:p>
    <w:p>
      <w:pPr>
        <w:spacing w:after="0" w:line="20"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the advisory vote on the shareholder proposal requesting that the Board amend the Bylaws to provide for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349250</wp:posOffset>
            </wp:positionV>
            <wp:extent cx="41148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3"/>
                <w:szCs w:val="13"/>
                <w:color w:val="007CBA"/>
              </w:rPr>
              <w:t>2017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969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CBA"/>
        </w:rPr>
        <w:t>CAUTIONARY NOTE REGARDING FORWARD-LOOKING STATEMENTS</w:t>
      </w:r>
    </w:p>
    <w:p>
      <w:pPr>
        <w:spacing w:after="0" w:line="22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4"/>
          <w:szCs w:val="14"/>
          <w:i w:val="1"/>
          <w:iCs w:val="1"/>
          <w:color w:val="auto"/>
        </w:rPr>
        <w:t>This proxy statement contains forward-looking statements as defined in the Securities Exchange Act of 1934 and is subject to the safe harbors created therein. The forward-looking statements contained herein are generally identified by the words “believe,” “project,” “expect,” “anticipate,” “estimate,” “intend,” “strategy,” “future,” “opportunity,” “plan,” “may,” “should,” “will,” “would,” “will be,” “will continue,” “will likely result,” and similar expressions. Forward-looking statements are based on the beliefs and assumptions of our management and on currently available information. A detailed discussion of risks and uncertainties that could cause actual results and events to differ materially from such forward-looking statements is included in our annual report on Form 10-K for the fiscal year ended December 31, 2016. We undertake no responsibility to publicly update or revise any forward-looking statement.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The Board of Directors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of Directors currently consists of ten members, nine of whom are non-employee Directors. At the 2016 Annual Meeting, shareholders approved the Board of Directors’ proposal to amend our Articles of Incorporation to phase out the classification of the terms of our Directors and to provide instead for the annual election of our Directors. Prior to the charter amendment, our Board of Directors was divided into three classes, with each class serving three-year terms. Now, commencing with this 2017 Annual Meeting of Shareholders, our Directors will be elected to one-year terms of office after the current terms of the Directors of each class expire at the 2017, 2018 and 2019 Annual Meetings of Shareholders.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of Directors has nominated four persons for election as Directors to serve a one-year term expiring in 2018. Unless otherwise directed, proxies will be voted in favor of these nominees. Each nominee has agreed to serve if elected. Each of the nominees is currently serving as a Director. Mr. Koraleski was appointed as a Director as of August 15, 2016.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2016 Annual Meeting, for a nomination to be properly made by a shareholder at the 2017 Annual Meeting, the shareholder’s notice must have been sent to, and received by, our Secretary at our principal executive offices between January 20, 2017 and February 19, 2017.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Bylaws of the Corporation provide that a Director will retire at the Annual Meeting of Shareholders following the Director’s 75th birthday. One of our current Directors, William E. McDonald, reached this mandatory retirement age this year and is not eligible for election at the Annual Meeting for a new term. Mr. McDonald has stated that he intends to serve as a Director of the Corporation through the commencement of the 2017 Annual Meeting of Shareholders, after which he will retire from the Board. The Board extends its sincere appreciation to Mr. McDonald for his years of service and thoughtful Board leadership. Mr. McDonald has given generously of his time and has consistently provided the Board with independent insight and advice, which have been invaluable to the Board and to Martin Marietta. In light of the retirement of Mr. McDonald, the Board of Directors has set the size of the Board of Directors at nine effective upon the commencement of the 2017 Annual Meeting.</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recruiting process typically involves either a search firm or a member of the Nominating and Corporate Governance Committee contacting a prospect to gauge his or her interest and availability. A candidate will then meet with several members of the Nominating and Corporate Governance Committee and Board. At the same time, the Nominating and Corporate Governance Committee and the search firm will contact references for the prospect. A background check is completed before a final recommendation is made to the Board to appoint a candidate to the Board. During 2015-2016, the Nominating and Corporate Governance Committee retained a search firm to help identify director prospects, perform candidate outreach, assist in reference checks, and provide other related services. Nominated to the Board in August 2016, Mr. Koraleski was initially identified by the Chairman, President and CEO and was recommended as a Director nominee by the Nominating and Corporate Governance Committee.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Proxies cannot be voted for a greater number of persons than the number of nominees named.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sets forth the age and certain other biographical information for each of the nominees for election and for each of the other members of the Board of Directors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color w:val="auto"/>
        </w:rPr>
        <w:t>Proposal No. 1</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Election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Nominees for election to the Board of Directors for a Term Continuing Until 2018:</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SUE W.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-1697355</wp:posOffset>
            </wp:positionV>
            <wp:extent cx="1123315" cy="1457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2002</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06"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Chair of the Nominating and Corporate Governance Committee and member of the Management Development and Compensation Committee.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organizations and individuals relating to strategy, governance and leadership development. Ms. Cole was previously a principal of Granville Capital Inc., a registered investment advisor, from 2006 to 2011, and before that she was the Regional CEO, Mid-Atlantic Region, of U.S. Trust Company, N.A., where she was responsible for the overall strategic direction, growth, and leadership of its North Carolina, Philadelphia and Washington, D.C. offices. Ms. Cole previously held various positions in the U.S. Trust Company, N.A. and its predecessors. Ms. Cole has previously served on the public-company board of UNIFI, Inc. She has also been active in community and charitable organizations, including previously serving as Chairman of the North Carolina Chamber, on the Investment Committee of the University of North Carolina at Greensboro and as a member on the North Carolina Economic Development Board. Ms. Cole attended the University of North Carolina at Greensboro where she earned a B.S. in Business Administration and an M.B.A. in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1222375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20" w:hanging="189"/>
        <w:spacing w:after="0" w:line="249" w:lineRule="auto"/>
        <w:tabs>
          <w:tab w:leader="none" w:pos="247" w:val="left"/>
        </w:tabs>
        <w:numPr>
          <w:ilvl w:val="0"/>
          <w:numId w:val="13"/>
        </w:numPr>
        <w:rPr>
          <w:rFonts w:ascii="Arial" w:cs="Arial" w:eastAsia="Arial" w:hAnsi="Arial"/>
          <w:sz w:val="16"/>
          <w:szCs w:val="16"/>
          <w:color w:val="007CBA"/>
        </w:rPr>
      </w:pPr>
      <w:r>
        <w:rPr>
          <w:rFonts w:ascii="Arial" w:cs="Arial" w:eastAsia="Arial" w:hAnsi="Arial"/>
          <w:sz w:val="16"/>
          <w:szCs w:val="16"/>
          <w:color w:val="auto"/>
        </w:rPr>
        <w:t>Valuable experience in executive compensation, corporate governance, human resources, finance and financial statements, and customer service</w:t>
      </w:r>
    </w:p>
    <w:p>
      <w:pPr>
        <w:spacing w:after="0" w:line="70" w:lineRule="exact"/>
        <w:rPr>
          <w:rFonts w:ascii="Arial" w:cs="Arial" w:eastAsia="Arial" w:hAnsi="Arial"/>
          <w:sz w:val="16"/>
          <w:szCs w:val="16"/>
          <w:color w:val="007CBA"/>
        </w:rPr>
      </w:pPr>
    </w:p>
    <w:p>
      <w:pPr>
        <w:ind w:left="280" w:right="40" w:hanging="189"/>
        <w:spacing w:after="0" w:line="250" w:lineRule="auto"/>
        <w:tabs>
          <w:tab w:leader="none" w:pos="247" w:val="left"/>
        </w:tabs>
        <w:numPr>
          <w:ilvl w:val="0"/>
          <w:numId w:val="13"/>
        </w:numPr>
        <w:rPr>
          <w:rFonts w:ascii="Arial" w:cs="Arial" w:eastAsia="Arial" w:hAnsi="Arial"/>
          <w:sz w:val="16"/>
          <w:szCs w:val="16"/>
          <w:color w:val="007CBA"/>
        </w:rPr>
      </w:pPr>
      <w:r>
        <w:rPr>
          <w:rFonts w:ascii="Arial" w:cs="Arial" w:eastAsia="Arial" w:hAnsi="Arial"/>
          <w:sz w:val="16"/>
          <w:szCs w:val="16"/>
          <w:color w:val="auto"/>
        </w:rPr>
        <w:t>Chief executive officer of several financial services and investment advisory businesses as well as several non-profit organizations</w:t>
      </w:r>
    </w:p>
    <w:p>
      <w:pPr>
        <w:spacing w:after="0" w:line="68" w:lineRule="exact"/>
        <w:rPr>
          <w:rFonts w:ascii="Arial" w:cs="Arial" w:eastAsia="Arial" w:hAnsi="Arial"/>
          <w:sz w:val="16"/>
          <w:szCs w:val="16"/>
          <w:color w:val="007CBA"/>
        </w:rPr>
      </w:pPr>
    </w:p>
    <w:p>
      <w:pPr>
        <w:ind w:left="280" w:right="300" w:hanging="189"/>
        <w:spacing w:after="0" w:line="253" w:lineRule="auto"/>
        <w:tabs>
          <w:tab w:leader="none" w:pos="247" w:val="left"/>
        </w:tabs>
        <w:numPr>
          <w:ilvl w:val="0"/>
          <w:numId w:val="13"/>
        </w:numPr>
        <w:rPr>
          <w:rFonts w:ascii="Arial" w:cs="Arial" w:eastAsia="Arial" w:hAnsi="Arial"/>
          <w:sz w:val="16"/>
          <w:szCs w:val="16"/>
          <w:color w:val="007CBA"/>
        </w:rPr>
      </w:pPr>
      <w:r>
        <w:rPr>
          <w:rFonts w:ascii="Arial" w:cs="Arial" w:eastAsia="Arial" w:hAnsi="Arial"/>
          <w:sz w:val="16"/>
          <w:szCs w:val="16"/>
          <w:color w:val="auto"/>
        </w:rPr>
        <w:t>Strong leadership skills and familiarity with governmental affairs</w:t>
      </w:r>
    </w:p>
    <w:p>
      <w:pPr>
        <w:spacing w:after="0" w:line="1305" w:lineRule="exact"/>
        <w:rPr>
          <w:sz w:val="20"/>
          <w:szCs w:val="20"/>
          <w:color w:val="auto"/>
        </w:rPr>
      </w:pPr>
    </w:p>
    <w:p>
      <w:pPr>
        <w:sectPr>
          <w:pgSz w:w="11900" w:h="16838" w:orient="portrait"/>
          <w:cols w:equalWidth="0" w:num="3">
            <w:col w:w="2380" w:space="380"/>
            <w:col w:w="5940" w:space="100"/>
            <w:col w:w="26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MICHAEL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-1697355</wp:posOffset>
            </wp:positionV>
            <wp:extent cx="1123315" cy="1457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CBA"/>
        </w:rPr>
        <w:t>QUILLEN</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0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Lead Independent Director, Chair of the Management Development and Compensation Committee, Member of the Executive Committee and the 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Quillen was the founder and served as Chief Executive Officer of Alpha Natural Resources, Inc. (ANR), a leading Appalachian coal supplier, since its formation in 2004 until its merger with Foundation Coal Holdings, Inc. in July 2009, and served as President and Chairman of ANR from 2006 to 2009, and non-Executive Chairman until May 2012. Mr. Quillen held senior executive positions in the coal industry throughout his career at Pittston/Pittston Coal Sales Corp., AMVEST Corporation, NERCO Coal Corporation, Addington, Inc. and Mid-Vol Leasing, Inc. He has also served as Chairman (Rector) of the Board of Visitors of Virginia Polytechnic Institute and State University from July 2012 to June 2014 and was reappointed to an additional four-year term on the Board of Governors in July 2014. He was Chairman of the Audit and Finance Committee of Virginia Polytechnic Institute and State University from July 2010 to June 2012. He also served on the Virginia Port Authority from 2003 to 2012 and as Chairman from July 2011 to December 2012. Mr. Quillen attended Virginia Polytechnic Institute and State University, earning both Bachelor’s and Master’s degrees in Civil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1471295</wp:posOffset>
            </wp:positionV>
            <wp:extent cx="411480"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200" w:hanging="189"/>
        <w:spacing w:after="0" w:line="251" w:lineRule="auto"/>
        <w:tabs>
          <w:tab w:leader="none" w:pos="247"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Valuable business, leadership, management, financial, and mergers and acquisitions experience</w:t>
      </w:r>
    </w:p>
    <w:p>
      <w:pPr>
        <w:spacing w:after="0" w:line="67" w:lineRule="exact"/>
        <w:rPr>
          <w:rFonts w:ascii="Arial" w:cs="Arial" w:eastAsia="Arial" w:hAnsi="Arial"/>
          <w:sz w:val="16"/>
          <w:szCs w:val="16"/>
          <w:color w:val="007CBA"/>
        </w:rPr>
      </w:pPr>
    </w:p>
    <w:p>
      <w:pPr>
        <w:ind w:left="280" w:right="120" w:hanging="189"/>
        <w:spacing w:after="0" w:line="250" w:lineRule="auto"/>
        <w:tabs>
          <w:tab w:leader="none" w:pos="247"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Extensive experience related to mining companies, governmental and regulatory issues, safety, health and environmental matters</w:t>
      </w:r>
    </w:p>
    <w:p>
      <w:pPr>
        <w:spacing w:after="0" w:line="68" w:lineRule="exact"/>
        <w:rPr>
          <w:rFonts w:ascii="Arial" w:cs="Arial" w:eastAsia="Arial" w:hAnsi="Arial"/>
          <w:sz w:val="16"/>
          <w:szCs w:val="16"/>
          <w:color w:val="007CBA"/>
        </w:rPr>
      </w:pPr>
    </w:p>
    <w:p>
      <w:pPr>
        <w:ind w:left="280" w:right="140" w:hanging="189"/>
        <w:spacing w:after="0" w:line="251" w:lineRule="auto"/>
        <w:tabs>
          <w:tab w:leader="none" w:pos="244"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Tremendous insight and expertise with respect to strategic analysis, the natural resources industry, and energy</w:t>
      </w:r>
    </w:p>
    <w:p>
      <w:pPr>
        <w:spacing w:after="0" w:line="67" w:lineRule="exact"/>
        <w:rPr>
          <w:rFonts w:ascii="Arial" w:cs="Arial" w:eastAsia="Arial" w:hAnsi="Arial"/>
          <w:sz w:val="16"/>
          <w:szCs w:val="16"/>
          <w:color w:val="007CBA"/>
        </w:rPr>
      </w:pPr>
    </w:p>
    <w:p>
      <w:pPr>
        <w:ind w:left="280" w:right="160" w:hanging="189"/>
        <w:spacing w:after="0" w:line="260" w:lineRule="auto"/>
        <w:tabs>
          <w:tab w:leader="none" w:pos="247"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Wealth of knowledge related to transportation</w:t>
      </w:r>
    </w:p>
    <w:p>
      <w:pPr>
        <w:spacing w:after="0" w:line="1616" w:lineRule="exact"/>
        <w:rPr>
          <w:sz w:val="20"/>
          <w:szCs w:val="20"/>
          <w:color w:val="auto"/>
        </w:rPr>
      </w:pPr>
    </w:p>
    <w:p>
      <w:pPr>
        <w:sectPr>
          <w:pgSz w:w="11900" w:h="16838" w:orient="portrait"/>
          <w:cols w:equalWidth="0" w:num="3">
            <w:col w:w="2520" w:space="240"/>
            <w:col w:w="5940" w:space="100"/>
            <w:col w:w="2620"/>
          </w:cols>
          <w:pgMar w:left="240" w:top="459" w:right="239" w:bottom="1440" w:gutter="0" w:footer="0" w:header="0"/>
          <w:type w:val="continuous"/>
        </w:sectPr>
      </w:pPr>
    </w:p>
    <w:tbl>
      <w:tblPr>
        <w:tblLayout w:type="fixed"/>
        <w:tblInd w:w="944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3"/>
                <w:szCs w:val="13"/>
                <w:color w:val="007CBA"/>
              </w:rPr>
              <w:t>2017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bl>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1980" w:type="dxa"/>
            <w:vAlign w:val="bottom"/>
          </w:tcPr>
          <w:p>
            <w:pPr>
              <w:spacing w:after="0"/>
              <w:rPr>
                <w:sz w:val="20"/>
                <w:szCs w:val="20"/>
                <w:color w:val="auto"/>
              </w:rPr>
            </w:pPr>
            <w:r>
              <w:rPr>
                <w:rFonts w:ascii="Arial" w:cs="Arial" w:eastAsia="Arial" w:hAnsi="Arial"/>
                <w:sz w:val="14"/>
                <w:szCs w:val="14"/>
                <w:color w:val="007CBA"/>
                <w:w w:val="97"/>
              </w:rPr>
              <w:t>Proposal 1: Election of Directors</w:t>
            </w:r>
          </w:p>
        </w:tc>
        <w:tc>
          <w:tcPr>
            <w:tcW w:w="6720" w:type="dxa"/>
            <w:vAlign w:val="bottom"/>
          </w:tcPr>
          <w:p>
            <w:pPr>
              <w:ind w:left="40"/>
              <w:spacing w:after="0" w:line="288" w:lineRule="exact"/>
              <w:rPr>
                <w:sz w:val="20"/>
                <w:szCs w:val="20"/>
                <w:color w:val="auto"/>
              </w:rPr>
            </w:pPr>
            <w:r>
              <w:rPr>
                <w:rFonts w:ascii="MS PGothic" w:cs="MS PGothic" w:eastAsia="MS PGothic" w:hAnsi="MS PGothic"/>
                <w:sz w:val="25"/>
                <w:szCs w:val="25"/>
                <w:color w:val="007CBA"/>
              </w:rPr>
              <w:t>◆</w:t>
            </w:r>
            <w:r>
              <w:rPr>
                <w:rFonts w:ascii="Arial" w:cs="Arial" w:eastAsia="Arial" w:hAnsi="Arial"/>
                <w:sz w:val="14"/>
                <w:szCs w:val="14"/>
                <w:color w:val="auto"/>
              </w:rPr>
              <w:t xml:space="preserve"> Director Nominees</w:t>
            </w:r>
          </w:p>
        </w:tc>
        <w:tc>
          <w:tcPr>
            <w:tcW w:w="0" w:type="dxa"/>
            <w:vAlign w:val="bottom"/>
          </w:tcPr>
          <w:p>
            <w:pPr>
              <w:spacing w:after="0"/>
              <w:rPr>
                <w:sz w:val="1"/>
                <w:szCs w:val="1"/>
                <w:color w:val="auto"/>
              </w:rPr>
            </w:pPr>
          </w:p>
        </w:tc>
      </w:tr>
      <w:tr>
        <w:trPr>
          <w:trHeight w:val="303"/>
        </w:trPr>
        <w:tc>
          <w:tcPr>
            <w:tcW w:w="1980" w:type="dxa"/>
            <w:vAlign w:val="bottom"/>
          </w:tcPr>
          <w:p>
            <w:pPr>
              <w:spacing w:after="0"/>
              <w:rPr>
                <w:sz w:val="24"/>
                <w:szCs w:val="24"/>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Mr. Koraleski served from February 2015 through his retirement in September</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2015 as executive Chairman of the Board of the Union Pacific Corporation (UP),</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which through its subsidiaries operates North America’s premier railroad franchise,</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covering 23 states across the western two-thirds of the United States. Prior to that,</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he was named President and Chief Executive Officer of the UP in March 2012,</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elected as a Director of the UP in July 2012, and appointed Chairman of the Board</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in 2014. Since joining the Union Pacific Railroad in 1972, Mr. Koraleski held a</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number of executive positions in the UP and the Railroad, including, Executive</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Vice  President  –  Marketing  and  Sales  from  1999  to  2012,  Executive  Vice</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President – Finance and Information Technology, Chief Financial Officer, and</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Controller. Mr. Koraleski served as the Chairman of The Bridges Investment Fund,</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Inc., a general equity fund whose primary investment objective is to seek long-</w:t>
            </w:r>
          </w:p>
        </w:tc>
        <w:tc>
          <w:tcPr>
            <w:tcW w:w="0" w:type="dxa"/>
            <w:vAlign w:val="bottom"/>
          </w:tcPr>
          <w:p>
            <w:pPr>
              <w:spacing w:after="0"/>
              <w:rPr>
                <w:sz w:val="1"/>
                <w:szCs w:val="1"/>
                <w:color w:val="auto"/>
              </w:rPr>
            </w:pPr>
          </w:p>
        </w:tc>
      </w:tr>
      <w:tr>
        <w:trPr>
          <w:trHeight w:val="189"/>
        </w:trPr>
        <w:tc>
          <w:tcPr>
            <w:tcW w:w="1980" w:type="dxa"/>
            <w:vAlign w:val="bottom"/>
            <w:vMerge w:val="restart"/>
          </w:tcPr>
          <w:p>
            <w:pPr>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JOHN J.</w:t>
            </w:r>
          </w:p>
        </w:tc>
        <w:tc>
          <w:tcPr>
            <w:tcW w:w="6720" w:type="dxa"/>
            <w:vAlign w:val="bottom"/>
          </w:tcPr>
          <w:p>
            <w:pPr>
              <w:ind w:left="780"/>
              <w:spacing w:after="0"/>
              <w:rPr>
                <w:sz w:val="20"/>
                <w:szCs w:val="20"/>
                <w:color w:val="auto"/>
              </w:rPr>
            </w:pPr>
            <w:r>
              <w:rPr>
                <w:rFonts w:ascii="Arial" w:cs="Arial" w:eastAsia="Arial" w:hAnsi="Arial"/>
                <w:sz w:val="16"/>
                <w:szCs w:val="16"/>
                <w:color w:val="auto"/>
              </w:rPr>
              <w:t>term capital appreciation, from 2005 through March 2012 and is a past Chairman</w:t>
            </w: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of the Association of American Railroads. Mr. Koraleski earned a Bachelor’s and</w:t>
            </w:r>
          </w:p>
        </w:tc>
        <w:tc>
          <w:tcPr>
            <w:tcW w:w="0" w:type="dxa"/>
            <w:vAlign w:val="bottom"/>
          </w:tcPr>
          <w:p>
            <w:pPr>
              <w:spacing w:after="0"/>
              <w:rPr>
                <w:sz w:val="1"/>
                <w:szCs w:val="1"/>
                <w:color w:val="auto"/>
              </w:rPr>
            </w:pPr>
          </w:p>
        </w:tc>
      </w:tr>
      <w:tr>
        <w:trPr>
          <w:trHeight w:val="147"/>
        </w:trPr>
        <w:tc>
          <w:tcPr>
            <w:tcW w:w="1980" w:type="dxa"/>
            <w:vAlign w:val="bottom"/>
            <w:vMerge w:val="continue"/>
          </w:tcPr>
          <w:p>
            <w:pPr>
              <w:spacing w:after="0"/>
              <w:rPr>
                <w:sz w:val="12"/>
                <w:szCs w:val="12"/>
                <w:color w:val="auto"/>
              </w:rPr>
            </w:pPr>
          </w:p>
        </w:tc>
        <w:tc>
          <w:tcPr>
            <w:tcW w:w="6720" w:type="dxa"/>
            <w:vAlign w:val="bottom"/>
          </w:tcPr>
          <w:p>
            <w:pPr>
              <w:ind w:left="780"/>
              <w:spacing w:after="0" w:line="147" w:lineRule="exact"/>
              <w:rPr>
                <w:sz w:val="20"/>
                <w:szCs w:val="20"/>
                <w:color w:val="auto"/>
              </w:rPr>
            </w:pPr>
            <w:r>
              <w:rPr>
                <w:rFonts w:ascii="Arial" w:cs="Arial" w:eastAsia="Arial" w:hAnsi="Arial"/>
                <w:sz w:val="16"/>
                <w:szCs w:val="16"/>
                <w:color w:val="auto"/>
              </w:rPr>
              <w:t>Master’s degree in business administration from the University of Nebraska at</w:t>
            </w:r>
          </w:p>
        </w:tc>
        <w:tc>
          <w:tcPr>
            <w:tcW w:w="0" w:type="dxa"/>
            <w:vAlign w:val="bottom"/>
          </w:tcPr>
          <w:p>
            <w:pPr>
              <w:spacing w:after="0"/>
              <w:rPr>
                <w:sz w:val="1"/>
                <w:szCs w:val="1"/>
                <w:color w:val="auto"/>
              </w:rPr>
            </w:pPr>
          </w:p>
        </w:tc>
      </w:tr>
      <w:tr>
        <w:trPr>
          <w:trHeight w:val="286"/>
        </w:trPr>
        <w:tc>
          <w:tcPr>
            <w:tcW w:w="1980" w:type="dxa"/>
            <w:vAlign w:val="bottom"/>
          </w:tcPr>
          <w:p>
            <w:pPr>
              <w:ind w:left="240"/>
              <w:spacing w:after="0"/>
              <w:rPr>
                <w:sz w:val="20"/>
                <w:szCs w:val="20"/>
                <w:color w:val="auto"/>
              </w:rPr>
            </w:pPr>
            <w:r>
              <w:rPr>
                <w:rFonts w:ascii="Arial" w:cs="Arial" w:eastAsia="Arial" w:hAnsi="Arial"/>
                <w:sz w:val="22"/>
                <w:szCs w:val="22"/>
                <w:b w:val="1"/>
                <w:bCs w:val="1"/>
                <w:color w:val="007CBA"/>
              </w:rPr>
              <w:t>KORALESKI</w:t>
            </w:r>
          </w:p>
        </w:tc>
        <w:tc>
          <w:tcPr>
            <w:tcW w:w="6720" w:type="dxa"/>
            <w:vAlign w:val="bottom"/>
          </w:tcPr>
          <w:p>
            <w:pPr>
              <w:ind w:left="780"/>
              <w:spacing w:after="0"/>
              <w:rPr>
                <w:sz w:val="20"/>
                <w:szCs w:val="20"/>
                <w:color w:val="auto"/>
              </w:rPr>
            </w:pPr>
            <w:r>
              <w:rPr>
                <w:rFonts w:ascii="Arial" w:cs="Arial" w:eastAsia="Arial" w:hAnsi="Arial"/>
                <w:sz w:val="16"/>
                <w:szCs w:val="16"/>
                <w:color w:val="auto"/>
              </w:rPr>
              <w:t>Omaha.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-1955800</wp:posOffset>
            </wp:positionV>
            <wp:extent cx="1123315" cy="1457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 of the Audit Committee,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Committee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Development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100" w:hanging="189"/>
        <w:spacing w:after="0" w:line="249" w:lineRule="auto"/>
        <w:tabs>
          <w:tab w:leader="none" w:pos="202"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Experience with the demands and challenges associated with managing a large publicly-traded organization from his experience as Chairman and CEO of Union Pacific</w:t>
      </w:r>
    </w:p>
    <w:p>
      <w:pPr>
        <w:spacing w:after="0" w:line="70" w:lineRule="exact"/>
        <w:rPr>
          <w:rFonts w:ascii="Arial" w:cs="Arial" w:eastAsia="Arial" w:hAnsi="Arial"/>
          <w:sz w:val="16"/>
          <w:szCs w:val="16"/>
          <w:color w:val="007CBA"/>
        </w:rPr>
      </w:pPr>
    </w:p>
    <w:p>
      <w:pPr>
        <w:ind w:left="280" w:right="40" w:hanging="189"/>
        <w:spacing w:after="0" w:line="250" w:lineRule="auto"/>
        <w:tabs>
          <w:tab w:leader="none" w:pos="202"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Extensive knowledge of financial system management, public company accounting, disclosure requirements and financial markets</w:t>
      </w:r>
    </w:p>
    <w:p>
      <w:pPr>
        <w:spacing w:after="0" w:line="68" w:lineRule="exact"/>
        <w:rPr>
          <w:rFonts w:ascii="Arial" w:cs="Arial" w:eastAsia="Arial" w:hAnsi="Arial"/>
          <w:sz w:val="16"/>
          <w:szCs w:val="16"/>
          <w:color w:val="007CBA"/>
        </w:rPr>
      </w:pPr>
    </w:p>
    <w:p>
      <w:pPr>
        <w:ind w:left="280" w:right="260" w:hanging="189"/>
        <w:spacing w:after="0" w:line="251" w:lineRule="auto"/>
        <w:tabs>
          <w:tab w:leader="none" w:pos="202"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Valuable expertise in talent management, compensation, governance and succession planning</w:t>
      </w:r>
    </w:p>
    <w:p>
      <w:pPr>
        <w:spacing w:after="0" w:line="67" w:lineRule="exact"/>
        <w:rPr>
          <w:rFonts w:ascii="Arial" w:cs="Arial" w:eastAsia="Arial" w:hAnsi="Arial"/>
          <w:sz w:val="16"/>
          <w:szCs w:val="16"/>
          <w:color w:val="007CBA"/>
        </w:rPr>
      </w:pPr>
    </w:p>
    <w:p>
      <w:pPr>
        <w:ind w:left="280" w:hanging="189"/>
        <w:spacing w:after="0" w:line="253" w:lineRule="auto"/>
        <w:tabs>
          <w:tab w:leader="none" w:pos="202"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Understanding of complex logistic operations, safety and rail operations</w:t>
      </w:r>
    </w:p>
    <w:p>
      <w:pPr>
        <w:spacing w:after="0" w:line="66" w:lineRule="exact"/>
        <w:rPr>
          <w:rFonts w:ascii="Arial" w:cs="Arial" w:eastAsia="Arial" w:hAnsi="Arial"/>
          <w:sz w:val="16"/>
          <w:szCs w:val="16"/>
          <w:color w:val="007CBA"/>
        </w:rPr>
      </w:pPr>
    </w:p>
    <w:p>
      <w:pPr>
        <w:ind w:left="280" w:right="280" w:hanging="189"/>
        <w:spacing w:after="0" w:line="251" w:lineRule="auto"/>
        <w:tabs>
          <w:tab w:leader="none" w:pos="202" w:val="left"/>
        </w:tabs>
        <w:numPr>
          <w:ilvl w:val="0"/>
          <w:numId w:val="15"/>
        </w:numPr>
        <w:rPr>
          <w:rFonts w:ascii="Arial" w:cs="Arial" w:eastAsia="Arial" w:hAnsi="Arial"/>
          <w:sz w:val="16"/>
          <w:szCs w:val="16"/>
          <w:color w:val="007CBA"/>
        </w:rPr>
      </w:pPr>
      <w:r>
        <w:rPr>
          <w:rFonts w:ascii="Arial" w:cs="Arial" w:eastAsia="Arial" w:hAnsi="Arial"/>
          <w:sz w:val="16"/>
          <w:szCs w:val="16"/>
          <w:color w:val="auto"/>
        </w:rPr>
        <w:t>Broad strategic analysis and experience with acquisitions, integration, marketing and information technologies</w:t>
      </w:r>
    </w:p>
    <w:p>
      <w:pPr>
        <w:spacing w:after="0" w:line="200" w:lineRule="exact"/>
        <w:rPr>
          <w:sz w:val="20"/>
          <w:szCs w:val="20"/>
          <w:color w:val="auto"/>
        </w:rPr>
      </w:pPr>
    </w:p>
    <w:p>
      <w:pPr>
        <w:sectPr>
          <w:pgSz w:w="11900" w:h="16838" w:orient="portrait"/>
          <w:cols w:equalWidth="0" w:num="2">
            <w:col w:w="8700" w:space="100"/>
            <w:col w:w="26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920"/>
        <w:spacing w:after="0" w:line="299" w:lineRule="exact"/>
        <w:rPr>
          <w:sz w:val="20"/>
          <w:szCs w:val="20"/>
          <w:color w:val="auto"/>
        </w:rPr>
      </w:pPr>
      <w:r>
        <w:rPr>
          <w:rFonts w:ascii="MS PGothic" w:cs="MS PGothic" w:eastAsia="MS PGothic" w:hAnsi="MS PGothic"/>
          <w:sz w:val="26"/>
          <w:szCs w:val="26"/>
          <w:color w:val="007CBA"/>
        </w:rPr>
        <w:t>◆</w:t>
      </w:r>
      <w:r>
        <w:rPr>
          <w:rFonts w:ascii="Arial" w:cs="Arial" w:eastAsia="Arial" w:hAnsi="Arial"/>
          <w:sz w:val="20"/>
          <w:szCs w:val="20"/>
          <w:b w:val="1"/>
          <w:bCs w:val="1"/>
          <w:color w:val="007CBA"/>
        </w:rPr>
        <w:t>STEPHEN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-1682750</wp:posOffset>
            </wp:positionV>
            <wp:extent cx="1123315" cy="1457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91" w:lineRule="exact"/>
        <w:rPr>
          <w:sz w:val="20"/>
          <w:szCs w:val="20"/>
          <w:color w:val="auto"/>
        </w:rPr>
      </w:pPr>
    </w:p>
    <w:p>
      <w:pPr>
        <w:jc w:val="right"/>
        <w:ind w:right="820"/>
        <w:spacing w:after="0"/>
        <w:rPr>
          <w:sz w:val="20"/>
          <w:szCs w:val="20"/>
          <w:color w:val="auto"/>
        </w:rPr>
      </w:pPr>
      <w:r>
        <w:rPr>
          <w:rFonts w:ascii="Arial" w:cs="Arial" w:eastAsia="Arial" w:hAnsi="Arial"/>
          <w:sz w:val="22"/>
          <w:szCs w:val="22"/>
          <w:b w:val="1"/>
          <w:bCs w:val="1"/>
          <w:color w:val="007CBA"/>
        </w:rPr>
        <w:t>ZELNAK, JR.</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1993</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p>
      <w:pPr>
        <w:spacing w:after="0" w:line="10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Chair of the Finance Committee and Member of the Ethics, Environment, Safety and Health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Zelnak currently serves as Chairman of the Board of Beazer Homes USA, Inc., a geographically diversified homebuilder with active operations in 13 states within three geographic regions in the United States. He previously served as Chief Executive Officer of Martin Marietta from 1993 to 2009, President from 1993 to 2006, Chairman of the Board from 1997 through 2009, Executive Chairman from January 2010 to May 2010, and non-Executive Chairman from May 2010 until May 2014. Mr. Zelnak joined Martin Marietta Corporation in 1981 and was responsible for the aggregates operations since 1982. Mr. Zelnak is also Chairman and majority owner of ZP Enterprises, LLC, a private investment firm. In addition to community and charitable organizations, Mr. Zelnak has served as Chairman of the North Carolina Chamber and the National Stone, Sand and Gravel Association. He currently serves on the Advisory Board of the College of Management at North Carolina State University and is a Trustee Emeritus of the Georgia Tech Foundation Board. Mr. Zelnak received a Bachelor’s degree from Georgia Institute of Technology and Master’s degrees in Administrative Science and Business Administration from the University of Alabama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1213485</wp:posOffset>
            </wp:positionV>
            <wp:extent cx="325755"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260" w:hanging="189"/>
        <w:spacing w:after="0" w:line="260" w:lineRule="auto"/>
        <w:tabs>
          <w:tab w:leader="none" w:pos="202"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Former Chairman and CEO of Martin Marietta</w:t>
      </w:r>
    </w:p>
    <w:p>
      <w:pPr>
        <w:spacing w:after="0" w:line="60" w:lineRule="exact"/>
        <w:rPr>
          <w:rFonts w:ascii="Arial" w:cs="Arial" w:eastAsia="Arial" w:hAnsi="Arial"/>
          <w:sz w:val="16"/>
          <w:szCs w:val="16"/>
          <w:color w:val="007CBA"/>
        </w:rPr>
      </w:pPr>
    </w:p>
    <w:p>
      <w:pPr>
        <w:ind w:left="280" w:right="140" w:hanging="189"/>
        <w:spacing w:after="0" w:line="260" w:lineRule="auto"/>
        <w:tabs>
          <w:tab w:leader="none" w:pos="202"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Extensive mentorship, business and operating experience</w:t>
      </w:r>
    </w:p>
    <w:p>
      <w:pPr>
        <w:spacing w:after="0" w:line="60" w:lineRule="exact"/>
        <w:rPr>
          <w:rFonts w:ascii="Arial" w:cs="Arial" w:eastAsia="Arial" w:hAnsi="Arial"/>
          <w:sz w:val="16"/>
          <w:szCs w:val="16"/>
          <w:color w:val="007CBA"/>
        </w:rPr>
      </w:pPr>
    </w:p>
    <w:p>
      <w:pPr>
        <w:ind w:left="280" w:hanging="189"/>
        <w:spacing w:after="0" w:line="253" w:lineRule="auto"/>
        <w:tabs>
          <w:tab w:leader="none" w:pos="202"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Knowledge of all aspects of Martin Marietta and the construction aggregates industry</w:t>
      </w:r>
    </w:p>
    <w:p>
      <w:pPr>
        <w:spacing w:after="0" w:line="66" w:lineRule="exact"/>
        <w:rPr>
          <w:rFonts w:ascii="Arial" w:cs="Arial" w:eastAsia="Arial" w:hAnsi="Arial"/>
          <w:sz w:val="16"/>
          <w:szCs w:val="16"/>
          <w:color w:val="007CBA"/>
        </w:rPr>
      </w:pPr>
    </w:p>
    <w:p>
      <w:pPr>
        <w:ind w:left="280" w:right="380" w:hanging="189"/>
        <w:spacing w:after="0" w:line="260" w:lineRule="auto"/>
        <w:tabs>
          <w:tab w:leader="none" w:pos="202"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Broad strategic and financial experience</w:t>
      </w:r>
    </w:p>
    <w:p>
      <w:pPr>
        <w:spacing w:after="0" w:line="60" w:lineRule="exact"/>
        <w:rPr>
          <w:rFonts w:ascii="Arial" w:cs="Arial" w:eastAsia="Arial" w:hAnsi="Arial"/>
          <w:sz w:val="16"/>
          <w:szCs w:val="16"/>
          <w:color w:val="007CBA"/>
        </w:rPr>
      </w:pPr>
    </w:p>
    <w:p>
      <w:pPr>
        <w:ind w:left="280" w:right="100" w:hanging="189"/>
        <w:spacing w:after="0" w:line="253" w:lineRule="auto"/>
        <w:tabs>
          <w:tab w:leader="none" w:pos="202"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Knowledge of the homebuilding industry and factors that impact construction</w:t>
      </w:r>
    </w:p>
    <w:p>
      <w:pPr>
        <w:spacing w:after="0" w:line="66" w:lineRule="exact"/>
        <w:rPr>
          <w:rFonts w:ascii="Arial" w:cs="Arial" w:eastAsia="Arial" w:hAnsi="Arial"/>
          <w:sz w:val="16"/>
          <w:szCs w:val="16"/>
          <w:color w:val="007CBA"/>
        </w:rPr>
      </w:pPr>
    </w:p>
    <w:p>
      <w:pPr>
        <w:ind w:left="200" w:hanging="109"/>
        <w:spacing w:after="0"/>
        <w:tabs>
          <w:tab w:leader="none" w:pos="200" w:val="left"/>
        </w:tabs>
        <w:numPr>
          <w:ilvl w:val="0"/>
          <w:numId w:val="16"/>
        </w:numPr>
        <w:rPr>
          <w:rFonts w:ascii="Arial" w:cs="Arial" w:eastAsia="Arial" w:hAnsi="Arial"/>
          <w:sz w:val="16"/>
          <w:szCs w:val="16"/>
          <w:color w:val="007CBA"/>
        </w:rPr>
      </w:pPr>
      <w:r>
        <w:rPr>
          <w:rFonts w:ascii="Arial" w:cs="Arial" w:eastAsia="Arial" w:hAnsi="Arial"/>
          <w:sz w:val="16"/>
          <w:szCs w:val="16"/>
          <w:color w:val="auto"/>
        </w:rPr>
        <w:t>Corporate governance</w:t>
      </w:r>
    </w:p>
    <w:p>
      <w:pPr>
        <w:spacing w:after="0" w:line="1325" w:lineRule="exact"/>
        <w:rPr>
          <w:sz w:val="20"/>
          <w:szCs w:val="20"/>
          <w:color w:val="auto"/>
        </w:rPr>
      </w:pPr>
    </w:p>
    <w:p>
      <w:pPr>
        <w:sectPr>
          <w:pgSz w:w="11900" w:h="16838" w:orient="portrait"/>
          <w:cols w:equalWidth="0" w:num="3">
            <w:col w:w="2400" w:space="360"/>
            <w:col w:w="5940" w:space="100"/>
            <w:col w:w="2620"/>
          </w:cols>
          <w:pgMar w:left="240" w:top="459" w:right="239" w:bottom="1440" w:gutter="0" w:footer="0" w:header="0"/>
          <w:type w:val="continuous"/>
        </w:sect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25"/>
          <w:szCs w:val="25"/>
          <w:color w:val="007CBA"/>
        </w:rPr>
        <w:t>The Board Unanimously</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25"/>
          <w:szCs w:val="25"/>
          <w:color w:val="007CBA"/>
        </w:rPr>
        <w:t>Recommends a Vote “</w:t>
      </w:r>
      <w:r>
        <w:rPr>
          <w:rFonts w:ascii="Arial" w:cs="Arial" w:eastAsia="Arial" w:hAnsi="Arial"/>
          <w:sz w:val="25"/>
          <w:szCs w:val="25"/>
          <w:b w:val="1"/>
          <w:bCs w:val="1"/>
          <w:color w:val="007CBA"/>
        </w:rPr>
        <w:t>FOR</w:t>
      </w:r>
      <w:r>
        <w:rPr>
          <w:rFonts w:ascii="Arial" w:cs="Arial" w:eastAsia="Arial" w:hAnsi="Arial"/>
          <w:sz w:val="25"/>
          <w:szCs w:val="25"/>
          <w:color w:val="007CBA"/>
        </w:rPr>
        <w:t>”</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25"/>
          <w:szCs w:val="25"/>
          <w:color w:val="007CBA"/>
        </w:rPr>
        <w:t>All Nominees for Election to the</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25"/>
          <w:szCs w:val="25"/>
          <w:color w:val="007CBA"/>
        </w:rPr>
        <w:t>Board of Directors</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25"/>
          <w:szCs w:val="25"/>
          <w:color w:val="007CBA"/>
        </w:rPr>
        <w:t>on This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107950</wp:posOffset>
            </wp:positionV>
            <wp:extent cx="411480" cy="248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8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Director Nominees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Proposal 1: Election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Directors Whose Terms Continue Until 2018:</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DAVID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-1697355</wp:posOffset>
            </wp:positionV>
            <wp:extent cx="1123315" cy="1457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68"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07CBA"/>
        </w:rPr>
        <w:t>MAFFUCCI</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2005</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0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Chair of the Audit Committee and member of the Ethics, Environment, Safety and Health Committee.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Maffucci is a Director of Domtar Corporation, which designs, manufactures, markets and distributes a wide variety of fiber-based products, including communication papers, specialty and packaging papers, market pulp and absorbent hygiene products. He is currently the Chair of its Audit Committee and a member of its Finance Committee and Nominating and Corporate Governance Committee. Mr. Maffucci previously served as Executive Vice President and Chief Financial Officer of Xerium Technologies, Inc., a manufacturer and supplier of consumable products used in paper production, from 2009 to 2010, as well as on its Board of Directors from 2008 until 2010, serving on its Audit and Compensation Committees from 2008 to 2009.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also served as Executive Vice President and Chief Financial Officer of Bowater Incorporated. Mr. Maffucci previously worked at KPMG and is a Certified Public Accountant. He received his Bachelor’s degree from Sacred Heart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1136650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220" w:hanging="189"/>
        <w:spacing w:after="0" w:line="253" w:lineRule="auto"/>
        <w:tabs>
          <w:tab w:leader="none" w:pos="202" w:val="left"/>
        </w:tabs>
        <w:numPr>
          <w:ilvl w:val="0"/>
          <w:numId w:val="18"/>
        </w:numPr>
        <w:rPr>
          <w:rFonts w:ascii="Arial" w:cs="Arial" w:eastAsia="Arial" w:hAnsi="Arial"/>
          <w:sz w:val="16"/>
          <w:szCs w:val="16"/>
          <w:color w:val="007CBA"/>
        </w:rPr>
      </w:pPr>
      <w:r>
        <w:rPr>
          <w:rFonts w:ascii="Arial" w:cs="Arial" w:eastAsia="Arial" w:hAnsi="Arial"/>
          <w:sz w:val="16"/>
          <w:szCs w:val="16"/>
          <w:color w:val="auto"/>
        </w:rPr>
        <w:t>Extensive financial experience with a large public accounting firm</w:t>
      </w:r>
    </w:p>
    <w:p>
      <w:pPr>
        <w:spacing w:after="0" w:line="66" w:lineRule="exact"/>
        <w:rPr>
          <w:rFonts w:ascii="Arial" w:cs="Arial" w:eastAsia="Arial" w:hAnsi="Arial"/>
          <w:sz w:val="16"/>
          <w:szCs w:val="16"/>
          <w:color w:val="007CBA"/>
        </w:rPr>
      </w:pPr>
    </w:p>
    <w:p>
      <w:pPr>
        <w:ind w:left="280" w:hanging="189"/>
        <w:spacing w:after="0" w:line="251" w:lineRule="auto"/>
        <w:tabs>
          <w:tab w:leader="none" w:pos="193" w:val="left"/>
        </w:tabs>
        <w:numPr>
          <w:ilvl w:val="0"/>
          <w:numId w:val="18"/>
        </w:numPr>
        <w:rPr>
          <w:rFonts w:ascii="Arial" w:cs="Arial" w:eastAsia="Arial" w:hAnsi="Arial"/>
          <w:sz w:val="16"/>
          <w:szCs w:val="16"/>
          <w:color w:val="007CBA"/>
        </w:rPr>
      </w:pPr>
      <w:r>
        <w:rPr>
          <w:rFonts w:ascii="Arial" w:cs="Arial" w:eastAsia="Arial" w:hAnsi="Arial"/>
          <w:sz w:val="16"/>
          <w:szCs w:val="16"/>
          <w:color w:val="auto"/>
        </w:rPr>
        <w:t>Accounting principles and practices, auditing, internal control over financial reporting, and risk management processes</w:t>
      </w:r>
    </w:p>
    <w:p>
      <w:pPr>
        <w:spacing w:after="0" w:line="2765" w:lineRule="exact"/>
        <w:rPr>
          <w:sz w:val="20"/>
          <w:szCs w:val="20"/>
          <w:color w:val="auto"/>
        </w:rPr>
      </w:pPr>
    </w:p>
    <w:p>
      <w:pPr>
        <w:sectPr>
          <w:pgSz w:w="11900" w:h="16838" w:orient="portrait"/>
          <w:cols w:equalWidth="0" w:num="3">
            <w:col w:w="2520" w:space="240"/>
            <w:col w:w="5940" w:space="100"/>
            <w:col w:w="26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DONALD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-1697355</wp:posOffset>
            </wp:positionV>
            <wp:extent cx="1123315" cy="1457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68"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07CBA"/>
        </w:rPr>
        <w:t>SLAGER</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10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Member of the Ethics, Environment, Safety and Health Committee and the Finance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Donald W. Slager serves as President and Chief Executive Officer of Republic Services, Inc., a service provider in the non-hazardous solid waste industry, holding this position since January 2011. Prior to this, he served as President and Chief Operating Officer of Republic from December 2008 until his promotion to CEO. Prior to that, Mr. Slager served in the same capacity for Allied Waste Industries, Inc. (“Allied Waste”), from 2005 to 2008, prior to its merger with Republic Services. Mr. Slager was Executive Vice President and Chief Operating Officer of Allied Waste between 2003 and 2004. Prior to that, Mr. Slager held varying positions of increasing responsibility with Allied Waste. Mr. Slager also has served as a Director of Republic since 2010. Mr. Slager previously served as an independent Director of UTi Worldwide Inc. (“UTI”) from 2009 to January 2016, where he served as Chairman of the Nominating and Corporate Governance Committee and as a member of both the Compensation and Risk Committees. UTi, a former NYSE listed company, was an international, non-asset-based supply chain services and solutions company providing air and ocean freight forwarding, contract logistics, customs brokerage, distribution, inbound logistics, truckload brokerage and other supply chain management services until it was acquired by DSV A/S a third-party logistics services provider, in January 2016. Mr. Slager has completed the Northwestern University Kellogg School Advanced Executive Program and holds a certificate from the Stanford University Board Consortium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509905</wp:posOffset>
            </wp:positionV>
            <wp:extent cx="41148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260" w:hanging="189"/>
        <w:spacing w:after="0" w:line="260" w:lineRule="auto"/>
        <w:tabs>
          <w:tab w:leader="none" w:pos="20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More than 13 years of C-Suite experience</w:t>
      </w:r>
    </w:p>
    <w:p>
      <w:pPr>
        <w:spacing w:after="0" w:line="60" w:lineRule="exact"/>
        <w:rPr>
          <w:rFonts w:ascii="Arial" w:cs="Arial" w:eastAsia="Arial" w:hAnsi="Arial"/>
          <w:sz w:val="16"/>
          <w:szCs w:val="16"/>
          <w:color w:val="007CBA"/>
        </w:rPr>
      </w:pPr>
    </w:p>
    <w:p>
      <w:pPr>
        <w:ind w:left="280" w:right="180" w:hanging="189"/>
        <w:spacing w:after="0" w:line="251" w:lineRule="auto"/>
        <w:tabs>
          <w:tab w:leader="none" w:pos="20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More than 26 years of general management experience in a complex, capital intensive and logistics business</w:t>
      </w:r>
    </w:p>
    <w:p>
      <w:pPr>
        <w:spacing w:after="0" w:line="67" w:lineRule="exact"/>
        <w:rPr>
          <w:rFonts w:ascii="Arial" w:cs="Arial" w:eastAsia="Arial" w:hAnsi="Arial"/>
          <w:sz w:val="16"/>
          <w:szCs w:val="16"/>
          <w:color w:val="007CBA"/>
        </w:rPr>
      </w:pPr>
    </w:p>
    <w:p>
      <w:pPr>
        <w:ind w:left="280" w:right="80" w:hanging="189"/>
        <w:spacing w:after="0" w:line="251" w:lineRule="auto"/>
        <w:tabs>
          <w:tab w:leader="none" w:pos="20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Extensive experience in mergers and acquisitions, integration, and strategic development and analysis</w:t>
      </w:r>
    </w:p>
    <w:p>
      <w:pPr>
        <w:spacing w:after="0" w:line="67" w:lineRule="exact"/>
        <w:rPr>
          <w:rFonts w:ascii="Arial" w:cs="Arial" w:eastAsia="Arial" w:hAnsi="Arial"/>
          <w:sz w:val="16"/>
          <w:szCs w:val="16"/>
          <w:color w:val="007CBA"/>
        </w:rPr>
      </w:pPr>
    </w:p>
    <w:p>
      <w:pPr>
        <w:ind w:left="280" w:right="300" w:hanging="189"/>
        <w:spacing w:after="0" w:line="253" w:lineRule="auto"/>
        <w:tabs>
          <w:tab w:leader="none" w:pos="202" w:val="left"/>
        </w:tabs>
        <w:numPr>
          <w:ilvl w:val="0"/>
          <w:numId w:val="19"/>
        </w:numPr>
        <w:rPr>
          <w:rFonts w:ascii="Arial" w:cs="Arial" w:eastAsia="Arial" w:hAnsi="Arial"/>
          <w:sz w:val="16"/>
          <w:szCs w:val="16"/>
          <w:color w:val="007CBA"/>
        </w:rPr>
      </w:pPr>
      <w:r>
        <w:rPr>
          <w:rFonts w:ascii="Arial" w:cs="Arial" w:eastAsia="Arial" w:hAnsi="Arial"/>
          <w:sz w:val="16"/>
          <w:szCs w:val="16"/>
          <w:color w:val="auto"/>
        </w:rPr>
        <w:t>Valuable experience from his membership on two publicly-traded board of directors</w:t>
      </w:r>
    </w:p>
    <w:p>
      <w:pPr>
        <w:spacing w:after="0" w:line="1433" w:lineRule="exact"/>
        <w:rPr>
          <w:sz w:val="20"/>
          <w:szCs w:val="20"/>
          <w:color w:val="auto"/>
        </w:rPr>
      </w:pPr>
    </w:p>
    <w:p>
      <w:pPr>
        <w:sectPr>
          <w:pgSz w:w="11900" w:h="16838" w:orient="portrait"/>
          <w:cols w:equalWidth="0" w:num="3">
            <w:col w:w="2400" w:space="360"/>
            <w:col w:w="5940" w:space="100"/>
            <w:col w:w="2620"/>
          </w:cols>
          <w:pgMar w:left="240" w:top="459" w:right="239" w:bottom="1440" w:gutter="0" w:footer="0" w:header="0"/>
          <w:type w:val="continuous"/>
        </w:sectPr>
      </w:pPr>
    </w:p>
    <w:tbl>
      <w:tblPr>
        <w:tblLayout w:type="fixed"/>
        <w:tblInd w:w="944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3"/>
                <w:szCs w:val="13"/>
                <w:color w:val="007CBA"/>
              </w:rPr>
              <w:t>2017 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9</w:t>
            </w:r>
          </w:p>
        </w:tc>
      </w:tr>
    </w:tbl>
    <w:p>
      <w:pPr>
        <w:sectPr>
          <w:pgSz w:w="11900" w:h="16838" w:orient="portrait"/>
          <w:cols w:equalWidth="0" w:num="1">
            <w:col w:w="11420"/>
          </w:cols>
          <w:pgMar w:left="240" w:top="459" w:right="239" w:bottom="1440" w:gutter="0" w:footer="0" w:header="0"/>
          <w:type w:val="continuous"/>
        </w:sectPr>
      </w:pPr>
    </w:p>
    <w:bookmarkStart w:id="14" w:name="page15"/>
    <w:bookmarkEnd w:id="14"/>
    <w:p>
      <w:pPr>
        <w:ind w:left="40"/>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40"/>
        <w:spacing w:after="0" w:line="288" w:lineRule="exact"/>
        <w:rPr>
          <w:sz w:val="20"/>
          <w:szCs w:val="20"/>
          <w:color w:val="auto"/>
        </w:rPr>
      </w:pPr>
      <w:r>
        <w:rPr>
          <w:rFonts w:ascii="Arial" w:cs="Arial" w:eastAsia="Arial" w:hAnsi="Arial"/>
          <w:sz w:val="14"/>
          <w:szCs w:val="14"/>
          <w:color w:val="007CBA"/>
        </w:rPr>
        <w:t xml:space="preserve">Proposal 1: Election of Directors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Director Nominees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Other Directors Whose Terms Continue Until 2019:</w:t>
      </w:r>
    </w:p>
    <w:p>
      <w:pPr>
        <w:sectPr>
          <w:pgSz w:w="11900" w:h="16838" w:orient="portrait"/>
          <w:cols w:equalWidth="0" w:num="1">
            <w:col w:w="11460"/>
          </w:cols>
          <w:pgMar w:left="20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-1697355</wp:posOffset>
            </wp:positionV>
            <wp:extent cx="1123315" cy="1457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06" w:lineRule="exact"/>
        <w:rPr>
          <w:sz w:val="20"/>
          <w:szCs w:val="20"/>
          <w:color w:val="auto"/>
        </w:rPr>
      </w:pPr>
    </w:p>
    <w:p>
      <w:pPr>
        <w:ind w:left="160" w:right="460"/>
        <w:spacing w:after="0" w:line="246" w:lineRule="auto"/>
        <w:rPr>
          <w:sz w:val="20"/>
          <w:szCs w:val="20"/>
          <w:color w:val="auto"/>
        </w:rPr>
      </w:pPr>
      <w:r>
        <w:rPr>
          <w:rFonts w:ascii="Arial" w:cs="Arial" w:eastAsia="Arial" w:hAnsi="Arial"/>
          <w:sz w:val="16"/>
          <w:szCs w:val="16"/>
          <w:color w:val="auto"/>
        </w:rPr>
        <w:t>Chairman of the Board (since 2014) and Chair of</w:t>
      </w:r>
    </w:p>
    <w:p>
      <w:pPr>
        <w:spacing w:after="0" w:line="1" w:lineRule="exact"/>
        <w:rPr>
          <w:sz w:val="20"/>
          <w:szCs w:val="20"/>
          <w:color w:val="auto"/>
        </w:rPr>
      </w:pPr>
    </w:p>
    <w:p>
      <w:pPr>
        <w:ind w:left="160"/>
        <w:spacing w:after="0" w:line="260" w:lineRule="auto"/>
        <w:rPr>
          <w:sz w:val="20"/>
          <w:szCs w:val="20"/>
          <w:color w:val="auto"/>
        </w:rPr>
      </w:pPr>
      <w:r>
        <w:rPr>
          <w:rFonts w:ascii="Arial" w:cs="Arial" w:eastAsia="Arial" w:hAnsi="Arial"/>
          <w:sz w:val="16"/>
          <w:szCs w:val="16"/>
          <w:color w:val="auto"/>
        </w:rPr>
        <w:t>the Executive Committee (since 2014)</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Nye has served as Chairman of the Board since 2014 and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is also currently an independent Director of CREE, Inc., a multi-national manufacturer and market-leading innovator of lighting-class LEDs, LED lighting, and semiconductor solutions for wireless and power applications, where he serves as a member on the Compensation Committee and Chair of the Governance and Nominations Committee. Mr. Nye has also been active in a number of various business, civic, and education organizations, including serving as a member of the Executive Committee and past Chairman of the Board of Directors of the National Stone, Sand &amp; Gravel Association, Vice Chairman of the Board of Directors of the American Road &amp; Transportation Builders Association (ARTBA), and a member of the Board of Directors of the United States Chamber of Commerce. Mr. Nye has also been a gubernatorial appointee to the North Carolina Mining Commission. Mr. Nye received an A.B. degree from Duke University and a J.D. degree from Wake Forest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621665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hanging="189"/>
        <w:spacing w:after="0" w:line="260" w:lineRule="auto"/>
        <w:tabs>
          <w:tab w:leader="none" w:pos="24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Extensive knowledge of the construction aggregates industry</w:t>
      </w:r>
    </w:p>
    <w:p>
      <w:pPr>
        <w:spacing w:after="0" w:line="60" w:lineRule="exact"/>
        <w:rPr>
          <w:rFonts w:ascii="Arial" w:cs="Arial" w:eastAsia="Arial" w:hAnsi="Arial"/>
          <w:sz w:val="16"/>
          <w:szCs w:val="16"/>
          <w:color w:val="007CBA"/>
        </w:rPr>
      </w:pPr>
    </w:p>
    <w:p>
      <w:pPr>
        <w:ind w:left="280" w:right="120" w:hanging="189"/>
        <w:spacing w:after="0" w:line="250" w:lineRule="auto"/>
        <w:tabs>
          <w:tab w:leader="none" w:pos="24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Extensive leadership, business, operating, marketing, mergers and acquisitions, legal, customer-relations, and safety and environmental experience</w:t>
      </w:r>
    </w:p>
    <w:p>
      <w:pPr>
        <w:spacing w:after="0" w:line="68" w:lineRule="exact"/>
        <w:rPr>
          <w:rFonts w:ascii="Arial" w:cs="Arial" w:eastAsia="Arial" w:hAnsi="Arial"/>
          <w:sz w:val="16"/>
          <w:szCs w:val="16"/>
          <w:color w:val="007CBA"/>
        </w:rPr>
      </w:pPr>
    </w:p>
    <w:p>
      <w:pPr>
        <w:ind w:left="280" w:right="140" w:hanging="189"/>
        <w:spacing w:after="0" w:line="251" w:lineRule="auto"/>
        <w:tabs>
          <w:tab w:leader="none" w:pos="24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Understands the competitive nature of the business and has strong management skills and broad executive experience</w:t>
      </w:r>
    </w:p>
    <w:p>
      <w:pPr>
        <w:spacing w:after="0" w:line="67" w:lineRule="exact"/>
        <w:rPr>
          <w:rFonts w:ascii="Arial" w:cs="Arial" w:eastAsia="Arial" w:hAnsi="Arial"/>
          <w:sz w:val="16"/>
          <w:szCs w:val="16"/>
          <w:color w:val="007CBA"/>
        </w:rPr>
      </w:pPr>
    </w:p>
    <w:p>
      <w:pPr>
        <w:ind w:left="280" w:right="100" w:hanging="189"/>
        <w:spacing w:after="0" w:line="260" w:lineRule="auto"/>
        <w:tabs>
          <w:tab w:leader="none" w:pos="247" w:val="left"/>
        </w:tabs>
        <w:numPr>
          <w:ilvl w:val="0"/>
          <w:numId w:val="20"/>
        </w:numPr>
        <w:rPr>
          <w:rFonts w:ascii="Arial" w:cs="Arial" w:eastAsia="Arial" w:hAnsi="Arial"/>
          <w:sz w:val="16"/>
          <w:szCs w:val="16"/>
          <w:color w:val="007CBA"/>
        </w:rPr>
      </w:pPr>
      <w:r>
        <w:rPr>
          <w:rFonts w:ascii="Arial" w:cs="Arial" w:eastAsia="Arial" w:hAnsi="Arial"/>
          <w:sz w:val="16"/>
          <w:szCs w:val="16"/>
          <w:color w:val="auto"/>
        </w:rPr>
        <w:t>Broad strategic vision for the future growth of Martin Marietta</w:t>
      </w:r>
    </w:p>
    <w:p>
      <w:pPr>
        <w:spacing w:after="0" w:line="1226" w:lineRule="exact"/>
        <w:rPr>
          <w:sz w:val="20"/>
          <w:szCs w:val="20"/>
          <w:color w:val="auto"/>
        </w:rPr>
      </w:pPr>
    </w:p>
    <w:p>
      <w:pPr>
        <w:sectPr>
          <w:pgSz w:w="11900" w:h="16838" w:orient="portrait"/>
          <w:cols w:equalWidth="0" w:num="3">
            <w:col w:w="2440" w:space="360"/>
            <w:col w:w="5940" w:space="100"/>
            <w:col w:w="2620"/>
          </w:cols>
          <w:pgMar w:left="20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322" w:lineRule="exact"/>
        <w:rPr>
          <w:sz w:val="20"/>
          <w:szCs w:val="20"/>
          <w:color w:val="auto"/>
        </w:rPr>
      </w:pPr>
      <w:r>
        <w:rPr>
          <w:rFonts w:ascii="MS PGothic" w:cs="MS PGothic" w:eastAsia="MS PGothic" w:hAnsi="MS PGothic"/>
          <w:sz w:val="28"/>
          <w:szCs w:val="28"/>
          <w:color w:val="007CBA"/>
        </w:rPr>
        <w:t>◆</w:t>
      </w:r>
      <w:r>
        <w:rPr>
          <w:rFonts w:ascii="Arial" w:cs="Arial" w:eastAsia="Arial" w:hAnsi="Arial"/>
          <w:sz w:val="22"/>
          <w:szCs w:val="22"/>
          <w:b w:val="1"/>
          <w:bCs w:val="1"/>
          <w:color w:val="007CBA"/>
        </w:rPr>
        <w:t>LAREE 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-1697355</wp:posOffset>
            </wp:positionV>
            <wp:extent cx="1123315" cy="1457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06"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auto"/>
        </w:rPr>
        <w:t>Chair of the Ethics, Environment, Safety and Health Committee and member of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Perez has served as Owner and Managing Partner of The Medallion Company, LLC, a consulting firm, since 2003. In 2015, she became employed as an investment consultant with DeRoy &amp; Devereaux, an independent investment adviser, where she provides client consulting services.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2012. Previously, she was Vice President of Loomis, Sayles &amp; Company, L.P. and co-founder, President and Chief Executive Officer of Medallion Investment Company, Inc. In addition to civic and charitable organizations, Ms. Perez recently served as Vice Chairman of the Board of Regents at Baylor University and previously served on the Board of Trustees of New Mexico State University, where she was also Chairman of the Board. Ms. Perez earned a Bachelor’s degree from Baylor University in Finance and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836295</wp:posOffset>
            </wp:positionV>
            <wp:extent cx="41148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007CBA"/>
        </w:rPr>
        <w:t>Key attributes, experience and skills:</w:t>
      </w:r>
    </w:p>
    <w:p>
      <w:pPr>
        <w:spacing w:after="0" w:line="41" w:lineRule="exact"/>
        <w:rPr>
          <w:sz w:val="20"/>
          <w:szCs w:val="20"/>
          <w:color w:val="auto"/>
        </w:rPr>
      </w:pPr>
    </w:p>
    <w:p>
      <w:pPr>
        <w:ind w:left="280" w:right="260" w:hanging="189"/>
        <w:spacing w:after="0" w:line="253" w:lineRule="auto"/>
        <w:tabs>
          <w:tab w:leader="none" w:pos="247"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Significant business, financial and private investment experience</w:t>
      </w:r>
    </w:p>
    <w:p>
      <w:pPr>
        <w:spacing w:after="0" w:line="66" w:lineRule="exact"/>
        <w:rPr>
          <w:rFonts w:ascii="Arial" w:cs="Arial" w:eastAsia="Arial" w:hAnsi="Arial"/>
          <w:sz w:val="16"/>
          <w:szCs w:val="16"/>
          <w:color w:val="007CBA"/>
        </w:rPr>
      </w:pPr>
    </w:p>
    <w:p>
      <w:pPr>
        <w:ind w:left="280" w:right="20" w:hanging="189"/>
        <w:spacing w:after="0" w:line="249" w:lineRule="auto"/>
        <w:tabs>
          <w:tab w:leader="none" w:pos="247"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Significant expertise with respect to financial statements, corporate finance, accounting and capital markets, mergers and acquisitions, and strategic analysis</w:t>
      </w:r>
    </w:p>
    <w:p>
      <w:pPr>
        <w:spacing w:after="0" w:line="70" w:lineRule="exact"/>
        <w:rPr>
          <w:rFonts w:ascii="Arial" w:cs="Arial" w:eastAsia="Arial" w:hAnsi="Arial"/>
          <w:sz w:val="16"/>
          <w:szCs w:val="16"/>
          <w:color w:val="007CBA"/>
        </w:rPr>
      </w:pPr>
    </w:p>
    <w:p>
      <w:pPr>
        <w:ind w:left="280" w:right="640" w:hanging="189"/>
        <w:spacing w:after="0" w:line="260" w:lineRule="auto"/>
        <w:tabs>
          <w:tab w:leader="none" w:pos="247"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Insight into auditing best practices</w:t>
      </w:r>
    </w:p>
    <w:p>
      <w:pPr>
        <w:spacing w:after="0" w:line="60" w:lineRule="exact"/>
        <w:rPr>
          <w:rFonts w:ascii="Arial" w:cs="Arial" w:eastAsia="Arial" w:hAnsi="Arial"/>
          <w:sz w:val="16"/>
          <w:szCs w:val="16"/>
          <w:color w:val="007CBA"/>
        </w:rPr>
      </w:pPr>
    </w:p>
    <w:p>
      <w:pPr>
        <w:ind w:left="280" w:right="40" w:hanging="189"/>
        <w:spacing w:after="0" w:line="260" w:lineRule="auto"/>
        <w:tabs>
          <w:tab w:leader="none" w:pos="247" w:val="left"/>
        </w:tabs>
        <w:numPr>
          <w:ilvl w:val="0"/>
          <w:numId w:val="21"/>
        </w:numPr>
        <w:rPr>
          <w:rFonts w:ascii="Arial" w:cs="Arial" w:eastAsia="Arial" w:hAnsi="Arial"/>
          <w:sz w:val="16"/>
          <w:szCs w:val="16"/>
          <w:color w:val="007CBA"/>
        </w:rPr>
      </w:pPr>
      <w:r>
        <w:rPr>
          <w:rFonts w:ascii="Arial" w:cs="Arial" w:eastAsia="Arial" w:hAnsi="Arial"/>
          <w:sz w:val="16"/>
          <w:szCs w:val="16"/>
          <w:color w:val="auto"/>
        </w:rPr>
        <w:t>Familiarity with the southwestern United States</w:t>
      </w:r>
    </w:p>
    <w:p>
      <w:pPr>
        <w:spacing w:after="0" w:line="1011" w:lineRule="exact"/>
        <w:rPr>
          <w:sz w:val="20"/>
          <w:szCs w:val="20"/>
          <w:color w:val="auto"/>
        </w:rPr>
      </w:pPr>
    </w:p>
    <w:p>
      <w:pPr>
        <w:sectPr>
          <w:pgSz w:w="11900" w:h="16838" w:orient="portrait"/>
          <w:cols w:equalWidth="0" w:num="3">
            <w:col w:w="2580" w:space="220"/>
            <w:col w:w="5940" w:space="100"/>
            <w:col w:w="2620"/>
          </w:cols>
          <w:pgMar w:left="200" w:top="459" w:right="239" w:bottom="1440" w:gutter="0" w:footer="0" w:header="0"/>
          <w:type w:val="continuous"/>
        </w:sectPr>
      </w:pPr>
    </w:p>
    <w:p>
      <w:pPr>
        <w:ind w:left="500" w:hanging="452"/>
        <w:spacing w:after="0"/>
        <w:tabs>
          <w:tab w:leader="none" w:pos="500"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460"/>
          </w:cols>
          <w:pgMar w:left="20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tbl>
      <w:tblPr>
        <w:tblLayout w:type="fixed"/>
        <w:tblInd w:w="2540" w:type="dxa"/>
        <w:tblCellMar>
          <w:top w:w="0" w:type="dxa"/>
          <w:left w:w="0" w:type="dxa"/>
          <w:bottom w:w="0" w:type="dxa"/>
          <w:right w:w="0" w:type="dxa"/>
        </w:tblCellMar>
      </w:tblPr>
      <w:tr>
        <w:trPr>
          <w:trHeight w:val="398"/>
        </w:trPr>
        <w:tc>
          <w:tcPr>
            <w:tcW w:w="8880" w:type="dxa"/>
            <w:vAlign w:val="bottom"/>
            <w:gridSpan w:val="2"/>
          </w:tcPr>
          <w:p>
            <w:pPr>
              <w:ind w:left="5480"/>
              <w:spacing w:after="0" w:line="288" w:lineRule="exact"/>
              <w:rPr>
                <w:sz w:val="20"/>
                <w:szCs w:val="20"/>
                <w:color w:val="auto"/>
              </w:rPr>
            </w:pPr>
            <w:r>
              <w:rPr>
                <w:rFonts w:ascii="Arial" w:cs="Arial" w:eastAsia="Arial" w:hAnsi="Arial"/>
                <w:sz w:val="14"/>
                <w:szCs w:val="14"/>
                <w:color w:val="auto"/>
                <w:w w:val="96"/>
              </w:rPr>
              <w:t xml:space="preserve">Director Nominees </w:t>
            </w:r>
            <w:r>
              <w:rPr>
                <w:rFonts w:ascii="MS PGothic" w:cs="MS PGothic" w:eastAsia="MS PGothic" w:hAnsi="MS PGothic"/>
                <w:sz w:val="25"/>
                <w:szCs w:val="25"/>
                <w:color w:val="007CBA"/>
                <w:w w:val="96"/>
              </w:rPr>
              <w:t>◆</w:t>
            </w:r>
            <w:r>
              <w:rPr>
                <w:rFonts w:ascii="Arial" w:cs="Arial" w:eastAsia="Arial" w:hAnsi="Arial"/>
                <w:sz w:val="14"/>
                <w:szCs w:val="14"/>
                <w:color w:val="auto"/>
                <w:w w:val="96"/>
              </w:rPr>
              <w:t xml:space="preserve"> </w:t>
            </w:r>
            <w:r>
              <w:rPr>
                <w:rFonts w:ascii="Arial" w:cs="Arial" w:eastAsia="Arial" w:hAnsi="Arial"/>
                <w:sz w:val="14"/>
                <w:szCs w:val="14"/>
                <w:color w:val="007CBA"/>
                <w:w w:val="96"/>
              </w:rPr>
              <w:t>Proposal 1: Election of Directors</w:t>
            </w:r>
          </w:p>
        </w:tc>
        <w:tc>
          <w:tcPr>
            <w:tcW w:w="0" w:type="dxa"/>
            <w:vAlign w:val="bottom"/>
          </w:tcPr>
          <w:p>
            <w:pPr>
              <w:spacing w:after="0"/>
              <w:rPr>
                <w:sz w:val="1"/>
                <w:szCs w:val="1"/>
                <w:color w:val="auto"/>
              </w:rPr>
            </w:pPr>
          </w:p>
        </w:tc>
      </w:tr>
      <w:tr>
        <w:trPr>
          <w:trHeight w:val="283"/>
        </w:trPr>
        <w:tc>
          <w:tcPr>
            <w:tcW w:w="6200" w:type="dxa"/>
            <w:vAlign w:val="bottom"/>
          </w:tcPr>
          <w:p>
            <w:pPr>
              <w:spacing w:after="0"/>
              <w:rPr>
                <w:sz w:val="20"/>
                <w:szCs w:val="20"/>
                <w:color w:val="auto"/>
              </w:rPr>
            </w:pPr>
            <w:r>
              <w:rPr>
                <w:rFonts w:ascii="Arial" w:cs="Arial" w:eastAsia="Arial" w:hAnsi="Arial"/>
                <w:sz w:val="16"/>
                <w:szCs w:val="16"/>
                <w:color w:val="auto"/>
              </w:rPr>
              <w:t>Mr. Rediker served as the President and Chief Operating Officer of Utility Composite</w:t>
            </w:r>
          </w:p>
        </w:tc>
        <w:tc>
          <w:tcPr>
            <w:tcW w:w="2680" w:type="dxa"/>
            <w:vAlign w:val="bottom"/>
          </w:tcPr>
          <w:p>
            <w:pPr>
              <w:ind w:left="60"/>
              <w:spacing w:after="0"/>
              <w:rPr>
                <w:sz w:val="20"/>
                <w:szCs w:val="20"/>
                <w:color w:val="auto"/>
              </w:rPr>
            </w:pPr>
            <w:r>
              <w:rPr>
                <w:rFonts w:ascii="Arial" w:cs="Arial" w:eastAsia="Arial" w:hAnsi="Arial"/>
                <w:sz w:val="16"/>
                <w:szCs w:val="16"/>
                <w:b w:val="1"/>
                <w:bCs w:val="1"/>
                <w:i w:val="1"/>
                <w:iCs w:val="1"/>
                <w:color w:val="007CBA"/>
              </w:rPr>
              <w:t>Key attributes, experience and</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6"/>
                <w:szCs w:val="16"/>
                <w:color w:val="auto"/>
              </w:rPr>
              <w:t>Solutions International (UCSI), a developer and maker of composite materials for</w:t>
            </w:r>
          </w:p>
        </w:tc>
        <w:tc>
          <w:tcPr>
            <w:tcW w:w="2680" w:type="dxa"/>
            <w:vAlign w:val="bottom"/>
          </w:tcPr>
          <w:p>
            <w:pPr>
              <w:ind w:left="60"/>
              <w:spacing w:after="0"/>
              <w:rPr>
                <w:sz w:val="20"/>
                <w:szCs w:val="20"/>
                <w:color w:val="auto"/>
              </w:rPr>
            </w:pPr>
            <w:r>
              <w:rPr>
                <w:rFonts w:ascii="Arial" w:cs="Arial" w:eastAsia="Arial" w:hAnsi="Arial"/>
                <w:sz w:val="16"/>
                <w:szCs w:val="16"/>
                <w:b w:val="1"/>
                <w:bCs w:val="1"/>
                <w:i w:val="1"/>
                <w:iCs w:val="1"/>
                <w:color w:val="007CBA"/>
              </w:rPr>
              <w:t>skills:</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utility  and  municipal  lighting  applications,  from  2011  until  its  sale  to  Highland</w:t>
            </w:r>
          </w:p>
        </w:tc>
        <w:tc>
          <w:tcPr>
            <w:tcW w:w="2680" w:type="dxa"/>
            <w:vAlign w:val="bottom"/>
            <w:vMerge w:val="restart"/>
          </w:tcPr>
          <w:p>
            <w:pPr>
              <w:ind w:left="16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Significant operating, financial,</w:t>
            </w:r>
          </w:p>
        </w:tc>
        <w:tc>
          <w:tcPr>
            <w:tcW w:w="0" w:type="dxa"/>
            <w:vAlign w:val="bottom"/>
          </w:tcPr>
          <w:p>
            <w:pPr>
              <w:spacing w:after="0"/>
              <w:rPr>
                <w:sz w:val="1"/>
                <w:szCs w:val="1"/>
                <w:color w:val="auto"/>
              </w:rPr>
            </w:pPr>
          </w:p>
        </w:tc>
      </w:tr>
      <w:tr>
        <w:trPr>
          <w:trHeight w:val="81"/>
        </w:trPr>
        <w:tc>
          <w:tcPr>
            <w:tcW w:w="6200" w:type="dxa"/>
            <w:vAlign w:val="bottom"/>
            <w:vMerge w:val="restart"/>
          </w:tcPr>
          <w:p>
            <w:pPr>
              <w:spacing w:after="0"/>
              <w:rPr>
                <w:sz w:val="20"/>
                <w:szCs w:val="20"/>
                <w:color w:val="auto"/>
              </w:rPr>
            </w:pPr>
            <w:r>
              <w:rPr>
                <w:rFonts w:ascii="Arial" w:cs="Arial" w:eastAsia="Arial" w:hAnsi="Arial"/>
                <w:sz w:val="16"/>
                <w:szCs w:val="16"/>
                <w:color w:val="auto"/>
              </w:rPr>
              <w:t>Industries in 2016. He is currently providing consulting and transition services to</w:t>
            </w: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0" w:type="dxa"/>
            <w:vAlign w:val="bottom"/>
            <w:vMerge w:val="continue"/>
          </w:tcPr>
          <w:p>
            <w:pPr>
              <w:spacing w:after="0"/>
              <w:rPr>
                <w:sz w:val="9"/>
                <w:szCs w:val="9"/>
                <w:color w:val="auto"/>
              </w:rPr>
            </w:pPr>
          </w:p>
        </w:tc>
        <w:tc>
          <w:tcPr>
            <w:tcW w:w="2680" w:type="dxa"/>
            <w:vAlign w:val="bottom"/>
            <w:vMerge w:val="restart"/>
          </w:tcPr>
          <w:p>
            <w:pPr>
              <w:ind w:left="340"/>
              <w:spacing w:after="0"/>
              <w:rPr>
                <w:sz w:val="20"/>
                <w:szCs w:val="20"/>
                <w:color w:val="auto"/>
              </w:rPr>
            </w:pPr>
            <w:r>
              <w:rPr>
                <w:rFonts w:ascii="Arial" w:cs="Arial" w:eastAsia="Arial" w:hAnsi="Arial"/>
                <w:sz w:val="16"/>
                <w:szCs w:val="16"/>
                <w:color w:val="auto"/>
              </w:rPr>
              <w:t>leadership, strategic, audit, and</w:t>
            </w:r>
          </w:p>
        </w:tc>
        <w:tc>
          <w:tcPr>
            <w:tcW w:w="0" w:type="dxa"/>
            <w:vAlign w:val="bottom"/>
          </w:tcPr>
          <w:p>
            <w:pPr>
              <w:spacing w:after="0"/>
              <w:rPr>
                <w:sz w:val="1"/>
                <w:szCs w:val="1"/>
                <w:color w:val="auto"/>
              </w:rPr>
            </w:pPr>
          </w:p>
        </w:tc>
      </w:tr>
      <w:tr>
        <w:trPr>
          <w:trHeight w:val="81"/>
        </w:trPr>
        <w:tc>
          <w:tcPr>
            <w:tcW w:w="6200" w:type="dxa"/>
            <w:vAlign w:val="bottom"/>
            <w:vMerge w:val="restart"/>
          </w:tcPr>
          <w:p>
            <w:pPr>
              <w:spacing w:after="0"/>
              <w:rPr>
                <w:sz w:val="20"/>
                <w:szCs w:val="20"/>
                <w:color w:val="auto"/>
              </w:rPr>
            </w:pPr>
            <w:r>
              <w:rPr>
                <w:rFonts w:ascii="Arial" w:cs="Arial" w:eastAsia="Arial" w:hAnsi="Arial"/>
                <w:sz w:val="16"/>
                <w:szCs w:val="16"/>
                <w:color w:val="auto"/>
              </w:rPr>
              <w:t>Highland Industries. From 2009 to 2011, Mr. Rediker served as the President and</w:t>
            </w: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0" w:type="dxa"/>
            <w:vAlign w:val="bottom"/>
            <w:vMerge w:val="continue"/>
          </w:tcPr>
          <w:p>
            <w:pPr>
              <w:spacing w:after="0"/>
              <w:rPr>
                <w:sz w:val="9"/>
                <w:szCs w:val="9"/>
                <w:color w:val="auto"/>
              </w:rPr>
            </w:pPr>
          </w:p>
        </w:tc>
        <w:tc>
          <w:tcPr>
            <w:tcW w:w="2680" w:type="dxa"/>
            <w:vAlign w:val="bottom"/>
            <w:vMerge w:val="restart"/>
          </w:tcPr>
          <w:p>
            <w:pPr>
              <w:ind w:left="340"/>
              <w:spacing w:after="0"/>
              <w:rPr>
                <w:sz w:val="20"/>
                <w:szCs w:val="20"/>
                <w:color w:val="auto"/>
              </w:rPr>
            </w:pPr>
            <w:r>
              <w:rPr>
                <w:rFonts w:ascii="Arial" w:cs="Arial" w:eastAsia="Arial" w:hAnsi="Arial"/>
                <w:sz w:val="16"/>
                <w:szCs w:val="16"/>
                <w:color w:val="auto"/>
              </w:rPr>
              <w:t>marketing experience</w:t>
            </w:r>
          </w:p>
        </w:tc>
        <w:tc>
          <w:tcPr>
            <w:tcW w:w="0" w:type="dxa"/>
            <w:vAlign w:val="bottom"/>
          </w:tcPr>
          <w:p>
            <w:pPr>
              <w:spacing w:after="0"/>
              <w:rPr>
                <w:sz w:val="1"/>
                <w:szCs w:val="1"/>
                <w:color w:val="auto"/>
              </w:rPr>
            </w:pPr>
          </w:p>
        </w:tc>
      </w:tr>
      <w:tr>
        <w:trPr>
          <w:trHeight w:val="87"/>
        </w:trPr>
        <w:tc>
          <w:tcPr>
            <w:tcW w:w="6200" w:type="dxa"/>
            <w:vAlign w:val="bottom"/>
            <w:vMerge w:val="restart"/>
          </w:tcPr>
          <w:p>
            <w:pPr>
              <w:spacing w:after="0"/>
              <w:rPr>
                <w:sz w:val="20"/>
                <w:szCs w:val="20"/>
                <w:color w:val="auto"/>
              </w:rPr>
            </w:pPr>
            <w:r>
              <w:rPr>
                <w:rFonts w:ascii="Arial" w:cs="Arial" w:eastAsia="Arial" w:hAnsi="Arial"/>
                <w:sz w:val="16"/>
                <w:szCs w:val="16"/>
                <w:color w:val="auto"/>
              </w:rPr>
              <w:t>Chief Operating Officer of B4C, LLC, a developer and maker of ceramic materials for</w:t>
            </w: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6200" w:type="dxa"/>
            <w:vAlign w:val="bottom"/>
            <w:vMerge w:val="continue"/>
          </w:tcPr>
          <w:p>
            <w:pPr>
              <w:spacing w:after="0"/>
              <w:rPr>
                <w:sz w:val="8"/>
                <w:szCs w:val="8"/>
                <w:color w:val="auto"/>
              </w:rPr>
            </w:pPr>
          </w:p>
        </w:tc>
        <w:tc>
          <w:tcPr>
            <w:tcW w:w="2680" w:type="dxa"/>
            <w:vAlign w:val="bottom"/>
            <w:vMerge w:val="restart"/>
          </w:tcPr>
          <w:p>
            <w:pPr>
              <w:ind w:left="16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Extensive experience in mergers</w:t>
            </w:r>
          </w:p>
        </w:tc>
        <w:tc>
          <w:tcPr>
            <w:tcW w:w="0" w:type="dxa"/>
            <w:vAlign w:val="bottom"/>
          </w:tcPr>
          <w:p>
            <w:pPr>
              <w:spacing w:after="0"/>
              <w:rPr>
                <w:sz w:val="1"/>
                <w:szCs w:val="1"/>
                <w:color w:val="auto"/>
              </w:rPr>
            </w:pPr>
          </w:p>
        </w:tc>
      </w:tr>
      <w:tr>
        <w:trPr>
          <w:trHeight w:val="162"/>
        </w:trPr>
        <w:tc>
          <w:tcPr>
            <w:tcW w:w="6200" w:type="dxa"/>
            <w:vAlign w:val="bottom"/>
          </w:tcPr>
          <w:p>
            <w:pPr>
              <w:spacing w:after="0" w:line="162" w:lineRule="exact"/>
              <w:rPr>
                <w:sz w:val="20"/>
                <w:szCs w:val="20"/>
                <w:color w:val="auto"/>
              </w:rPr>
            </w:pPr>
            <w:r>
              <w:rPr>
                <w:rFonts w:ascii="Arial" w:cs="Arial" w:eastAsia="Arial" w:hAnsi="Arial"/>
                <w:sz w:val="16"/>
                <w:szCs w:val="16"/>
                <w:color w:val="auto"/>
              </w:rPr>
              <w:t>defense and aerospace applications. He previously served as President and Chief</w:t>
            </w: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Executive Officer and Director of The Standard Register Company, and as the Chief</w:t>
            </w:r>
          </w:p>
        </w:tc>
        <w:tc>
          <w:tcPr>
            <w:tcW w:w="2680" w:type="dxa"/>
            <w:vAlign w:val="bottom"/>
          </w:tcPr>
          <w:p>
            <w:pPr>
              <w:ind w:left="340"/>
              <w:spacing w:after="0"/>
              <w:rPr>
                <w:sz w:val="20"/>
                <w:szCs w:val="20"/>
                <w:color w:val="auto"/>
              </w:rPr>
            </w:pPr>
            <w:r>
              <w:rPr>
                <w:rFonts w:ascii="Arial" w:cs="Arial" w:eastAsia="Arial" w:hAnsi="Arial"/>
                <w:sz w:val="16"/>
                <w:szCs w:val="16"/>
                <w:color w:val="auto"/>
              </w:rPr>
              <w:t>and acquisitions, environmental</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Executive Officer and a Director of English China Clays, plc. Mr. Rediker received a</w:t>
            </w:r>
          </w:p>
        </w:tc>
        <w:tc>
          <w:tcPr>
            <w:tcW w:w="2680" w:type="dxa"/>
            <w:vAlign w:val="bottom"/>
          </w:tcPr>
          <w:p>
            <w:pPr>
              <w:ind w:left="340"/>
              <w:spacing w:after="0"/>
              <w:rPr>
                <w:sz w:val="20"/>
                <w:szCs w:val="20"/>
                <w:color w:val="auto"/>
              </w:rPr>
            </w:pPr>
            <w:r>
              <w:rPr>
                <w:rFonts w:ascii="Arial" w:cs="Arial" w:eastAsia="Arial" w:hAnsi="Arial"/>
                <w:sz w:val="16"/>
                <w:szCs w:val="16"/>
                <w:color w:val="auto"/>
              </w:rPr>
              <w:t>and safety, and customer</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Bachelor’s degree from the University of California at Santa Barbara in electrical</w:t>
            </w:r>
          </w:p>
        </w:tc>
        <w:tc>
          <w:tcPr>
            <w:tcW w:w="2680" w:type="dxa"/>
            <w:vAlign w:val="bottom"/>
          </w:tcPr>
          <w:p>
            <w:pPr>
              <w:ind w:left="340"/>
              <w:spacing w:after="0"/>
              <w:rPr>
                <w:sz w:val="20"/>
                <w:szCs w:val="20"/>
                <w:color w:val="auto"/>
              </w:rPr>
            </w:pPr>
            <w:r>
              <w:rPr>
                <w:rFonts w:ascii="Arial" w:cs="Arial" w:eastAsia="Arial" w:hAnsi="Arial"/>
                <w:sz w:val="16"/>
                <w:szCs w:val="16"/>
                <w:color w:val="auto"/>
              </w:rPr>
              <w:t>service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-1201420</wp:posOffset>
            </wp:positionV>
            <wp:extent cx="1123315" cy="1457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3315" cy="1457960"/>
                    </a:xfrm>
                    <a:prstGeom prst="rect">
                      <a:avLst/>
                    </a:prstGeom>
                    <a:noFill/>
                  </pic:spPr>
                </pic:pic>
              </a:graphicData>
            </a:graphic>
          </wp:anchor>
        </w:drawing>
      </w:r>
    </w:p>
    <w:tbl>
      <w:tblPr>
        <w:tblLayout w:type="fixed"/>
        <w:tblInd w:w="2540" w:type="dxa"/>
        <w:tblCellMar>
          <w:top w:w="0" w:type="dxa"/>
          <w:left w:w="0" w:type="dxa"/>
          <w:bottom w:w="0" w:type="dxa"/>
          <w:right w:w="0" w:type="dxa"/>
        </w:tblCellMar>
      </w:tblPr>
      <w:tr>
        <w:trPr>
          <w:trHeight w:val="195"/>
        </w:trPr>
        <w:tc>
          <w:tcPr>
            <w:tcW w:w="3620" w:type="dxa"/>
            <w:vAlign w:val="bottom"/>
          </w:tcPr>
          <w:p>
            <w:pPr>
              <w:spacing w:after="0"/>
              <w:rPr>
                <w:sz w:val="20"/>
                <w:szCs w:val="20"/>
                <w:color w:val="auto"/>
              </w:rPr>
            </w:pPr>
            <w:r>
              <w:rPr>
                <w:rFonts w:ascii="Arial" w:cs="Arial" w:eastAsia="Arial" w:hAnsi="Arial"/>
                <w:sz w:val="16"/>
                <w:szCs w:val="16"/>
                <w:color w:val="auto"/>
              </w:rPr>
              <w:t>engineering.</w:t>
            </w:r>
          </w:p>
        </w:tc>
        <w:tc>
          <w:tcPr>
            <w:tcW w:w="5040" w:type="dxa"/>
            <w:vAlign w:val="bottom"/>
            <w:vMerge w:val="restart"/>
          </w:tcPr>
          <w:p>
            <w:pPr>
              <w:ind w:left="274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Expertise in corporate strategy</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5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right"/>
        <w:ind w:right="10120"/>
        <w:spacing w:after="0" w:line="299" w:lineRule="exact"/>
        <w:rPr>
          <w:sz w:val="20"/>
          <w:szCs w:val="20"/>
          <w:color w:val="auto"/>
        </w:rPr>
      </w:pPr>
      <w:r>
        <w:rPr>
          <w:rFonts w:ascii="MS PGothic" w:cs="MS PGothic" w:eastAsia="MS PGothic" w:hAnsi="MS PGothic"/>
          <w:sz w:val="26"/>
          <w:szCs w:val="26"/>
          <w:color w:val="007CBA"/>
        </w:rPr>
        <w:t>◆</w:t>
      </w:r>
      <w:r>
        <w:rPr>
          <w:rFonts w:ascii="Arial" w:cs="Arial" w:eastAsia="Arial" w:hAnsi="Arial"/>
          <w:sz w:val="20"/>
          <w:szCs w:val="20"/>
          <w:b w:val="1"/>
          <w:bCs w:val="1"/>
          <w:color w:val="007CBA"/>
        </w:rPr>
        <w:t>DENNIS L.</w:t>
      </w:r>
    </w:p>
    <w:p>
      <w:pPr>
        <w:spacing w:after="0" w:line="111" w:lineRule="exact"/>
        <w:rPr>
          <w:sz w:val="20"/>
          <w:szCs w:val="20"/>
          <w:color w:val="auto"/>
        </w:rPr>
      </w:pPr>
    </w:p>
    <w:p>
      <w:pPr>
        <w:jc w:val="right"/>
        <w:ind w:right="10200"/>
        <w:spacing w:after="0"/>
        <w:rPr>
          <w:sz w:val="20"/>
          <w:szCs w:val="20"/>
          <w:color w:val="auto"/>
        </w:rPr>
      </w:pPr>
      <w:r>
        <w:rPr>
          <w:rFonts w:ascii="Arial" w:cs="Arial" w:eastAsia="Arial" w:hAnsi="Arial"/>
          <w:sz w:val="22"/>
          <w:szCs w:val="22"/>
          <w:b w:val="1"/>
          <w:bCs w:val="1"/>
          <w:color w:val="007CBA"/>
        </w:rPr>
        <w:t>REDIKER</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2003</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 of the Audit Committee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the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Director Compensation</w:t>
      </w:r>
    </w:p>
    <w:p>
      <w:pPr>
        <w:spacing w:after="0" w:line="2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 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 Paid to Board Members</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the fiscal year ended December 31, 2016, all the individuals who were then Directors, except Mr. Nye, who was the Chief Executive Officer of Martin Marietta in 2016 and was not and is not compensated separately for his service as a Director, were paid an annual cash retainer, as well as an equity grant of restricted stock units (“RSUs”), which is discussed below. The annual retainer for Board members was $100,000. Members of the Audit Committee received an additional $5,000 in view of their increased responsibilities. Each committee chair received an additional annual fee of $8,000, except the Chair of the Audit Committee, who received an additional annual fee of $15,000 in light of his increased responsibilities. In his role as Lead Independent Director, Mr. Quillen received an additional annual fee of $25,000. The annual cash retainer and supplemental fees are paid in quarterly installments, measured from the end of the month during which the Annual Meeting of Shareholders is held. Directors were also reimbursed for travel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expenses related to attendance at Board and committee meetings. Martin Marietta’s plane was used to transport some Directors to and from Board and committee meetings, but no Directors received personal use of Martin Marietta’s plane or other perquisites and personal benefits in 2016.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Paid to Board Members</w:t>
      </w:r>
    </w:p>
    <w:p>
      <w:pPr>
        <w:spacing w:after="0" w:line="130"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Non-employee Directors received an award of RSUs with a value of $100,000 (rounded up to the nearest RSU) based on the closing price as of the date of grant, which was generally immediately following the 2016 Annual Meeting of Shareholders in May 2016. In 2016, this award was 541 RSUs. Mr. Koraleski, who was appointed to the Board on August 15, 2016, received 502 RSUs. The RSUs granted to the Directors in 2016 were fully vested upon award. Directors are required to defer at least 50% of the RSUs until retirement from the Board. Directors may choose to voluntarily defer an additional portion of their RSUs, and any RSUs that are not so deferred will settle in shares of common stock of Martin Marietta as soon as practicable following the grant date. The RSUs were awarded under the Martin Marietta Amended and Restated Stock-Based Award Plan (the “Stock Plan”), which was approved by shareholders on May 19, 2016. The Stock Plan provides that, during any calendar year, no non-employee Director may be granted (i) restricted shares and other full-value stock-based awards, including RSUs, in respect of more than 7,000 shares of common stock of Martin Marietta or</w:t>
      </w:r>
    </w:p>
    <w:p>
      <w:pPr>
        <w:spacing w:after="0" w:line="8" w:lineRule="exact"/>
        <w:rPr>
          <w:sz w:val="20"/>
          <w:szCs w:val="20"/>
          <w:color w:val="auto"/>
        </w:rPr>
      </w:pPr>
    </w:p>
    <w:p>
      <w:pPr>
        <w:ind w:right="120" w:firstLine="9"/>
        <w:spacing w:after="0" w:line="260" w:lineRule="auto"/>
        <w:tabs>
          <w:tab w:leader="none" w:pos="2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options or stock appreciation rights in respect of more than 20,000 shares of common stock of Martin Marietta.</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Directors do not have voting or investment power for their respective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363220</wp:posOffset>
            </wp:positionV>
            <wp:extent cx="411480"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48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10"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11</w:t>
            </w: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Proposal 1: Election of Directors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Director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Program for Board Members</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Common Stock Purchase Plan for Directors provides that non-employee Directors may elect to receive all or a portion of their fees earned in 2016 in the form of Martin Marietta’s common stock units. If deferral is elected, there is a mandatory deferral minimum time of three years with, subject to certain restrictions, redeferrals at each Director’s election up to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 xml:space="preserve">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on the date the Director fees would otherwise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no matching contributions made by Martin Marietta. The units are converted into common stock of Martin Marietta pursuant to the terms of the plan. Dividend equivalents are paid on the units at the same rate as dividends are paid to all shareholders. The Directors do not have voting or investment power for their respective common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-2065655</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7"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ind w:right="20"/>
        <w:spacing w:after="0" w:line="260" w:lineRule="auto"/>
        <w:rPr>
          <w:sz w:val="20"/>
          <w:szCs w:val="20"/>
          <w:color w:val="auto"/>
        </w:rPr>
      </w:pPr>
      <w:r>
        <w:rPr>
          <w:rFonts w:ascii="Arial" w:cs="Arial" w:eastAsia="Arial" w:hAnsi="Arial"/>
          <w:sz w:val="16"/>
          <w:szCs w:val="16"/>
          <w:color w:val="auto"/>
        </w:rPr>
        <w:t>The table below summarizes the compensation paid by Martin Marietta to each person who served as a non-employee Director during the fiscal year ended December 31,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Borders>
              <w:right w:val="single" w:sz="8" w:color="007CBA"/>
            </w:tcBorders>
            <w:shd w:val="clear" w:color="auto" w:fill="007CBA"/>
          </w:tcPr>
          <w:p>
            <w:pPr>
              <w:spacing w:after="0"/>
              <w:rPr>
                <w:sz w:val="14"/>
                <w:szCs w:val="14"/>
                <w:color w:val="auto"/>
              </w:rPr>
            </w:pPr>
          </w:p>
        </w:tc>
        <w:tc>
          <w:tcPr>
            <w:tcW w:w="112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spacing w:after="0"/>
              <w:rPr>
                <w:sz w:val="14"/>
                <w:szCs w:val="14"/>
                <w:color w:val="auto"/>
              </w:rPr>
            </w:pPr>
          </w:p>
        </w:tc>
        <w:tc>
          <w:tcPr>
            <w:tcW w:w="1080" w:type="dxa"/>
            <w:vAlign w:val="bottom"/>
            <w:tcBorders>
              <w:right w:val="single" w:sz="8" w:color="007CBA"/>
            </w:tcBorders>
            <w:shd w:val="clear" w:color="auto" w:fill="007CBA"/>
          </w:tcPr>
          <w:p>
            <w:pPr>
              <w:spacing w:after="0"/>
              <w:rPr>
                <w:sz w:val="14"/>
                <w:szCs w:val="14"/>
                <w:color w:val="auto"/>
              </w:rPr>
            </w:pPr>
          </w:p>
        </w:tc>
        <w:tc>
          <w:tcPr>
            <w:tcW w:w="1540" w:type="dxa"/>
            <w:vAlign w:val="bottom"/>
            <w:tcBorders>
              <w:right w:val="single" w:sz="8" w:color="007CBA"/>
            </w:tcBorders>
            <w:shd w:val="clear" w:color="auto" w:fill="007CBA"/>
          </w:tcPr>
          <w:p>
            <w:pPr>
              <w:spacing w:after="0"/>
              <w:rPr>
                <w:sz w:val="14"/>
                <w:szCs w:val="14"/>
                <w:color w:val="auto"/>
              </w:rPr>
            </w:pPr>
          </w:p>
        </w:tc>
        <w:tc>
          <w:tcPr>
            <w:tcW w:w="1560" w:type="dxa"/>
            <w:vAlign w:val="bottom"/>
            <w:tcBorders>
              <w:right w:val="single" w:sz="8" w:color="007CBA"/>
            </w:tcBorders>
            <w:shd w:val="clear" w:color="auto" w:fill="007CBA"/>
          </w:tcPr>
          <w:p>
            <w:pPr>
              <w:jc w:val="center"/>
              <w:ind w:left="149"/>
              <w:spacing w:after="0"/>
              <w:rPr>
                <w:sz w:val="20"/>
                <w:szCs w:val="20"/>
                <w:color w:val="auto"/>
              </w:rPr>
            </w:pPr>
            <w:r>
              <w:rPr>
                <w:rFonts w:ascii="Arial" w:cs="Arial" w:eastAsia="Arial" w:hAnsi="Arial"/>
                <w:sz w:val="14"/>
                <w:szCs w:val="14"/>
                <w:b w:val="1"/>
                <w:bCs w:val="1"/>
                <w:color w:val="FFFFFF"/>
              </w:rPr>
              <w:t>Change in Pension</w:t>
            </w:r>
          </w:p>
        </w:tc>
        <w:tc>
          <w:tcPr>
            <w:tcW w:w="1300" w:type="dxa"/>
            <w:vAlign w:val="bottom"/>
            <w:tcBorders>
              <w:right w:val="single" w:sz="8" w:color="007CBA"/>
            </w:tcBorders>
            <w:shd w:val="clear" w:color="auto" w:fill="007CBA"/>
          </w:tcPr>
          <w:p>
            <w:pPr>
              <w:spacing w:after="0"/>
              <w:rPr>
                <w:sz w:val="14"/>
                <w:szCs w:val="14"/>
                <w:color w:val="auto"/>
              </w:rPr>
            </w:pPr>
          </w:p>
        </w:tc>
        <w:tc>
          <w:tcPr>
            <w:tcW w:w="1060" w:type="dxa"/>
            <w:vAlign w:val="bottom"/>
            <w:shd w:val="clear" w:color="auto" w:fill="007CBA"/>
          </w:tcPr>
          <w:p>
            <w:pPr>
              <w:spacing w:after="0"/>
              <w:rPr>
                <w:sz w:val="14"/>
                <w:szCs w:val="14"/>
                <w:color w:val="auto"/>
              </w:rPr>
            </w:pPr>
          </w:p>
        </w:tc>
      </w:tr>
      <w:tr>
        <w:trPr>
          <w:trHeight w:val="162"/>
        </w:trPr>
        <w:tc>
          <w:tcPr>
            <w:tcW w:w="2620" w:type="dxa"/>
            <w:vAlign w:val="bottom"/>
            <w:tcBorders>
              <w:right w:val="single" w:sz="8" w:color="007CBA"/>
            </w:tcBorders>
            <w:shd w:val="clear" w:color="auto" w:fill="007CBA"/>
          </w:tcPr>
          <w:p>
            <w:pPr>
              <w:spacing w:after="0"/>
              <w:rPr>
                <w:sz w:val="14"/>
                <w:szCs w:val="14"/>
                <w:color w:val="auto"/>
              </w:rPr>
            </w:pPr>
          </w:p>
        </w:tc>
        <w:tc>
          <w:tcPr>
            <w:tcW w:w="112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spacing w:after="0"/>
              <w:rPr>
                <w:sz w:val="14"/>
                <w:szCs w:val="14"/>
                <w:color w:val="auto"/>
              </w:rPr>
            </w:pPr>
          </w:p>
        </w:tc>
        <w:tc>
          <w:tcPr>
            <w:tcW w:w="1080" w:type="dxa"/>
            <w:vAlign w:val="bottom"/>
            <w:tcBorders>
              <w:right w:val="single" w:sz="8" w:color="007CBA"/>
            </w:tcBorders>
            <w:shd w:val="clear" w:color="auto" w:fill="007CBA"/>
          </w:tcPr>
          <w:p>
            <w:pPr>
              <w:spacing w:after="0"/>
              <w:rPr>
                <w:sz w:val="14"/>
                <w:szCs w:val="14"/>
                <w:color w:val="auto"/>
              </w:rPr>
            </w:pPr>
          </w:p>
        </w:tc>
        <w:tc>
          <w:tcPr>
            <w:tcW w:w="1540" w:type="dxa"/>
            <w:vAlign w:val="bottom"/>
            <w:tcBorders>
              <w:right w:val="single" w:sz="8" w:color="007CBA"/>
            </w:tcBorders>
            <w:shd w:val="clear" w:color="auto" w:fill="007CBA"/>
          </w:tcPr>
          <w:p>
            <w:pPr>
              <w:spacing w:after="0"/>
              <w:rPr>
                <w:sz w:val="14"/>
                <w:szCs w:val="14"/>
                <w:color w:val="auto"/>
              </w:rPr>
            </w:pPr>
          </w:p>
        </w:tc>
        <w:tc>
          <w:tcPr>
            <w:tcW w:w="156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Value and</w:t>
            </w:r>
          </w:p>
        </w:tc>
        <w:tc>
          <w:tcPr>
            <w:tcW w:w="1300" w:type="dxa"/>
            <w:vAlign w:val="bottom"/>
            <w:tcBorders>
              <w:right w:val="single" w:sz="8" w:color="007CBA"/>
            </w:tcBorders>
            <w:shd w:val="clear" w:color="auto" w:fill="007CBA"/>
          </w:tcPr>
          <w:p>
            <w:pPr>
              <w:spacing w:after="0"/>
              <w:rPr>
                <w:sz w:val="14"/>
                <w:szCs w:val="14"/>
                <w:color w:val="auto"/>
              </w:rPr>
            </w:pPr>
          </w:p>
        </w:tc>
        <w:tc>
          <w:tcPr>
            <w:tcW w:w="1060" w:type="dxa"/>
            <w:vAlign w:val="bottom"/>
            <w:shd w:val="clear" w:color="auto" w:fill="007CBA"/>
          </w:tcPr>
          <w:p>
            <w:pPr>
              <w:spacing w:after="0"/>
              <w:rPr>
                <w:sz w:val="14"/>
                <w:szCs w:val="14"/>
                <w:color w:val="auto"/>
              </w:rPr>
            </w:pPr>
          </w:p>
        </w:tc>
      </w:tr>
      <w:tr>
        <w:trPr>
          <w:trHeight w:val="162"/>
        </w:trPr>
        <w:tc>
          <w:tcPr>
            <w:tcW w:w="2620" w:type="dxa"/>
            <w:vAlign w:val="bottom"/>
            <w:tcBorders>
              <w:right w:val="single" w:sz="8" w:color="007CBA"/>
            </w:tcBorders>
            <w:shd w:val="clear" w:color="auto" w:fill="007CBA"/>
          </w:tcPr>
          <w:p>
            <w:pPr>
              <w:spacing w:after="0"/>
              <w:rPr>
                <w:sz w:val="14"/>
                <w:szCs w:val="14"/>
                <w:color w:val="auto"/>
              </w:rPr>
            </w:pPr>
          </w:p>
        </w:tc>
        <w:tc>
          <w:tcPr>
            <w:tcW w:w="112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spacing w:after="0"/>
              <w:rPr>
                <w:sz w:val="14"/>
                <w:szCs w:val="14"/>
                <w:color w:val="auto"/>
              </w:rPr>
            </w:pPr>
          </w:p>
        </w:tc>
        <w:tc>
          <w:tcPr>
            <w:tcW w:w="1080" w:type="dxa"/>
            <w:vAlign w:val="bottom"/>
            <w:tcBorders>
              <w:right w:val="single" w:sz="8" w:color="007CBA"/>
            </w:tcBorders>
            <w:shd w:val="clear" w:color="auto" w:fill="007CBA"/>
          </w:tcPr>
          <w:p>
            <w:pPr>
              <w:spacing w:after="0"/>
              <w:rPr>
                <w:sz w:val="14"/>
                <w:szCs w:val="14"/>
                <w:color w:val="auto"/>
              </w:rPr>
            </w:pPr>
          </w:p>
        </w:tc>
        <w:tc>
          <w:tcPr>
            <w:tcW w:w="1540" w:type="dxa"/>
            <w:vAlign w:val="bottom"/>
            <w:tcBorders>
              <w:right w:val="single" w:sz="8" w:color="007CBA"/>
            </w:tcBorders>
            <w:shd w:val="clear" w:color="auto" w:fill="007CBA"/>
          </w:tcPr>
          <w:p>
            <w:pPr>
              <w:spacing w:after="0"/>
              <w:rPr>
                <w:sz w:val="14"/>
                <w:szCs w:val="14"/>
                <w:color w:val="auto"/>
              </w:rPr>
            </w:pPr>
          </w:p>
        </w:tc>
        <w:tc>
          <w:tcPr>
            <w:tcW w:w="156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Nonqualified</w:t>
            </w:r>
          </w:p>
        </w:tc>
        <w:tc>
          <w:tcPr>
            <w:tcW w:w="1300" w:type="dxa"/>
            <w:vAlign w:val="bottom"/>
            <w:tcBorders>
              <w:right w:val="single" w:sz="8" w:color="007CBA"/>
            </w:tcBorders>
            <w:shd w:val="clear" w:color="auto" w:fill="007CBA"/>
          </w:tcPr>
          <w:p>
            <w:pPr>
              <w:spacing w:after="0"/>
              <w:rPr>
                <w:sz w:val="14"/>
                <w:szCs w:val="14"/>
                <w:color w:val="auto"/>
              </w:rPr>
            </w:pPr>
          </w:p>
        </w:tc>
        <w:tc>
          <w:tcPr>
            <w:tcW w:w="1060" w:type="dxa"/>
            <w:vAlign w:val="bottom"/>
            <w:shd w:val="clear" w:color="auto" w:fill="007CBA"/>
          </w:tcPr>
          <w:p>
            <w:pPr>
              <w:spacing w:after="0"/>
              <w:rPr>
                <w:sz w:val="14"/>
                <w:szCs w:val="14"/>
                <w:color w:val="auto"/>
              </w:rPr>
            </w:pPr>
          </w:p>
        </w:tc>
      </w:tr>
      <w:tr>
        <w:trPr>
          <w:trHeight w:val="162"/>
        </w:trPr>
        <w:tc>
          <w:tcPr>
            <w:tcW w:w="2620" w:type="dxa"/>
            <w:vAlign w:val="bottom"/>
            <w:tcBorders>
              <w:right w:val="single" w:sz="8" w:color="007CBA"/>
            </w:tcBorders>
            <w:shd w:val="clear" w:color="auto" w:fill="007CBA"/>
          </w:tcPr>
          <w:p>
            <w:pPr>
              <w:spacing w:after="0"/>
              <w:rPr>
                <w:sz w:val="14"/>
                <w:szCs w:val="14"/>
                <w:color w:val="auto"/>
              </w:rPr>
            </w:pPr>
          </w:p>
        </w:tc>
        <w:tc>
          <w:tcPr>
            <w:tcW w:w="1120" w:type="dxa"/>
            <w:vAlign w:val="bottom"/>
            <w:tcBorders>
              <w:right w:val="single" w:sz="8" w:color="007CBA"/>
            </w:tcBorders>
            <w:shd w:val="clear" w:color="auto" w:fill="007CBA"/>
          </w:tcPr>
          <w:p>
            <w:pPr>
              <w:jc w:val="center"/>
              <w:ind w:left="149"/>
              <w:spacing w:after="0"/>
              <w:rPr>
                <w:sz w:val="20"/>
                <w:szCs w:val="20"/>
                <w:color w:val="auto"/>
              </w:rPr>
            </w:pPr>
            <w:r>
              <w:rPr>
                <w:rFonts w:ascii="Arial" w:cs="Arial" w:eastAsia="Arial" w:hAnsi="Arial"/>
                <w:sz w:val="14"/>
                <w:szCs w:val="14"/>
                <w:b w:val="1"/>
                <w:bCs w:val="1"/>
                <w:color w:val="FFFFFF"/>
              </w:rPr>
              <w:t>Fees</w:t>
            </w:r>
          </w:p>
        </w:tc>
        <w:tc>
          <w:tcPr>
            <w:tcW w:w="1140" w:type="dxa"/>
            <w:vAlign w:val="bottom"/>
            <w:tcBorders>
              <w:right w:val="single" w:sz="8" w:color="007CBA"/>
            </w:tcBorders>
            <w:shd w:val="clear" w:color="auto" w:fill="007CBA"/>
          </w:tcPr>
          <w:p>
            <w:pPr>
              <w:spacing w:after="0"/>
              <w:rPr>
                <w:sz w:val="14"/>
                <w:szCs w:val="14"/>
                <w:color w:val="auto"/>
              </w:rPr>
            </w:pPr>
          </w:p>
        </w:tc>
        <w:tc>
          <w:tcPr>
            <w:tcW w:w="1080" w:type="dxa"/>
            <w:vAlign w:val="bottom"/>
            <w:tcBorders>
              <w:right w:val="single" w:sz="8" w:color="007CBA"/>
            </w:tcBorders>
            <w:shd w:val="clear" w:color="auto" w:fill="007CBA"/>
          </w:tcPr>
          <w:p>
            <w:pPr>
              <w:spacing w:after="0"/>
              <w:rPr>
                <w:sz w:val="14"/>
                <w:szCs w:val="14"/>
                <w:color w:val="auto"/>
              </w:rPr>
            </w:pPr>
          </w:p>
        </w:tc>
        <w:tc>
          <w:tcPr>
            <w:tcW w:w="15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Non-Equity</w:t>
            </w:r>
          </w:p>
        </w:tc>
        <w:tc>
          <w:tcPr>
            <w:tcW w:w="1560" w:type="dxa"/>
            <w:vAlign w:val="bottom"/>
            <w:tcBorders>
              <w:right w:val="single" w:sz="8" w:color="007CBA"/>
            </w:tcBorders>
            <w:shd w:val="clear" w:color="auto" w:fill="007CBA"/>
          </w:tcPr>
          <w:p>
            <w:pPr>
              <w:jc w:val="center"/>
              <w:ind w:left="169"/>
              <w:spacing w:after="0"/>
              <w:rPr>
                <w:sz w:val="20"/>
                <w:szCs w:val="20"/>
                <w:color w:val="auto"/>
              </w:rPr>
            </w:pPr>
            <w:r>
              <w:rPr>
                <w:rFonts w:ascii="Arial" w:cs="Arial" w:eastAsia="Arial" w:hAnsi="Arial"/>
                <w:sz w:val="14"/>
                <w:szCs w:val="14"/>
                <w:b w:val="1"/>
                <w:bCs w:val="1"/>
                <w:color w:val="FFFFFF"/>
              </w:rPr>
              <w:t>Deferred</w:t>
            </w:r>
          </w:p>
        </w:tc>
        <w:tc>
          <w:tcPr>
            <w:tcW w:w="1300" w:type="dxa"/>
            <w:vAlign w:val="bottom"/>
            <w:tcBorders>
              <w:right w:val="single" w:sz="8" w:color="007CBA"/>
            </w:tcBorders>
            <w:shd w:val="clear" w:color="auto" w:fill="007CBA"/>
          </w:tcPr>
          <w:p>
            <w:pPr>
              <w:spacing w:after="0"/>
              <w:rPr>
                <w:sz w:val="14"/>
                <w:szCs w:val="14"/>
                <w:color w:val="auto"/>
              </w:rPr>
            </w:pPr>
          </w:p>
        </w:tc>
        <w:tc>
          <w:tcPr>
            <w:tcW w:w="1060" w:type="dxa"/>
            <w:vAlign w:val="bottom"/>
            <w:shd w:val="clear" w:color="auto" w:fill="007CBA"/>
          </w:tcPr>
          <w:p>
            <w:pPr>
              <w:spacing w:after="0"/>
              <w:rPr>
                <w:sz w:val="14"/>
                <w:szCs w:val="14"/>
                <w:color w:val="auto"/>
              </w:rPr>
            </w:pPr>
          </w:p>
        </w:tc>
      </w:tr>
      <w:tr>
        <w:trPr>
          <w:trHeight w:val="162"/>
        </w:trPr>
        <w:tc>
          <w:tcPr>
            <w:tcW w:w="2620" w:type="dxa"/>
            <w:vAlign w:val="bottom"/>
            <w:tcBorders>
              <w:right w:val="single" w:sz="8" w:color="007CBA"/>
            </w:tcBorders>
            <w:shd w:val="clear" w:color="auto" w:fill="007CBA"/>
          </w:tcPr>
          <w:p>
            <w:pPr>
              <w:spacing w:after="0"/>
              <w:rPr>
                <w:sz w:val="14"/>
                <w:szCs w:val="14"/>
                <w:color w:val="auto"/>
              </w:rPr>
            </w:pPr>
          </w:p>
        </w:tc>
        <w:tc>
          <w:tcPr>
            <w:tcW w:w="1120" w:type="dxa"/>
            <w:vAlign w:val="bottom"/>
            <w:tcBorders>
              <w:right w:val="single" w:sz="8" w:color="007CBA"/>
            </w:tcBorders>
            <w:shd w:val="clear" w:color="auto" w:fill="007CBA"/>
          </w:tcPr>
          <w:p>
            <w:pPr>
              <w:jc w:val="center"/>
              <w:ind w:left="109"/>
              <w:spacing w:after="0"/>
              <w:rPr>
                <w:sz w:val="20"/>
                <w:szCs w:val="20"/>
                <w:color w:val="auto"/>
              </w:rPr>
            </w:pPr>
            <w:r>
              <w:rPr>
                <w:rFonts w:ascii="Arial" w:cs="Arial" w:eastAsia="Arial" w:hAnsi="Arial"/>
                <w:sz w:val="14"/>
                <w:szCs w:val="14"/>
                <w:b w:val="1"/>
                <w:bCs w:val="1"/>
                <w:color w:val="FFFFFF"/>
              </w:rPr>
              <w:t>Earned or</w:t>
            </w:r>
          </w:p>
        </w:tc>
        <w:tc>
          <w:tcPr>
            <w:tcW w:w="1140" w:type="dxa"/>
            <w:vAlign w:val="bottom"/>
            <w:tcBorders>
              <w:right w:val="single" w:sz="8" w:color="007CBA"/>
            </w:tcBorders>
            <w:shd w:val="clear" w:color="auto" w:fill="007CBA"/>
          </w:tcPr>
          <w:p>
            <w:pPr>
              <w:jc w:val="center"/>
              <w:ind w:left="209"/>
              <w:spacing w:after="0"/>
              <w:rPr>
                <w:sz w:val="20"/>
                <w:szCs w:val="20"/>
                <w:color w:val="auto"/>
              </w:rPr>
            </w:pPr>
            <w:r>
              <w:rPr>
                <w:rFonts w:ascii="Arial" w:cs="Arial" w:eastAsia="Arial" w:hAnsi="Arial"/>
                <w:sz w:val="14"/>
                <w:szCs w:val="14"/>
                <w:b w:val="1"/>
                <w:bCs w:val="1"/>
                <w:color w:val="FFFFFF"/>
                <w:w w:val="99"/>
              </w:rPr>
              <w:t>Stock</w:t>
            </w:r>
          </w:p>
        </w:tc>
        <w:tc>
          <w:tcPr>
            <w:tcW w:w="1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Option</w:t>
            </w:r>
          </w:p>
        </w:tc>
        <w:tc>
          <w:tcPr>
            <w:tcW w:w="15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560" w:type="dxa"/>
            <w:vAlign w:val="bottom"/>
            <w:tcBorders>
              <w:right w:val="single" w:sz="8" w:color="007CBA"/>
            </w:tcBorders>
            <w:shd w:val="clear" w:color="auto" w:fill="007CBA"/>
          </w:tcPr>
          <w:p>
            <w:pPr>
              <w:jc w:val="center"/>
              <w:ind w:left="129"/>
              <w:spacing w:after="0"/>
              <w:rPr>
                <w:sz w:val="20"/>
                <w:szCs w:val="20"/>
                <w:color w:val="auto"/>
              </w:rPr>
            </w:pPr>
            <w:r>
              <w:rPr>
                <w:rFonts w:ascii="Arial" w:cs="Arial" w:eastAsia="Arial" w:hAnsi="Arial"/>
                <w:sz w:val="14"/>
                <w:szCs w:val="14"/>
                <w:b w:val="1"/>
                <w:bCs w:val="1"/>
                <w:color w:val="FFFFFF"/>
              </w:rPr>
              <w:t>Compensation</w:t>
            </w:r>
          </w:p>
        </w:tc>
        <w:tc>
          <w:tcPr>
            <w:tcW w:w="1300" w:type="dxa"/>
            <w:vAlign w:val="bottom"/>
            <w:tcBorders>
              <w:right w:val="single" w:sz="8" w:color="007CBA"/>
            </w:tcBorders>
            <w:shd w:val="clear" w:color="auto" w:fill="007CBA"/>
          </w:tcPr>
          <w:p>
            <w:pPr>
              <w:jc w:val="center"/>
              <w:ind w:left="149"/>
              <w:spacing w:after="0"/>
              <w:rPr>
                <w:sz w:val="20"/>
                <w:szCs w:val="20"/>
                <w:color w:val="auto"/>
              </w:rPr>
            </w:pPr>
            <w:r>
              <w:rPr>
                <w:rFonts w:ascii="Arial" w:cs="Arial" w:eastAsia="Arial" w:hAnsi="Arial"/>
                <w:sz w:val="14"/>
                <w:szCs w:val="14"/>
                <w:b w:val="1"/>
                <w:bCs w:val="1"/>
                <w:color w:val="FFFFFF"/>
              </w:rPr>
              <w:t>All Other</w:t>
            </w:r>
          </w:p>
        </w:tc>
        <w:tc>
          <w:tcPr>
            <w:tcW w:w="1060" w:type="dxa"/>
            <w:vAlign w:val="bottom"/>
            <w:shd w:val="clear" w:color="auto" w:fill="007CBA"/>
          </w:tcPr>
          <w:p>
            <w:pPr>
              <w:spacing w:after="0"/>
              <w:rPr>
                <w:sz w:val="14"/>
                <w:szCs w:val="14"/>
                <w:color w:val="auto"/>
              </w:rPr>
            </w:pPr>
          </w:p>
        </w:tc>
      </w:tr>
      <w:tr>
        <w:trPr>
          <w:trHeight w:val="159"/>
        </w:trPr>
        <w:tc>
          <w:tcPr>
            <w:tcW w:w="2620" w:type="dxa"/>
            <w:vAlign w:val="bottom"/>
            <w:tcBorders>
              <w:right w:val="single" w:sz="8" w:color="007CBA"/>
            </w:tcBorders>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center"/>
              <w:ind w:left="149"/>
              <w:spacing w:after="0" w:line="159" w:lineRule="exact"/>
              <w:rPr>
                <w:sz w:val="20"/>
                <w:szCs w:val="20"/>
                <w:color w:val="auto"/>
              </w:rPr>
            </w:pPr>
            <w:r>
              <w:rPr>
                <w:rFonts w:ascii="Arial" w:cs="Arial" w:eastAsia="Arial" w:hAnsi="Arial"/>
                <w:sz w:val="14"/>
                <w:szCs w:val="14"/>
                <w:b w:val="1"/>
                <w:bCs w:val="1"/>
                <w:color w:val="FFFFFF"/>
              </w:rPr>
              <w:t>Paid in Cash</w:t>
            </w:r>
          </w:p>
        </w:tc>
        <w:tc>
          <w:tcPr>
            <w:tcW w:w="1140" w:type="dxa"/>
            <w:vAlign w:val="bottom"/>
            <w:tcBorders>
              <w:right w:val="single" w:sz="8" w:color="007CBA"/>
            </w:tcBorders>
            <w:shd w:val="clear" w:color="auto" w:fill="007CBA"/>
          </w:tcPr>
          <w:p>
            <w:pPr>
              <w:jc w:val="center"/>
              <w:ind w:left="189"/>
              <w:spacing w:after="0" w:line="159" w:lineRule="exact"/>
              <w:rPr>
                <w:sz w:val="20"/>
                <w:szCs w:val="20"/>
                <w:color w:val="auto"/>
              </w:rPr>
            </w:pPr>
            <w:r>
              <w:rPr>
                <w:rFonts w:ascii="Arial" w:cs="Arial" w:eastAsia="Arial" w:hAnsi="Arial"/>
                <w:sz w:val="14"/>
                <w:szCs w:val="14"/>
                <w:b w:val="1"/>
                <w:bCs w:val="1"/>
                <w:color w:val="FFFFFF"/>
              </w:rPr>
              <w:t>Awards</w:t>
            </w:r>
          </w:p>
        </w:tc>
        <w:tc>
          <w:tcPr>
            <w:tcW w:w="108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8"/>
              </w:rPr>
              <w:t>Awards</w:t>
            </w:r>
          </w:p>
        </w:tc>
        <w:tc>
          <w:tcPr>
            <w:tcW w:w="154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560" w:type="dxa"/>
            <w:vAlign w:val="bottom"/>
            <w:tcBorders>
              <w:right w:val="single" w:sz="8" w:color="007CBA"/>
            </w:tcBorders>
            <w:shd w:val="clear" w:color="auto" w:fill="007CBA"/>
          </w:tcPr>
          <w:p>
            <w:pPr>
              <w:jc w:val="center"/>
              <w:ind w:left="149"/>
              <w:spacing w:after="0" w:line="159" w:lineRule="exact"/>
              <w:rPr>
                <w:sz w:val="20"/>
                <w:szCs w:val="20"/>
                <w:color w:val="auto"/>
              </w:rPr>
            </w:pPr>
            <w:r>
              <w:rPr>
                <w:rFonts w:ascii="Arial" w:cs="Arial" w:eastAsia="Arial" w:hAnsi="Arial"/>
                <w:sz w:val="14"/>
                <w:szCs w:val="14"/>
                <w:b w:val="1"/>
                <w:bCs w:val="1"/>
                <w:color w:val="FFFFFF"/>
              </w:rPr>
              <w:t>Earnings</w:t>
            </w:r>
          </w:p>
        </w:tc>
        <w:tc>
          <w:tcPr>
            <w:tcW w:w="1300" w:type="dxa"/>
            <w:vAlign w:val="bottom"/>
            <w:tcBorders>
              <w:right w:val="single" w:sz="8" w:color="007CBA"/>
            </w:tcBorders>
            <w:shd w:val="clear" w:color="auto" w:fill="007CBA"/>
          </w:tcPr>
          <w:p>
            <w:pPr>
              <w:jc w:val="center"/>
              <w:ind w:left="109"/>
              <w:spacing w:after="0" w:line="159" w:lineRule="exact"/>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007CBA"/>
          </w:tcPr>
          <w:p>
            <w:pPr>
              <w:jc w:val="right"/>
              <w:ind w:right="328"/>
              <w:spacing w:after="0" w:line="159" w:lineRule="exact"/>
              <w:rPr>
                <w:sz w:val="20"/>
                <w:szCs w:val="20"/>
                <w:color w:val="auto"/>
              </w:rPr>
            </w:pPr>
            <w:r>
              <w:rPr>
                <w:rFonts w:ascii="Arial" w:cs="Arial" w:eastAsia="Arial" w:hAnsi="Arial"/>
                <w:sz w:val="14"/>
                <w:szCs w:val="14"/>
                <w:b w:val="1"/>
                <w:bCs w:val="1"/>
                <w:color w:val="FFFFFF"/>
              </w:rPr>
              <w:t>Total</w:t>
            </w:r>
          </w:p>
        </w:tc>
      </w:tr>
      <w:tr>
        <w:trPr>
          <w:trHeight w:val="166"/>
        </w:trPr>
        <w:tc>
          <w:tcPr>
            <w:tcW w:w="2620" w:type="dxa"/>
            <w:vAlign w:val="bottom"/>
            <w:tcBorders>
              <w:right w:val="single" w:sz="8" w:color="007CBA"/>
            </w:tcBorders>
            <w:shd w:val="clear" w:color="auto" w:fill="007CBA"/>
          </w:tcPr>
          <w:p>
            <w:pPr>
              <w:ind w:left="80"/>
              <w:spacing w:after="0" w:line="165" w:lineRule="exact"/>
              <w:rPr>
                <w:sz w:val="20"/>
                <w:szCs w:val="20"/>
                <w:color w:val="auto"/>
              </w:rPr>
            </w:pPr>
            <w:r>
              <w:rPr>
                <w:rFonts w:ascii="Arial" w:cs="Arial" w:eastAsia="Arial" w:hAnsi="Arial"/>
                <w:sz w:val="12"/>
                <w:szCs w:val="12"/>
                <w:b w:val="1"/>
                <w:bCs w:val="1"/>
                <w:color w:val="FFFFFF"/>
              </w:rPr>
              <w:t>Name</w:t>
            </w:r>
            <w:r>
              <w:rPr>
                <w:rFonts w:ascii="Arial" w:cs="Arial" w:eastAsia="Arial" w:hAnsi="Arial"/>
                <w:sz w:val="19"/>
                <w:szCs w:val="19"/>
                <w:b w:val="1"/>
                <w:bCs w:val="1"/>
                <w:color w:val="FFFFFF"/>
                <w:vertAlign w:val="superscript"/>
              </w:rPr>
              <w:t>1</w:t>
            </w:r>
          </w:p>
        </w:tc>
        <w:tc>
          <w:tcPr>
            <w:tcW w:w="1120" w:type="dxa"/>
            <w:vAlign w:val="bottom"/>
            <w:tcBorders>
              <w:right w:val="single" w:sz="8" w:color="007CBA"/>
            </w:tcBorders>
            <w:shd w:val="clear" w:color="auto" w:fill="007CBA"/>
          </w:tcPr>
          <w:p>
            <w:pPr>
              <w:jc w:val="center"/>
              <w:ind w:left="18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2</w:t>
            </w:r>
          </w:p>
        </w:tc>
        <w:tc>
          <w:tcPr>
            <w:tcW w:w="1140" w:type="dxa"/>
            <w:vAlign w:val="bottom"/>
            <w:tcBorders>
              <w:right w:val="single" w:sz="8" w:color="007CBA"/>
            </w:tcBorders>
            <w:shd w:val="clear" w:color="auto" w:fill="007CBA"/>
          </w:tcPr>
          <w:p>
            <w:pPr>
              <w:jc w:val="center"/>
              <w:ind w:left="24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3</w:t>
            </w:r>
          </w:p>
        </w:tc>
        <w:tc>
          <w:tcPr>
            <w:tcW w:w="108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4</w:t>
            </w:r>
          </w:p>
        </w:tc>
        <w:tc>
          <w:tcPr>
            <w:tcW w:w="15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007CBA"/>
            </w:tcBorders>
            <w:shd w:val="clear" w:color="auto" w:fill="007CBA"/>
          </w:tcPr>
          <w:p>
            <w:pPr>
              <w:jc w:val="right"/>
              <w:ind w:right="44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5</w:t>
            </w:r>
          </w:p>
        </w:tc>
        <w:tc>
          <w:tcPr>
            <w:tcW w:w="1300" w:type="dxa"/>
            <w:vAlign w:val="bottom"/>
            <w:tcBorders>
              <w:right w:val="single" w:sz="8" w:color="007CBA"/>
            </w:tcBorders>
            <w:shd w:val="clear" w:color="auto" w:fill="007CBA"/>
          </w:tcPr>
          <w:p>
            <w:pPr>
              <w:jc w:val="center"/>
              <w:ind w:left="18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6</w:t>
            </w:r>
          </w:p>
        </w:tc>
        <w:tc>
          <w:tcPr>
            <w:tcW w:w="1060" w:type="dxa"/>
            <w:vAlign w:val="bottom"/>
            <w:shd w:val="clear" w:color="auto" w:fill="007CBA"/>
          </w:tcPr>
          <w:p>
            <w:pPr>
              <w:jc w:val="right"/>
              <w:ind w:right="388"/>
              <w:spacing w:after="0"/>
              <w:rPr>
                <w:sz w:val="20"/>
                <w:szCs w:val="20"/>
                <w:color w:val="auto"/>
              </w:rPr>
            </w:pPr>
            <w:r>
              <w:rPr>
                <w:rFonts w:ascii="Arial" w:cs="Arial" w:eastAsia="Arial" w:hAnsi="Arial"/>
                <w:sz w:val="14"/>
                <w:szCs w:val="14"/>
                <w:b w:val="1"/>
                <w:bCs w:val="1"/>
                <w:color w:val="FFFFFF"/>
              </w:rPr>
              <w:t>($)</w:t>
            </w:r>
          </w:p>
        </w:tc>
      </w:tr>
      <w:tr>
        <w:trPr>
          <w:trHeight w:val="189"/>
        </w:trPr>
        <w:tc>
          <w:tcPr>
            <w:tcW w:w="26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(a)</w:t>
            </w:r>
          </w:p>
        </w:tc>
        <w:tc>
          <w:tcPr>
            <w:tcW w:w="1120" w:type="dxa"/>
            <w:vAlign w:val="bottom"/>
            <w:tcBorders>
              <w:right w:val="single" w:sz="8" w:color="007CBA"/>
            </w:tcBorders>
            <w:shd w:val="clear" w:color="auto" w:fill="007CBA"/>
          </w:tcPr>
          <w:p>
            <w:pPr>
              <w:jc w:val="center"/>
              <w:ind w:left="149"/>
              <w:spacing w:after="0"/>
              <w:rPr>
                <w:sz w:val="20"/>
                <w:szCs w:val="20"/>
                <w:color w:val="auto"/>
              </w:rPr>
            </w:pPr>
            <w:r>
              <w:rPr>
                <w:rFonts w:ascii="Arial" w:cs="Arial" w:eastAsia="Arial" w:hAnsi="Arial"/>
                <w:sz w:val="14"/>
                <w:szCs w:val="14"/>
                <w:b w:val="1"/>
                <w:bCs w:val="1"/>
                <w:color w:val="FFFFFF"/>
              </w:rPr>
              <w:t>(b)</w:t>
            </w:r>
          </w:p>
        </w:tc>
        <w:tc>
          <w:tcPr>
            <w:tcW w:w="1140" w:type="dxa"/>
            <w:vAlign w:val="bottom"/>
            <w:tcBorders>
              <w:right w:val="single" w:sz="8" w:color="007CBA"/>
            </w:tcBorders>
            <w:shd w:val="clear" w:color="auto" w:fill="007CBA"/>
          </w:tcPr>
          <w:p>
            <w:pPr>
              <w:jc w:val="center"/>
              <w:ind w:left="209"/>
              <w:spacing w:after="0"/>
              <w:rPr>
                <w:sz w:val="20"/>
                <w:szCs w:val="20"/>
                <w:color w:val="auto"/>
              </w:rPr>
            </w:pPr>
            <w:r>
              <w:rPr>
                <w:rFonts w:ascii="Arial" w:cs="Arial" w:eastAsia="Arial" w:hAnsi="Arial"/>
                <w:sz w:val="14"/>
                <w:szCs w:val="14"/>
                <w:b w:val="1"/>
                <w:bCs w:val="1"/>
                <w:color w:val="FFFFFF"/>
              </w:rPr>
              <w:t>(c)</w:t>
            </w:r>
          </w:p>
        </w:tc>
        <w:tc>
          <w:tcPr>
            <w:tcW w:w="1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w:t>
            </w:r>
          </w:p>
        </w:tc>
        <w:tc>
          <w:tcPr>
            <w:tcW w:w="15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c>
          <w:tcPr>
            <w:tcW w:w="1560" w:type="dxa"/>
            <w:vAlign w:val="bottom"/>
            <w:tcBorders>
              <w:right w:val="single" w:sz="8" w:color="007CBA"/>
            </w:tcBorders>
            <w:shd w:val="clear" w:color="auto" w:fill="007CBA"/>
          </w:tcPr>
          <w:p>
            <w:pPr>
              <w:jc w:val="center"/>
              <w:ind w:left="149"/>
              <w:spacing w:after="0"/>
              <w:rPr>
                <w:sz w:val="20"/>
                <w:szCs w:val="20"/>
                <w:color w:val="auto"/>
              </w:rPr>
            </w:pPr>
            <w:r>
              <w:rPr>
                <w:rFonts w:ascii="Arial" w:cs="Arial" w:eastAsia="Arial" w:hAnsi="Arial"/>
                <w:sz w:val="14"/>
                <w:szCs w:val="14"/>
                <w:b w:val="1"/>
                <w:bCs w:val="1"/>
                <w:color w:val="FFFFFF"/>
                <w:w w:val="99"/>
              </w:rPr>
              <w:t>(f)</w:t>
            </w:r>
          </w:p>
        </w:tc>
        <w:tc>
          <w:tcPr>
            <w:tcW w:w="1300" w:type="dxa"/>
            <w:vAlign w:val="bottom"/>
            <w:tcBorders>
              <w:right w:val="single" w:sz="8" w:color="007CBA"/>
            </w:tcBorders>
            <w:shd w:val="clear" w:color="auto" w:fill="007CBA"/>
          </w:tcPr>
          <w:p>
            <w:pPr>
              <w:jc w:val="center"/>
              <w:ind w:left="149"/>
              <w:spacing w:after="0"/>
              <w:rPr>
                <w:sz w:val="20"/>
                <w:szCs w:val="20"/>
                <w:color w:val="auto"/>
              </w:rPr>
            </w:pPr>
            <w:r>
              <w:rPr>
                <w:rFonts w:ascii="Arial" w:cs="Arial" w:eastAsia="Arial" w:hAnsi="Arial"/>
                <w:sz w:val="14"/>
                <w:szCs w:val="14"/>
                <w:b w:val="1"/>
                <w:bCs w:val="1"/>
                <w:color w:val="FFFFFF"/>
              </w:rPr>
              <w:t>(g)</w:t>
            </w:r>
          </w:p>
        </w:tc>
        <w:tc>
          <w:tcPr>
            <w:tcW w:w="1060" w:type="dxa"/>
            <w:vAlign w:val="bottom"/>
            <w:shd w:val="clear" w:color="auto" w:fill="007CBA"/>
          </w:tcPr>
          <w:p>
            <w:pPr>
              <w:jc w:val="right"/>
              <w:ind w:right="368"/>
              <w:spacing w:after="0"/>
              <w:rPr>
                <w:sz w:val="20"/>
                <w:szCs w:val="20"/>
                <w:color w:val="auto"/>
              </w:rPr>
            </w:pPr>
            <w:r>
              <w:rPr>
                <w:rFonts w:ascii="Arial" w:cs="Arial" w:eastAsia="Arial" w:hAnsi="Arial"/>
                <w:sz w:val="14"/>
                <w:szCs w:val="14"/>
                <w:b w:val="1"/>
                <w:bCs w:val="1"/>
                <w:color w:val="FFFFFF"/>
              </w:rPr>
              <w:t>(h)</w:t>
            </w:r>
          </w:p>
        </w:tc>
      </w:tr>
      <w:tr>
        <w:trPr>
          <w:trHeight w:val="162"/>
        </w:trPr>
        <w:tc>
          <w:tcPr>
            <w:tcW w:w="26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Sue W. Cole</w:t>
            </w:r>
          </w:p>
        </w:tc>
        <w:tc>
          <w:tcPr>
            <w:tcW w:w="112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108,000</w:t>
            </w:r>
          </w:p>
        </w:tc>
        <w:tc>
          <w:tcPr>
            <w:tcW w:w="11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tcPr>
          <w:p>
            <w:pPr>
              <w:spacing w:after="0"/>
              <w:rPr>
                <w:sz w:val="14"/>
                <w:szCs w:val="14"/>
                <w:color w:val="auto"/>
              </w:rPr>
            </w:pPr>
          </w:p>
        </w:tc>
        <w:tc>
          <w:tcPr>
            <w:tcW w:w="1540" w:type="dxa"/>
            <w:vAlign w:val="bottom"/>
            <w:tcBorders>
              <w:right w:val="single" w:sz="8" w:color="007CBA"/>
            </w:tcBorders>
          </w:tcPr>
          <w:p>
            <w:pPr>
              <w:spacing w:after="0"/>
              <w:rPr>
                <w:sz w:val="14"/>
                <w:szCs w:val="14"/>
                <w:color w:val="auto"/>
              </w:rPr>
            </w:pPr>
          </w:p>
        </w:tc>
        <w:tc>
          <w:tcPr>
            <w:tcW w:w="156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9,982</w:t>
            </w:r>
          </w:p>
        </w:tc>
        <w:tc>
          <w:tcPr>
            <w:tcW w:w="13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64,603</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282,638</w:t>
            </w:r>
          </w:p>
        </w:tc>
      </w:tr>
      <w:tr>
        <w:trPr>
          <w:trHeight w:val="162"/>
        </w:trPr>
        <w:tc>
          <w:tcPr>
            <w:tcW w:w="26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John J. Koraleski</w:t>
            </w:r>
          </w:p>
        </w:tc>
        <w:tc>
          <w:tcPr>
            <w:tcW w:w="11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52,500</w:t>
            </w:r>
          </w:p>
        </w:tc>
        <w:tc>
          <w:tcPr>
            <w:tcW w:w="11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100,129</w:t>
            </w:r>
          </w:p>
        </w:tc>
        <w:tc>
          <w:tcPr>
            <w:tcW w:w="1080" w:type="dxa"/>
            <w:vAlign w:val="bottom"/>
            <w:tcBorders>
              <w:right w:val="single" w:sz="8" w:color="007CBA"/>
            </w:tcBorders>
            <w:shd w:val="clear" w:color="auto" w:fill="E5F1F8"/>
          </w:tcPr>
          <w:p>
            <w:pPr>
              <w:spacing w:after="0"/>
              <w:rPr>
                <w:sz w:val="14"/>
                <w:szCs w:val="14"/>
                <w:color w:val="auto"/>
              </w:rPr>
            </w:pPr>
          </w:p>
        </w:tc>
        <w:tc>
          <w:tcPr>
            <w:tcW w:w="1540" w:type="dxa"/>
            <w:vAlign w:val="bottom"/>
            <w:tcBorders>
              <w:right w:val="single" w:sz="8" w:color="007CBA"/>
            </w:tcBorders>
            <w:shd w:val="clear" w:color="auto" w:fill="E5F1F8"/>
          </w:tcPr>
          <w:p>
            <w:pPr>
              <w:spacing w:after="0"/>
              <w:rPr>
                <w:sz w:val="14"/>
                <w:szCs w:val="14"/>
                <w:color w:val="auto"/>
              </w:rPr>
            </w:pPr>
          </w:p>
        </w:tc>
        <w:tc>
          <w:tcPr>
            <w:tcW w:w="156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2</w:t>
            </w:r>
          </w:p>
        </w:tc>
        <w:tc>
          <w:tcPr>
            <w:tcW w:w="13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422</w:t>
            </w:r>
          </w:p>
        </w:tc>
        <w:tc>
          <w:tcPr>
            <w:tcW w:w="10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153,053</w:t>
            </w:r>
          </w:p>
        </w:tc>
      </w:tr>
      <w:tr>
        <w:trPr>
          <w:trHeight w:val="162"/>
        </w:trPr>
        <w:tc>
          <w:tcPr>
            <w:tcW w:w="26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David G. Maffucci</w:t>
            </w:r>
          </w:p>
        </w:tc>
        <w:tc>
          <w:tcPr>
            <w:tcW w:w="112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120,000</w:t>
            </w:r>
          </w:p>
        </w:tc>
        <w:tc>
          <w:tcPr>
            <w:tcW w:w="11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tcPr>
          <w:p>
            <w:pPr>
              <w:spacing w:after="0"/>
              <w:rPr>
                <w:sz w:val="14"/>
                <w:szCs w:val="14"/>
                <w:color w:val="auto"/>
              </w:rPr>
            </w:pPr>
          </w:p>
        </w:tc>
        <w:tc>
          <w:tcPr>
            <w:tcW w:w="1540" w:type="dxa"/>
            <w:vAlign w:val="bottom"/>
            <w:tcBorders>
              <w:right w:val="single" w:sz="8" w:color="007CBA"/>
            </w:tcBorders>
          </w:tcPr>
          <w:p>
            <w:pPr>
              <w:spacing w:after="0"/>
              <w:rPr>
                <w:sz w:val="14"/>
                <w:szCs w:val="14"/>
                <w:color w:val="auto"/>
              </w:rPr>
            </w:pPr>
          </w:p>
        </w:tc>
        <w:tc>
          <w:tcPr>
            <w:tcW w:w="156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5,725</w:t>
            </w:r>
          </w:p>
        </w:tc>
        <w:tc>
          <w:tcPr>
            <w:tcW w:w="13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32,923</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258,701</w:t>
            </w:r>
          </w:p>
        </w:tc>
      </w:tr>
      <w:tr>
        <w:trPr>
          <w:trHeight w:val="162"/>
        </w:trPr>
        <w:tc>
          <w:tcPr>
            <w:tcW w:w="26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William E. McDonald</w:t>
            </w:r>
          </w:p>
        </w:tc>
        <w:tc>
          <w:tcPr>
            <w:tcW w:w="112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102,000</w:t>
            </w:r>
          </w:p>
        </w:tc>
        <w:tc>
          <w:tcPr>
            <w:tcW w:w="11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shd w:val="clear" w:color="auto" w:fill="E5F1F8"/>
          </w:tcPr>
          <w:p>
            <w:pPr>
              <w:spacing w:after="0"/>
              <w:rPr>
                <w:sz w:val="14"/>
                <w:szCs w:val="14"/>
                <w:color w:val="auto"/>
              </w:rPr>
            </w:pPr>
          </w:p>
        </w:tc>
        <w:tc>
          <w:tcPr>
            <w:tcW w:w="1540" w:type="dxa"/>
            <w:vAlign w:val="bottom"/>
            <w:tcBorders>
              <w:right w:val="single" w:sz="8" w:color="007CBA"/>
            </w:tcBorders>
            <w:shd w:val="clear" w:color="auto" w:fill="E5F1F8"/>
          </w:tcPr>
          <w:p>
            <w:pPr>
              <w:spacing w:after="0"/>
              <w:rPr>
                <w:sz w:val="14"/>
                <w:szCs w:val="14"/>
                <w:color w:val="auto"/>
              </w:rPr>
            </w:pPr>
          </w:p>
        </w:tc>
        <w:tc>
          <w:tcPr>
            <w:tcW w:w="156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12,238</w:t>
            </w:r>
          </w:p>
        </w:tc>
        <w:tc>
          <w:tcPr>
            <w:tcW w:w="13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67,464</w:t>
            </w:r>
          </w:p>
        </w:tc>
        <w:tc>
          <w:tcPr>
            <w:tcW w:w="10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281,755</w:t>
            </w:r>
          </w:p>
        </w:tc>
      </w:tr>
      <w:tr>
        <w:trPr>
          <w:trHeight w:val="162"/>
        </w:trPr>
        <w:tc>
          <w:tcPr>
            <w:tcW w:w="2620" w:type="dxa"/>
            <w:vAlign w:val="bottom"/>
            <w:tcBorders>
              <w:right w:val="single" w:sz="8" w:color="007CBA"/>
            </w:tcBorders>
          </w:tcPr>
          <w:p>
            <w:pPr>
              <w:ind w:left="80"/>
              <w:spacing w:after="0" w:line="162" w:lineRule="exact"/>
              <w:rPr>
                <w:sz w:val="20"/>
                <w:szCs w:val="20"/>
                <w:color w:val="auto"/>
              </w:rPr>
            </w:pPr>
            <w:r>
              <w:rPr>
                <w:rFonts w:ascii="Arial" w:cs="Arial" w:eastAsia="Arial" w:hAnsi="Arial"/>
                <w:sz w:val="11"/>
                <w:szCs w:val="11"/>
                <w:color w:val="auto"/>
              </w:rPr>
              <w:t>Frank H. Menaker, Jr.</w:t>
            </w:r>
            <w:r>
              <w:rPr>
                <w:rFonts w:ascii="Arial" w:cs="Arial" w:eastAsia="Arial" w:hAnsi="Arial"/>
                <w:sz w:val="18"/>
                <w:szCs w:val="18"/>
                <w:color w:val="auto"/>
                <w:vertAlign w:val="superscript"/>
              </w:rPr>
              <w:t>7</w:t>
            </w:r>
          </w:p>
        </w:tc>
        <w:tc>
          <w:tcPr>
            <w:tcW w:w="11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26,250</w:t>
            </w:r>
          </w:p>
        </w:tc>
        <w:tc>
          <w:tcPr>
            <w:tcW w:w="11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007CBA"/>
            </w:tcBorders>
          </w:tcPr>
          <w:p>
            <w:pPr>
              <w:spacing w:after="0"/>
              <w:rPr>
                <w:sz w:val="14"/>
                <w:szCs w:val="14"/>
                <w:color w:val="auto"/>
              </w:rPr>
            </w:pPr>
          </w:p>
        </w:tc>
        <w:tc>
          <w:tcPr>
            <w:tcW w:w="1540" w:type="dxa"/>
            <w:vAlign w:val="bottom"/>
            <w:tcBorders>
              <w:right w:val="single" w:sz="8" w:color="007CBA"/>
            </w:tcBorders>
          </w:tcPr>
          <w:p>
            <w:pPr>
              <w:spacing w:after="0"/>
              <w:rPr>
                <w:sz w:val="14"/>
                <w:szCs w:val="14"/>
                <w:color w:val="auto"/>
              </w:rPr>
            </w:pPr>
          </w:p>
        </w:tc>
        <w:tc>
          <w:tcPr>
            <w:tcW w:w="156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5,201</w:t>
            </w:r>
          </w:p>
        </w:tc>
        <w:tc>
          <w:tcPr>
            <w:tcW w:w="13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17,712</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49,163</w:t>
            </w:r>
          </w:p>
        </w:tc>
      </w:tr>
      <w:tr>
        <w:trPr>
          <w:trHeight w:val="162"/>
        </w:trPr>
        <w:tc>
          <w:tcPr>
            <w:tcW w:w="26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Laree E. Perez</w:t>
            </w:r>
          </w:p>
        </w:tc>
        <w:tc>
          <w:tcPr>
            <w:tcW w:w="112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113,000</w:t>
            </w:r>
          </w:p>
        </w:tc>
        <w:tc>
          <w:tcPr>
            <w:tcW w:w="11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shd w:val="clear" w:color="auto" w:fill="E5F1F8"/>
          </w:tcPr>
          <w:p>
            <w:pPr>
              <w:spacing w:after="0"/>
              <w:rPr>
                <w:sz w:val="14"/>
                <w:szCs w:val="14"/>
                <w:color w:val="auto"/>
              </w:rPr>
            </w:pPr>
          </w:p>
        </w:tc>
        <w:tc>
          <w:tcPr>
            <w:tcW w:w="1540" w:type="dxa"/>
            <w:vAlign w:val="bottom"/>
            <w:tcBorders>
              <w:right w:val="single" w:sz="8" w:color="007CBA"/>
            </w:tcBorders>
            <w:shd w:val="clear" w:color="auto" w:fill="E5F1F8"/>
          </w:tcPr>
          <w:p>
            <w:pPr>
              <w:spacing w:after="0"/>
              <w:rPr>
                <w:sz w:val="14"/>
                <w:szCs w:val="14"/>
                <w:color w:val="auto"/>
              </w:rPr>
            </w:pPr>
          </w:p>
        </w:tc>
        <w:tc>
          <w:tcPr>
            <w:tcW w:w="156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4,361</w:t>
            </w:r>
          </w:p>
        </w:tc>
        <w:tc>
          <w:tcPr>
            <w:tcW w:w="13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28,366</w:t>
            </w:r>
          </w:p>
        </w:tc>
        <w:tc>
          <w:tcPr>
            <w:tcW w:w="10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245,780</w:t>
            </w:r>
          </w:p>
        </w:tc>
      </w:tr>
      <w:tr>
        <w:trPr>
          <w:trHeight w:val="162"/>
        </w:trPr>
        <w:tc>
          <w:tcPr>
            <w:tcW w:w="262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Michael J. Quillen</w:t>
            </w:r>
          </w:p>
        </w:tc>
        <w:tc>
          <w:tcPr>
            <w:tcW w:w="112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131,000</w:t>
            </w:r>
          </w:p>
        </w:tc>
        <w:tc>
          <w:tcPr>
            <w:tcW w:w="11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tcPr>
          <w:p>
            <w:pPr>
              <w:spacing w:after="0"/>
              <w:rPr>
                <w:sz w:val="14"/>
                <w:szCs w:val="14"/>
                <w:color w:val="auto"/>
              </w:rPr>
            </w:pPr>
          </w:p>
        </w:tc>
        <w:tc>
          <w:tcPr>
            <w:tcW w:w="1540" w:type="dxa"/>
            <w:vAlign w:val="bottom"/>
            <w:tcBorders>
              <w:right w:val="single" w:sz="8" w:color="007CBA"/>
            </w:tcBorders>
          </w:tcPr>
          <w:p>
            <w:pPr>
              <w:spacing w:after="0"/>
              <w:rPr>
                <w:sz w:val="14"/>
                <w:szCs w:val="14"/>
                <w:color w:val="auto"/>
              </w:rPr>
            </w:pPr>
          </w:p>
        </w:tc>
        <w:tc>
          <w:tcPr>
            <w:tcW w:w="156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3,941</w:t>
            </w:r>
          </w:p>
        </w:tc>
        <w:tc>
          <w:tcPr>
            <w:tcW w:w="13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58,395</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293,389</w:t>
            </w:r>
          </w:p>
        </w:tc>
      </w:tr>
      <w:tr>
        <w:trPr>
          <w:trHeight w:val="162"/>
        </w:trPr>
        <w:tc>
          <w:tcPr>
            <w:tcW w:w="26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Dennis L. Rediker</w:t>
            </w:r>
          </w:p>
        </w:tc>
        <w:tc>
          <w:tcPr>
            <w:tcW w:w="112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105,000</w:t>
            </w:r>
          </w:p>
        </w:tc>
        <w:tc>
          <w:tcPr>
            <w:tcW w:w="11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shd w:val="clear" w:color="auto" w:fill="E5F1F8"/>
          </w:tcPr>
          <w:p>
            <w:pPr>
              <w:spacing w:after="0"/>
              <w:rPr>
                <w:sz w:val="14"/>
                <w:szCs w:val="14"/>
                <w:color w:val="auto"/>
              </w:rPr>
            </w:pPr>
          </w:p>
        </w:tc>
        <w:tc>
          <w:tcPr>
            <w:tcW w:w="1540" w:type="dxa"/>
            <w:vAlign w:val="bottom"/>
            <w:tcBorders>
              <w:right w:val="single" w:sz="8" w:color="007CBA"/>
            </w:tcBorders>
            <w:shd w:val="clear" w:color="auto" w:fill="E5F1F8"/>
          </w:tcPr>
          <w:p>
            <w:pPr>
              <w:spacing w:after="0"/>
              <w:rPr>
                <w:sz w:val="14"/>
                <w:szCs w:val="14"/>
                <w:color w:val="auto"/>
              </w:rPr>
            </w:pPr>
          </w:p>
        </w:tc>
        <w:tc>
          <w:tcPr>
            <w:tcW w:w="156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7,669</w:t>
            </w:r>
          </w:p>
        </w:tc>
        <w:tc>
          <w:tcPr>
            <w:tcW w:w="13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35,071</w:t>
            </w:r>
          </w:p>
        </w:tc>
        <w:tc>
          <w:tcPr>
            <w:tcW w:w="10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247,793</w:t>
            </w:r>
          </w:p>
        </w:tc>
      </w:tr>
      <w:tr>
        <w:trPr>
          <w:trHeight w:val="162"/>
        </w:trPr>
        <w:tc>
          <w:tcPr>
            <w:tcW w:w="2620" w:type="dxa"/>
            <w:vAlign w:val="bottom"/>
            <w:tcBorders>
              <w:right w:val="single" w:sz="8" w:color="007CBA"/>
            </w:tcBorders>
          </w:tcPr>
          <w:p>
            <w:pPr>
              <w:ind w:left="80"/>
              <w:spacing w:after="0" w:line="162" w:lineRule="exact"/>
              <w:rPr>
                <w:sz w:val="20"/>
                <w:szCs w:val="20"/>
                <w:color w:val="auto"/>
              </w:rPr>
            </w:pPr>
            <w:r>
              <w:rPr>
                <w:rFonts w:ascii="Arial" w:cs="Arial" w:eastAsia="Arial" w:hAnsi="Arial"/>
                <w:sz w:val="11"/>
                <w:szCs w:val="11"/>
                <w:color w:val="auto"/>
              </w:rPr>
              <w:t>Richard A. Vinroot</w:t>
            </w:r>
            <w:r>
              <w:rPr>
                <w:rFonts w:ascii="Arial" w:cs="Arial" w:eastAsia="Arial" w:hAnsi="Arial"/>
                <w:sz w:val="18"/>
                <w:szCs w:val="18"/>
                <w:color w:val="auto"/>
                <w:vertAlign w:val="superscript"/>
              </w:rPr>
              <w:t>7</w:t>
            </w:r>
          </w:p>
        </w:tc>
        <w:tc>
          <w:tcPr>
            <w:tcW w:w="11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27,000</w:t>
            </w:r>
          </w:p>
        </w:tc>
        <w:tc>
          <w:tcPr>
            <w:tcW w:w="11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0</w:t>
            </w:r>
          </w:p>
        </w:tc>
        <w:tc>
          <w:tcPr>
            <w:tcW w:w="1080" w:type="dxa"/>
            <w:vAlign w:val="bottom"/>
            <w:tcBorders>
              <w:right w:val="single" w:sz="8" w:color="007CBA"/>
            </w:tcBorders>
          </w:tcPr>
          <w:p>
            <w:pPr>
              <w:spacing w:after="0"/>
              <w:rPr>
                <w:sz w:val="14"/>
                <w:szCs w:val="14"/>
                <w:color w:val="auto"/>
              </w:rPr>
            </w:pPr>
          </w:p>
        </w:tc>
        <w:tc>
          <w:tcPr>
            <w:tcW w:w="1540" w:type="dxa"/>
            <w:vAlign w:val="bottom"/>
            <w:tcBorders>
              <w:right w:val="single" w:sz="8" w:color="007CBA"/>
            </w:tcBorders>
          </w:tcPr>
          <w:p>
            <w:pPr>
              <w:spacing w:after="0"/>
              <w:rPr>
                <w:sz w:val="14"/>
                <w:szCs w:val="14"/>
                <w:color w:val="auto"/>
              </w:rPr>
            </w:pPr>
          </w:p>
        </w:tc>
        <w:tc>
          <w:tcPr>
            <w:tcW w:w="1560" w:type="dxa"/>
            <w:vAlign w:val="bottom"/>
            <w:tcBorders>
              <w:right w:val="single" w:sz="8" w:color="007CBA"/>
            </w:tcBorders>
          </w:tcPr>
          <w:p>
            <w:pPr>
              <w:jc w:val="right"/>
              <w:ind w:right="369"/>
              <w:spacing w:after="0"/>
              <w:rPr>
                <w:sz w:val="20"/>
                <w:szCs w:val="20"/>
                <w:color w:val="auto"/>
              </w:rPr>
            </w:pPr>
            <w:r>
              <w:rPr>
                <w:rFonts w:ascii="Arial" w:cs="Arial" w:eastAsia="Arial" w:hAnsi="Arial"/>
                <w:sz w:val="14"/>
                <w:szCs w:val="14"/>
                <w:color w:val="auto"/>
              </w:rPr>
              <w:t>4,832</w:t>
            </w:r>
          </w:p>
        </w:tc>
        <w:tc>
          <w:tcPr>
            <w:tcW w:w="1300" w:type="dxa"/>
            <w:vAlign w:val="bottom"/>
            <w:tcBorders>
              <w:right w:val="single" w:sz="8" w:color="007CBA"/>
            </w:tcBorders>
          </w:tcPr>
          <w:p>
            <w:pPr>
              <w:jc w:val="right"/>
              <w:ind w:right="249"/>
              <w:spacing w:after="0"/>
              <w:rPr>
                <w:sz w:val="20"/>
                <w:szCs w:val="20"/>
                <w:color w:val="auto"/>
              </w:rPr>
            </w:pPr>
            <w:r>
              <w:rPr>
                <w:rFonts w:ascii="Arial" w:cs="Arial" w:eastAsia="Arial" w:hAnsi="Arial"/>
                <w:sz w:val="14"/>
                <w:szCs w:val="14"/>
                <w:color w:val="auto"/>
              </w:rPr>
              <w:t>35,663</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67,495</w:t>
            </w:r>
          </w:p>
        </w:tc>
      </w:tr>
      <w:tr>
        <w:trPr>
          <w:trHeight w:val="162"/>
        </w:trPr>
        <w:tc>
          <w:tcPr>
            <w:tcW w:w="26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Donald W. Slager</w:t>
            </w:r>
          </w:p>
        </w:tc>
        <w:tc>
          <w:tcPr>
            <w:tcW w:w="11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75,000</w:t>
            </w:r>
          </w:p>
        </w:tc>
        <w:tc>
          <w:tcPr>
            <w:tcW w:w="11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right w:val="single" w:sz="8" w:color="007CBA"/>
            </w:tcBorders>
            <w:shd w:val="clear" w:color="auto" w:fill="E5F1F8"/>
          </w:tcPr>
          <w:p>
            <w:pPr>
              <w:spacing w:after="0"/>
              <w:rPr>
                <w:sz w:val="14"/>
                <w:szCs w:val="14"/>
                <w:color w:val="auto"/>
              </w:rPr>
            </w:pPr>
          </w:p>
        </w:tc>
        <w:tc>
          <w:tcPr>
            <w:tcW w:w="1540" w:type="dxa"/>
            <w:vAlign w:val="bottom"/>
            <w:tcBorders>
              <w:right w:val="single" w:sz="8" w:color="007CBA"/>
            </w:tcBorders>
            <w:shd w:val="clear" w:color="auto" w:fill="E5F1F8"/>
          </w:tcPr>
          <w:p>
            <w:pPr>
              <w:spacing w:after="0"/>
              <w:rPr>
                <w:sz w:val="14"/>
                <w:szCs w:val="14"/>
                <w:color w:val="auto"/>
              </w:rPr>
            </w:pPr>
          </w:p>
        </w:tc>
        <w:tc>
          <w:tcPr>
            <w:tcW w:w="1560" w:type="dxa"/>
            <w:vAlign w:val="bottom"/>
            <w:tcBorders>
              <w:right w:val="single" w:sz="8" w:color="007CBA"/>
            </w:tcBorders>
            <w:shd w:val="clear" w:color="auto" w:fill="E5F1F8"/>
          </w:tcPr>
          <w:p>
            <w:pPr>
              <w:jc w:val="right"/>
              <w:ind w:right="369"/>
              <w:spacing w:after="0"/>
              <w:rPr>
                <w:sz w:val="20"/>
                <w:szCs w:val="20"/>
                <w:color w:val="auto"/>
              </w:rPr>
            </w:pPr>
            <w:r>
              <w:rPr>
                <w:rFonts w:ascii="Arial" w:cs="Arial" w:eastAsia="Arial" w:hAnsi="Arial"/>
                <w:sz w:val="14"/>
                <w:szCs w:val="14"/>
                <w:color w:val="auto"/>
              </w:rPr>
              <w:t>6</w:t>
            </w:r>
          </w:p>
        </w:tc>
        <w:tc>
          <w:tcPr>
            <w:tcW w:w="1300" w:type="dxa"/>
            <w:vAlign w:val="bottom"/>
            <w:tcBorders>
              <w:right w:val="single" w:sz="8" w:color="007CBA"/>
            </w:tcBorders>
            <w:shd w:val="clear" w:color="auto" w:fill="E5F1F8"/>
          </w:tcPr>
          <w:p>
            <w:pPr>
              <w:jc w:val="right"/>
              <w:ind w:right="249"/>
              <w:spacing w:after="0"/>
              <w:rPr>
                <w:sz w:val="20"/>
                <w:szCs w:val="20"/>
                <w:color w:val="auto"/>
              </w:rPr>
            </w:pPr>
            <w:r>
              <w:rPr>
                <w:rFonts w:ascii="Arial" w:cs="Arial" w:eastAsia="Arial" w:hAnsi="Arial"/>
                <w:sz w:val="14"/>
                <w:szCs w:val="14"/>
                <w:color w:val="auto"/>
              </w:rPr>
              <w:t>671</w:t>
            </w:r>
          </w:p>
        </w:tc>
        <w:tc>
          <w:tcPr>
            <w:tcW w:w="1060" w:type="dxa"/>
            <w:vAlign w:val="bottom"/>
            <w:shd w:val="clear" w:color="auto" w:fill="E5F1F8"/>
          </w:tcPr>
          <w:p>
            <w:pPr>
              <w:jc w:val="right"/>
              <w:ind w:right="188"/>
              <w:spacing w:after="0"/>
              <w:rPr>
                <w:sz w:val="20"/>
                <w:szCs w:val="20"/>
                <w:color w:val="auto"/>
              </w:rPr>
            </w:pPr>
            <w:r>
              <w:rPr>
                <w:rFonts w:ascii="Arial" w:cs="Arial" w:eastAsia="Arial" w:hAnsi="Arial"/>
                <w:sz w:val="14"/>
                <w:szCs w:val="14"/>
                <w:color w:val="auto"/>
              </w:rPr>
              <w:t>175,730</w:t>
            </w:r>
          </w:p>
        </w:tc>
      </w:tr>
      <w:tr>
        <w:trPr>
          <w:trHeight w:val="162"/>
        </w:trPr>
        <w:tc>
          <w:tcPr>
            <w:tcW w:w="262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Stephen P. Zelnak, Jr.</w:t>
            </w:r>
          </w:p>
        </w:tc>
        <w:tc>
          <w:tcPr>
            <w:tcW w:w="1120" w:type="dxa"/>
            <w:vAlign w:val="bottom"/>
            <w:tcBorders>
              <w:bottom w:val="single" w:sz="8" w:color="007CBA"/>
              <w:right w:val="single" w:sz="8" w:color="007CBA"/>
            </w:tcBorders>
          </w:tcPr>
          <w:p>
            <w:pPr>
              <w:jc w:val="right"/>
              <w:ind w:right="129"/>
              <w:spacing w:after="0"/>
              <w:rPr>
                <w:sz w:val="20"/>
                <w:szCs w:val="20"/>
                <w:color w:val="auto"/>
              </w:rPr>
            </w:pPr>
            <w:r>
              <w:rPr>
                <w:rFonts w:ascii="Arial" w:cs="Arial" w:eastAsia="Arial" w:hAnsi="Arial"/>
                <w:sz w:val="14"/>
                <w:szCs w:val="14"/>
                <w:color w:val="auto"/>
              </w:rPr>
              <w:t>106,000</w:t>
            </w:r>
          </w:p>
        </w:tc>
        <w:tc>
          <w:tcPr>
            <w:tcW w:w="1140" w:type="dxa"/>
            <w:vAlign w:val="bottom"/>
            <w:tcBorders>
              <w:bottom w:val="single" w:sz="8" w:color="007CBA"/>
              <w:right w:val="single" w:sz="8" w:color="007CBA"/>
            </w:tcBorders>
          </w:tcPr>
          <w:p>
            <w:pPr>
              <w:jc w:val="right"/>
              <w:ind w:right="109"/>
              <w:spacing w:after="0"/>
              <w:rPr>
                <w:sz w:val="20"/>
                <w:szCs w:val="20"/>
                <w:color w:val="auto"/>
              </w:rPr>
            </w:pPr>
            <w:r>
              <w:rPr>
                <w:rFonts w:ascii="Arial" w:cs="Arial" w:eastAsia="Arial" w:hAnsi="Arial"/>
                <w:sz w:val="14"/>
                <w:szCs w:val="14"/>
                <w:color w:val="auto"/>
              </w:rPr>
              <w:t>100,053</w:t>
            </w:r>
          </w:p>
        </w:tc>
        <w:tc>
          <w:tcPr>
            <w:tcW w:w="1080" w:type="dxa"/>
            <w:vAlign w:val="bottom"/>
            <w:tcBorders>
              <w:bottom w:val="single" w:sz="8" w:color="007CBA"/>
              <w:right w:val="single" w:sz="8" w:color="007CBA"/>
            </w:tcBorders>
          </w:tcPr>
          <w:p>
            <w:pPr>
              <w:spacing w:after="0"/>
              <w:rPr>
                <w:sz w:val="14"/>
                <w:szCs w:val="14"/>
                <w:color w:val="auto"/>
              </w:rPr>
            </w:pPr>
          </w:p>
        </w:tc>
        <w:tc>
          <w:tcPr>
            <w:tcW w:w="1540" w:type="dxa"/>
            <w:vAlign w:val="bottom"/>
            <w:tcBorders>
              <w:bottom w:val="single" w:sz="8" w:color="007CBA"/>
              <w:right w:val="single" w:sz="8" w:color="007CBA"/>
            </w:tcBorders>
          </w:tcPr>
          <w:p>
            <w:pPr>
              <w:spacing w:after="0"/>
              <w:rPr>
                <w:sz w:val="14"/>
                <w:szCs w:val="14"/>
                <w:color w:val="auto"/>
              </w:rPr>
            </w:pPr>
          </w:p>
        </w:tc>
        <w:tc>
          <w:tcPr>
            <w:tcW w:w="1560" w:type="dxa"/>
            <w:vAlign w:val="bottom"/>
            <w:tcBorders>
              <w:bottom w:val="single" w:sz="8" w:color="007CBA"/>
              <w:right w:val="single" w:sz="8" w:color="007CBA"/>
            </w:tcBorders>
          </w:tcPr>
          <w:p>
            <w:pPr>
              <w:jc w:val="right"/>
              <w:ind w:right="369"/>
              <w:spacing w:after="0"/>
              <w:rPr>
                <w:sz w:val="20"/>
                <w:szCs w:val="20"/>
                <w:color w:val="auto"/>
              </w:rPr>
            </w:pPr>
            <w:r>
              <w:rPr>
                <w:rFonts w:ascii="Arial" w:cs="Arial" w:eastAsia="Arial" w:hAnsi="Arial"/>
                <w:sz w:val="14"/>
                <w:szCs w:val="14"/>
                <w:color w:val="auto"/>
              </w:rPr>
              <w:t>3,012</w:t>
            </w:r>
          </w:p>
        </w:tc>
        <w:tc>
          <w:tcPr>
            <w:tcW w:w="1300" w:type="dxa"/>
            <w:vAlign w:val="bottom"/>
            <w:tcBorders>
              <w:bottom w:val="single" w:sz="8" w:color="007CBA"/>
              <w:right w:val="single" w:sz="8" w:color="007CBA"/>
            </w:tcBorders>
          </w:tcPr>
          <w:p>
            <w:pPr>
              <w:jc w:val="right"/>
              <w:ind w:right="249"/>
              <w:spacing w:after="0"/>
              <w:rPr>
                <w:sz w:val="20"/>
                <w:szCs w:val="20"/>
                <w:color w:val="auto"/>
              </w:rPr>
            </w:pPr>
            <w:r>
              <w:rPr>
                <w:rFonts w:ascii="Arial" w:cs="Arial" w:eastAsia="Arial" w:hAnsi="Arial"/>
                <w:sz w:val="14"/>
                <w:szCs w:val="14"/>
                <w:color w:val="auto"/>
              </w:rPr>
              <w:t>34,535</w:t>
            </w:r>
          </w:p>
        </w:tc>
        <w:tc>
          <w:tcPr>
            <w:tcW w:w="1060" w:type="dxa"/>
            <w:vAlign w:val="bottom"/>
            <w:tcBorders>
              <w:bottom w:val="single" w:sz="8" w:color="007CBA"/>
            </w:tcBorders>
          </w:tcPr>
          <w:p>
            <w:pPr>
              <w:jc w:val="right"/>
              <w:ind w:right="188"/>
              <w:spacing w:after="0"/>
              <w:rPr>
                <w:sz w:val="20"/>
                <w:szCs w:val="20"/>
                <w:color w:val="auto"/>
              </w:rPr>
            </w:pPr>
            <w:r>
              <w:rPr>
                <w:rFonts w:ascii="Arial" w:cs="Arial" w:eastAsia="Arial" w:hAnsi="Arial"/>
                <w:sz w:val="14"/>
                <w:szCs w:val="14"/>
                <w:color w:val="auto"/>
              </w:rPr>
              <w:t>243,600</w:t>
            </w:r>
          </w:p>
        </w:tc>
      </w:tr>
    </w:tbl>
    <w:p>
      <w:pPr>
        <w:spacing w:after="0" w:line="72" w:lineRule="exact"/>
        <w:rPr>
          <w:sz w:val="20"/>
          <w:szCs w:val="20"/>
          <w:color w:val="auto"/>
        </w:rPr>
      </w:pPr>
    </w:p>
    <w:p>
      <w:pPr>
        <w:ind w:left="120" w:hanging="112"/>
        <w:spacing w:after="0" w:line="183" w:lineRule="auto"/>
        <w:tabs>
          <w:tab w:leader="none" w:pos="12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43.</w:t>
      </w:r>
    </w:p>
    <w:p>
      <w:pPr>
        <w:spacing w:after="0" w:line="58" w:lineRule="exact"/>
        <w:rPr>
          <w:sz w:val="20"/>
          <w:szCs w:val="20"/>
          <w:color w:val="auto"/>
        </w:rPr>
      </w:pPr>
    </w:p>
    <w:p>
      <w:pPr>
        <w:jc w:val="both"/>
        <w:ind w:left="120" w:hanging="112"/>
        <w:spacing w:after="0" w:line="225" w:lineRule="auto"/>
        <w:tabs>
          <w:tab w:leader="none" w:pos="12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The amounts in column (b) reflect fees earned in 2016. Some of these fees were deferred pursuant to the Common Stock Purchase Plan for Directors in the form of common stock units. The number of units of common stock credited in 2016 to each of the Directors under the Common Stock Purchase Plan for Directors and the grant date fair value for these awards determined in accordance with FASB ASC Topic 718, which includes the 20% discount, are as follows: Ms. Cole, 755 units and $108,236 value, respectively; Mr. Koraleski, 0; Mr. Maffucci, 169 units and $24,245 value, respectively; Mr. McDonald, 717 units and $102,289 value, respectively; Mr. Menaker, 231 units and $26,356 value, respectively Ms. Perez, 160 units and $22,956 value, respectively; Mr. Quillen, 912 units and $131,275 value, respectively; Mr. Rediker, 148 units and $21,194 value, respectively; Mr. Vinroot, 237 units and $27,041 value, respectively; Mr. Slager, 0; and Mr. Zelnak, 370 units and $53,297 value, respectively. The number of units credited to each of the Directors as of December 31, 2016, including units accumulated under the plan for all years of service as a Director, is as follows: Ms. Cole, 14,622; Mr. Maffucci, 8,895; Mr. McDonald, 17,223; Mr. Menaker, 0; Ms. Perez, 5,258; Mr. Quillen, 7,359; Mr. Rediker, 9,709; Mr. Vinroot, 15,290; and Mr. Zelnak, 5,881. The 20% discount from the market price of Martin Marietta’s common stock used in converting to common stock is reported in column (g).</w:t>
      </w:r>
    </w:p>
    <w:p>
      <w:pPr>
        <w:spacing w:after="0" w:line="60" w:lineRule="exact"/>
        <w:rPr>
          <w:sz w:val="20"/>
          <w:szCs w:val="20"/>
          <w:color w:val="auto"/>
        </w:rPr>
      </w:pPr>
    </w:p>
    <w:p>
      <w:pPr>
        <w:jc w:val="both"/>
        <w:ind w:left="120" w:hanging="112"/>
        <w:spacing w:after="0" w:line="208" w:lineRule="auto"/>
        <w:tabs>
          <w:tab w:leader="none" w:pos="120"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Each Director who was serving immediately following the 2016 Annual Meeting of Shareholder received 541 RSUs in 2016. Mr. Koraleski, who was appointed to the Board on August 15, 2016, received 502 RSUs in 2016. The amounts in column (c) reflect the grant date fair value for these awards determined in accordance with FASB ASC Topic 718. The RSUs fully vested upon award and will be distributed to the Director upon retirement, except Mr. Maffucci received a distribution of 271 unrestricted shares of common stock and deferred the distribution of 270 RSUs until retirement.</w:t>
      </w:r>
    </w:p>
    <w:p>
      <w:pPr>
        <w:spacing w:after="0" w:line="58" w:lineRule="exact"/>
        <w:rPr>
          <w:sz w:val="20"/>
          <w:szCs w:val="20"/>
          <w:color w:val="auto"/>
        </w:rPr>
      </w:pPr>
    </w:p>
    <w:p>
      <w:pPr>
        <w:ind w:left="120" w:right="20" w:hanging="112"/>
        <w:spacing w:after="0" w:line="183" w:lineRule="auto"/>
        <w:tabs>
          <w:tab w:leader="none" w:pos="120"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As of December 31, 2016, each Director held options for common stock in the amounts as follows: Ms. Cole, 6,000; Mr. Koraleski, 0; Mr. Maffucci, 0; Mr. McDonald, 6,000; Mr. Menaker, 6,000; Ms. Perez, 6,000; Mr. Quillen, 3,000; Mr. Rediker, 0; Mr. Slager, 0; Mr. Vinroot, 3,000; and Mr. Zelnak, 0.</w:t>
      </w:r>
    </w:p>
    <w:p>
      <w:pPr>
        <w:ind w:left="120" w:hanging="112"/>
        <w:spacing w:after="0" w:line="200" w:lineRule="auto"/>
        <w:tabs>
          <w:tab w:leader="none" w:pos="12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The amounts in column (f) reflect interest paid on fees deferred in cash under the Common Stock Purchase Plan for Directors.</w:t>
      </w:r>
    </w:p>
    <w:p>
      <w:pPr>
        <w:spacing w:after="0" w:line="58" w:lineRule="exact"/>
        <w:rPr>
          <w:sz w:val="20"/>
          <w:szCs w:val="20"/>
          <w:color w:val="auto"/>
        </w:rPr>
      </w:pPr>
    </w:p>
    <w:p>
      <w:pPr>
        <w:jc w:val="both"/>
        <w:ind w:left="120" w:hanging="112"/>
        <w:spacing w:after="0" w:line="199" w:lineRule="auto"/>
        <w:tabs>
          <w:tab w:leader="none" w:pos="12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2016 into common stock units pursuant to the Common Stock Purchase Plan for Directors, and (ii) the dollar value of dividend equivalents paid in 2016 on common stock units held under the plan. The Directors did not receive perquisites or other personal benefits in 2016.</w:t>
      </w:r>
    </w:p>
    <w:p>
      <w:pPr>
        <w:ind w:left="120" w:hanging="112"/>
        <w:spacing w:after="0" w:line="200" w:lineRule="auto"/>
        <w:tabs>
          <w:tab w:leader="none" w:pos="12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Messrs. Menaker and Vinroot retired at the 2016 Annual Meeting of Shareholders in accordance with the Bylaws that provide for retirement following the Director’s 75th birthday.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85090</wp:posOffset>
            </wp:positionV>
            <wp:extent cx="41148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Security Ownership of Certain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Beneficial Owners and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much stock do Martin Marietta’s Directors and executive officers own?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information as of March 10, 2017 with respect to the shares of common stock that are beneficially owned by the Directors, the Chief Executive Officer, the Chief Financial Officer, and the three other named executive officers who are listed in the Summary Compensation Table on page 43 of this proxy statement, individually, and by all Directors and executive officers of Martin Marietta as a group.</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3060" w:type="dxa"/>
            <w:vAlign w:val="bottom"/>
            <w:tcBorders>
              <w:right w:val="single" w:sz="8" w:color="007CBA"/>
            </w:tcBorders>
            <w:shd w:val="clear" w:color="auto" w:fill="007CBA"/>
          </w:tcPr>
          <w:p>
            <w:pPr>
              <w:spacing w:after="0"/>
              <w:rPr>
                <w:sz w:val="16"/>
                <w:szCs w:val="16"/>
                <w:color w:val="auto"/>
              </w:rPr>
            </w:pPr>
          </w:p>
        </w:tc>
        <w:tc>
          <w:tcPr>
            <w:tcW w:w="2080" w:type="dxa"/>
            <w:vAlign w:val="bottom"/>
            <w:tcBorders>
              <w:right w:val="single" w:sz="8" w:color="007CBA"/>
            </w:tcBorders>
            <w:shd w:val="clear" w:color="auto" w:fill="007CBA"/>
          </w:tcPr>
          <w:p>
            <w:pPr>
              <w:jc w:val="right"/>
              <w:spacing w:after="0"/>
              <w:rPr>
                <w:sz w:val="20"/>
                <w:szCs w:val="20"/>
                <w:color w:val="auto"/>
              </w:rPr>
            </w:pPr>
            <w:r>
              <w:rPr>
                <w:rFonts w:ascii="Arial" w:cs="Arial" w:eastAsia="Arial" w:hAnsi="Arial"/>
                <w:sz w:val="16"/>
                <w:szCs w:val="16"/>
                <w:b w:val="1"/>
                <w:bCs w:val="1"/>
                <w:color w:val="FFFFFF"/>
              </w:rPr>
              <w:t>Amount and Nature of</w:t>
            </w:r>
          </w:p>
        </w:tc>
        <w:tc>
          <w:tcPr>
            <w:tcW w:w="1580" w:type="dxa"/>
            <w:vAlign w:val="bottom"/>
            <w:tcBorders>
              <w:right w:val="single" w:sz="8" w:color="007CBA"/>
            </w:tcBorders>
            <w:shd w:val="clear" w:color="auto" w:fill="007CBA"/>
          </w:tcPr>
          <w:p>
            <w:pPr>
              <w:ind w:left="440"/>
              <w:spacing w:after="0"/>
              <w:rPr>
                <w:sz w:val="20"/>
                <w:szCs w:val="20"/>
                <w:color w:val="auto"/>
              </w:rPr>
            </w:pPr>
            <w:r>
              <w:rPr>
                <w:rFonts w:ascii="Arial" w:cs="Arial" w:eastAsia="Arial" w:hAnsi="Arial"/>
                <w:sz w:val="16"/>
                <w:szCs w:val="16"/>
                <w:b w:val="1"/>
                <w:bCs w:val="1"/>
                <w:color w:val="FFFFFF"/>
              </w:rPr>
              <w:t>Deferred and</w:t>
            </w:r>
          </w:p>
        </w:tc>
        <w:tc>
          <w:tcPr>
            <w:tcW w:w="1260" w:type="dxa"/>
            <w:vAlign w:val="bottom"/>
            <w:shd w:val="clear" w:color="auto" w:fill="007CBA"/>
          </w:tcPr>
          <w:p>
            <w:pPr>
              <w:spacing w:after="0"/>
              <w:rPr>
                <w:sz w:val="16"/>
                <w:szCs w:val="16"/>
                <w:color w:val="auto"/>
              </w:rPr>
            </w:pPr>
          </w:p>
        </w:tc>
      </w:tr>
      <w:tr>
        <w:trPr>
          <w:trHeight w:val="222"/>
        </w:trPr>
        <w:tc>
          <w:tcPr>
            <w:tcW w:w="30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Name of Beneficial Owner</w:t>
            </w:r>
          </w:p>
        </w:tc>
        <w:tc>
          <w:tcPr>
            <w:tcW w:w="2080" w:type="dxa"/>
            <w:vAlign w:val="bottom"/>
            <w:tcBorders>
              <w:right w:val="single" w:sz="8" w:color="007CBA"/>
            </w:tcBorders>
            <w:shd w:val="clear" w:color="auto" w:fill="007CBA"/>
          </w:tcPr>
          <w:p>
            <w:pPr>
              <w:jc w:val="right"/>
              <w:spacing w:after="0" w:line="222" w:lineRule="exact"/>
              <w:rPr>
                <w:sz w:val="20"/>
                <w:szCs w:val="20"/>
                <w:color w:val="auto"/>
              </w:rPr>
            </w:pPr>
            <w:r>
              <w:rPr>
                <w:rFonts w:ascii="Arial" w:cs="Arial" w:eastAsia="Arial" w:hAnsi="Arial"/>
                <w:sz w:val="15"/>
                <w:szCs w:val="15"/>
                <w:b w:val="1"/>
                <w:bCs w:val="1"/>
                <w:color w:val="FFFFFF"/>
              </w:rPr>
              <w:t>Beneficial Ownership</w:t>
            </w:r>
            <w:r>
              <w:rPr>
                <w:rFonts w:ascii="Arial" w:cs="Arial" w:eastAsia="Arial" w:hAnsi="Arial"/>
                <w:sz w:val="25"/>
                <w:szCs w:val="25"/>
                <w:b w:val="1"/>
                <w:bCs w:val="1"/>
                <w:color w:val="FFFFFF"/>
                <w:vertAlign w:val="superscript"/>
              </w:rPr>
              <w:t>1</w:t>
            </w:r>
          </w:p>
        </w:tc>
        <w:tc>
          <w:tcPr>
            <w:tcW w:w="1580" w:type="dxa"/>
            <w:vAlign w:val="bottom"/>
            <w:tcBorders>
              <w:right w:val="single" w:sz="8" w:color="007CBA"/>
            </w:tcBorders>
            <w:shd w:val="clear" w:color="auto" w:fill="007CBA"/>
          </w:tcPr>
          <w:p>
            <w:pPr>
              <w:ind w:left="320"/>
              <w:spacing w:after="0"/>
              <w:rPr>
                <w:sz w:val="20"/>
                <w:szCs w:val="20"/>
                <w:color w:val="auto"/>
              </w:rPr>
            </w:pPr>
            <w:r>
              <w:rPr>
                <w:rFonts w:ascii="Arial" w:cs="Arial" w:eastAsia="Arial" w:hAnsi="Arial"/>
                <w:sz w:val="16"/>
                <w:szCs w:val="16"/>
                <w:b w:val="1"/>
                <w:bCs w:val="1"/>
                <w:color w:val="FFFFFF"/>
                <w:w w:val="99"/>
              </w:rPr>
              <w:t>Restricted Units</w:t>
            </w:r>
          </w:p>
        </w:tc>
        <w:tc>
          <w:tcPr>
            <w:tcW w:w="1260" w:type="dxa"/>
            <w:vAlign w:val="bottom"/>
            <w:shd w:val="clear" w:color="auto" w:fill="007CBA"/>
          </w:tcPr>
          <w:p>
            <w:pPr>
              <w:jc w:val="right"/>
              <w:ind w:right="160"/>
              <w:spacing w:after="0"/>
              <w:rPr>
                <w:sz w:val="20"/>
                <w:szCs w:val="20"/>
                <w:color w:val="auto"/>
              </w:rPr>
            </w:pPr>
            <w:r>
              <w:rPr>
                <w:rFonts w:ascii="Arial" w:cs="Arial" w:eastAsia="Arial" w:hAnsi="Arial"/>
                <w:sz w:val="16"/>
                <w:szCs w:val="16"/>
                <w:b w:val="1"/>
                <w:bCs w:val="1"/>
                <w:color w:val="FFFFFF"/>
              </w:rPr>
              <w:t>Total</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Roselyn R. Bar</w:t>
            </w:r>
          </w:p>
        </w:tc>
        <w:tc>
          <w:tcPr>
            <w:tcW w:w="2080" w:type="dxa"/>
            <w:vAlign w:val="bottom"/>
            <w:tcBorders>
              <w:right w:val="single" w:sz="8" w:color="007CBA"/>
            </w:tcBorders>
          </w:tcPr>
          <w:p>
            <w:pPr>
              <w:jc w:val="right"/>
              <w:ind w:right="512"/>
              <w:spacing w:after="0" w:line="189" w:lineRule="exact"/>
              <w:rPr>
                <w:sz w:val="20"/>
                <w:szCs w:val="20"/>
                <w:color w:val="auto"/>
              </w:rPr>
            </w:pPr>
            <w:r>
              <w:rPr>
                <w:rFonts w:ascii="Arial" w:cs="Arial" w:eastAsia="Arial" w:hAnsi="Arial"/>
                <w:sz w:val="13"/>
                <w:szCs w:val="13"/>
                <w:color w:val="auto"/>
              </w:rPr>
              <w:t>41,799</w:t>
            </w:r>
            <w:r>
              <w:rPr>
                <w:rFonts w:ascii="Arial" w:cs="Arial" w:eastAsia="Arial" w:hAnsi="Arial"/>
                <w:sz w:val="21"/>
                <w:szCs w:val="21"/>
                <w:color w:val="auto"/>
                <w:vertAlign w:val="superscript"/>
              </w:rPr>
              <w:t>2</w:t>
            </w:r>
          </w:p>
        </w:tc>
        <w:tc>
          <w:tcPr>
            <w:tcW w:w="1580" w:type="dxa"/>
            <w:vAlign w:val="bottom"/>
            <w:tcBorders>
              <w:right w:val="single" w:sz="8" w:color="007CBA"/>
            </w:tcBorders>
          </w:tcPr>
          <w:p>
            <w:pPr>
              <w:jc w:val="center"/>
              <w:ind w:left="200"/>
              <w:spacing w:after="0"/>
              <w:rPr>
                <w:sz w:val="20"/>
                <w:szCs w:val="20"/>
                <w:color w:val="auto"/>
              </w:rPr>
            </w:pPr>
            <w:r>
              <w:rPr>
                <w:rFonts w:ascii="Arial" w:cs="Arial" w:eastAsia="Arial" w:hAnsi="Arial"/>
                <w:sz w:val="16"/>
                <w:szCs w:val="16"/>
                <w:color w:val="auto"/>
              </w:rPr>
              <w:t>17,867</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59,666</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Sue W. Cole</w:t>
            </w:r>
          </w:p>
        </w:tc>
        <w:tc>
          <w:tcPr>
            <w:tcW w:w="2080" w:type="dxa"/>
            <w:vAlign w:val="bottom"/>
            <w:tcBorders>
              <w:right w:val="single" w:sz="8" w:color="007CBA"/>
            </w:tcBorders>
            <w:shd w:val="clear" w:color="auto" w:fill="E5F1F8"/>
          </w:tcPr>
          <w:p>
            <w:pPr>
              <w:jc w:val="right"/>
              <w:ind w:right="432"/>
              <w:spacing w:after="0" w:line="189" w:lineRule="exact"/>
              <w:rPr>
                <w:sz w:val="20"/>
                <w:szCs w:val="20"/>
                <w:color w:val="auto"/>
              </w:rPr>
            </w:pPr>
            <w:r>
              <w:rPr>
                <w:rFonts w:ascii="Arial" w:cs="Arial" w:eastAsia="Arial" w:hAnsi="Arial"/>
                <w:sz w:val="13"/>
                <w:szCs w:val="13"/>
                <w:color w:val="auto"/>
              </w:rPr>
              <w:t>32,912</w:t>
            </w:r>
            <w:r>
              <w:rPr>
                <w:rFonts w:ascii="Arial" w:cs="Arial" w:eastAsia="Arial" w:hAnsi="Arial"/>
                <w:sz w:val="21"/>
                <w:szCs w:val="21"/>
                <w:color w:val="auto"/>
                <w:vertAlign w:val="superscript"/>
              </w:rPr>
              <w:t>3,4</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32,912</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Daniel L. Grant</w:t>
            </w:r>
          </w:p>
        </w:tc>
        <w:tc>
          <w:tcPr>
            <w:tcW w:w="2080" w:type="dxa"/>
            <w:vAlign w:val="bottom"/>
            <w:tcBorders>
              <w:right w:val="single" w:sz="8" w:color="007CBA"/>
            </w:tcBorders>
          </w:tcPr>
          <w:p>
            <w:pPr>
              <w:jc w:val="right"/>
              <w:ind w:right="532"/>
              <w:spacing w:after="0" w:line="189" w:lineRule="exact"/>
              <w:rPr>
                <w:sz w:val="20"/>
                <w:szCs w:val="20"/>
                <w:color w:val="auto"/>
              </w:rPr>
            </w:pPr>
            <w:r>
              <w:rPr>
                <w:rFonts w:ascii="Arial" w:cs="Arial" w:eastAsia="Arial" w:hAnsi="Arial"/>
                <w:sz w:val="13"/>
                <w:szCs w:val="13"/>
                <w:color w:val="auto"/>
              </w:rPr>
              <w:t>971</w:t>
            </w:r>
            <w:r>
              <w:rPr>
                <w:rFonts w:ascii="Arial" w:cs="Arial" w:eastAsia="Arial" w:hAnsi="Arial"/>
                <w:sz w:val="21"/>
                <w:szCs w:val="21"/>
                <w:color w:val="auto"/>
                <w:vertAlign w:val="superscript"/>
              </w:rPr>
              <w:t>2</w:t>
            </w:r>
          </w:p>
        </w:tc>
        <w:tc>
          <w:tcPr>
            <w:tcW w:w="1580" w:type="dxa"/>
            <w:vAlign w:val="bottom"/>
            <w:tcBorders>
              <w:right w:val="single" w:sz="8" w:color="007CBA"/>
            </w:tcBorders>
          </w:tcPr>
          <w:p>
            <w:pPr>
              <w:jc w:val="center"/>
              <w:ind w:left="200"/>
              <w:spacing w:after="0"/>
              <w:rPr>
                <w:sz w:val="20"/>
                <w:szCs w:val="20"/>
                <w:color w:val="auto"/>
              </w:rPr>
            </w:pPr>
            <w:r>
              <w:rPr>
                <w:rFonts w:ascii="Arial" w:cs="Arial" w:eastAsia="Arial" w:hAnsi="Arial"/>
                <w:sz w:val="16"/>
                <w:szCs w:val="16"/>
                <w:color w:val="auto"/>
              </w:rPr>
              <w:t>11,959</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12,930</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John J. Koraleski</w:t>
            </w:r>
          </w:p>
        </w:tc>
        <w:tc>
          <w:tcPr>
            <w:tcW w:w="2080" w:type="dxa"/>
            <w:vAlign w:val="bottom"/>
            <w:tcBorders>
              <w:right w:val="single" w:sz="8" w:color="007CBA"/>
            </w:tcBorders>
            <w:shd w:val="clear" w:color="auto" w:fill="E5F1F8"/>
          </w:tcPr>
          <w:p>
            <w:pPr>
              <w:jc w:val="right"/>
              <w:ind w:right="512"/>
              <w:spacing w:after="0" w:line="189" w:lineRule="exact"/>
              <w:rPr>
                <w:sz w:val="20"/>
                <w:szCs w:val="20"/>
                <w:color w:val="auto"/>
              </w:rPr>
            </w:pPr>
            <w:r>
              <w:rPr>
                <w:rFonts w:ascii="Arial" w:cs="Arial" w:eastAsia="Arial" w:hAnsi="Arial"/>
                <w:sz w:val="13"/>
                <w:szCs w:val="13"/>
                <w:color w:val="auto"/>
              </w:rPr>
              <w:t>502</w:t>
            </w:r>
            <w:r>
              <w:rPr>
                <w:rFonts w:ascii="Arial" w:cs="Arial" w:eastAsia="Arial" w:hAnsi="Arial"/>
                <w:sz w:val="21"/>
                <w:szCs w:val="21"/>
                <w:color w:val="auto"/>
                <w:vertAlign w:val="superscript"/>
              </w:rPr>
              <w:t>3</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502</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Anne H. Lloyd</w:t>
            </w:r>
          </w:p>
        </w:tc>
        <w:tc>
          <w:tcPr>
            <w:tcW w:w="2080" w:type="dxa"/>
            <w:vAlign w:val="bottom"/>
            <w:tcBorders>
              <w:right w:val="single" w:sz="8" w:color="007CBA"/>
            </w:tcBorders>
          </w:tcPr>
          <w:p>
            <w:pPr>
              <w:jc w:val="right"/>
              <w:ind w:right="532"/>
              <w:spacing w:after="0" w:line="189" w:lineRule="exact"/>
              <w:rPr>
                <w:sz w:val="20"/>
                <w:szCs w:val="20"/>
                <w:color w:val="auto"/>
              </w:rPr>
            </w:pPr>
            <w:r>
              <w:rPr>
                <w:rFonts w:ascii="Arial" w:cs="Arial" w:eastAsia="Arial" w:hAnsi="Arial"/>
                <w:sz w:val="13"/>
                <w:szCs w:val="13"/>
                <w:color w:val="auto"/>
              </w:rPr>
              <w:t>63,245</w:t>
            </w:r>
            <w:r>
              <w:rPr>
                <w:rFonts w:ascii="Arial" w:cs="Arial" w:eastAsia="Arial" w:hAnsi="Arial"/>
                <w:sz w:val="21"/>
                <w:szCs w:val="21"/>
                <w:color w:val="auto"/>
                <w:vertAlign w:val="superscript"/>
              </w:rPr>
              <w:t>2</w:t>
            </w:r>
          </w:p>
        </w:tc>
        <w:tc>
          <w:tcPr>
            <w:tcW w:w="1580" w:type="dxa"/>
            <w:vAlign w:val="bottom"/>
            <w:tcBorders>
              <w:right w:val="single" w:sz="8" w:color="007CBA"/>
            </w:tcBorders>
          </w:tcPr>
          <w:p>
            <w:pPr>
              <w:jc w:val="center"/>
              <w:ind w:left="200"/>
              <w:spacing w:after="0"/>
              <w:rPr>
                <w:sz w:val="20"/>
                <w:szCs w:val="20"/>
                <w:color w:val="auto"/>
              </w:rPr>
            </w:pPr>
            <w:r>
              <w:rPr>
                <w:rFonts w:ascii="Arial" w:cs="Arial" w:eastAsia="Arial" w:hAnsi="Arial"/>
                <w:sz w:val="16"/>
                <w:szCs w:val="16"/>
                <w:color w:val="auto"/>
              </w:rPr>
              <w:t>20,996</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84,241</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David G. Maffucci</w:t>
            </w:r>
          </w:p>
        </w:tc>
        <w:tc>
          <w:tcPr>
            <w:tcW w:w="2080" w:type="dxa"/>
            <w:vAlign w:val="bottom"/>
            <w:tcBorders>
              <w:right w:val="single" w:sz="8" w:color="007CBA"/>
            </w:tcBorders>
            <w:shd w:val="clear" w:color="auto" w:fill="E5F1F8"/>
          </w:tcPr>
          <w:p>
            <w:pPr>
              <w:jc w:val="right"/>
              <w:ind w:right="532"/>
              <w:spacing w:after="0" w:line="189" w:lineRule="exact"/>
              <w:rPr>
                <w:sz w:val="20"/>
                <w:szCs w:val="20"/>
                <w:color w:val="auto"/>
              </w:rPr>
            </w:pPr>
            <w:r>
              <w:rPr>
                <w:rFonts w:ascii="Arial" w:cs="Arial" w:eastAsia="Arial" w:hAnsi="Arial"/>
                <w:sz w:val="13"/>
                <w:szCs w:val="13"/>
                <w:color w:val="auto"/>
              </w:rPr>
              <w:t>16,658</w:t>
            </w:r>
            <w:r>
              <w:rPr>
                <w:rFonts w:ascii="Arial" w:cs="Arial" w:eastAsia="Arial" w:hAnsi="Arial"/>
                <w:sz w:val="21"/>
                <w:szCs w:val="21"/>
                <w:color w:val="auto"/>
                <w:vertAlign w:val="superscript"/>
              </w:rPr>
              <w:t>3</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16,658</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Donald A. McCunniff</w:t>
            </w:r>
          </w:p>
        </w:tc>
        <w:tc>
          <w:tcPr>
            <w:tcW w:w="2080" w:type="dxa"/>
            <w:vAlign w:val="bottom"/>
            <w:tcBorders>
              <w:right w:val="single" w:sz="8" w:color="007CBA"/>
            </w:tcBorders>
          </w:tcPr>
          <w:p>
            <w:pPr>
              <w:jc w:val="right"/>
              <w:ind w:right="512"/>
              <w:spacing w:after="0" w:line="189" w:lineRule="exact"/>
              <w:rPr>
                <w:sz w:val="20"/>
                <w:szCs w:val="20"/>
                <w:color w:val="auto"/>
              </w:rPr>
            </w:pPr>
            <w:r>
              <w:rPr>
                <w:rFonts w:ascii="Arial" w:cs="Arial" w:eastAsia="Arial" w:hAnsi="Arial"/>
                <w:sz w:val="13"/>
                <w:szCs w:val="13"/>
                <w:color w:val="auto"/>
              </w:rPr>
              <w:t>10,711</w:t>
            </w:r>
            <w:r>
              <w:rPr>
                <w:rFonts w:ascii="Arial" w:cs="Arial" w:eastAsia="Arial" w:hAnsi="Arial"/>
                <w:sz w:val="21"/>
                <w:szCs w:val="21"/>
                <w:color w:val="auto"/>
                <w:vertAlign w:val="superscript"/>
              </w:rPr>
              <w:t>2</w:t>
            </w:r>
          </w:p>
        </w:tc>
        <w:tc>
          <w:tcPr>
            <w:tcW w:w="1580" w:type="dxa"/>
            <w:vAlign w:val="bottom"/>
            <w:tcBorders>
              <w:right w:val="single" w:sz="8" w:color="007CBA"/>
            </w:tcBorders>
          </w:tcPr>
          <w:p>
            <w:pPr>
              <w:jc w:val="center"/>
              <w:ind w:left="200"/>
              <w:spacing w:after="0"/>
              <w:rPr>
                <w:sz w:val="20"/>
                <w:szCs w:val="20"/>
                <w:color w:val="auto"/>
              </w:rPr>
            </w:pPr>
            <w:r>
              <w:rPr>
                <w:rFonts w:ascii="Arial" w:cs="Arial" w:eastAsia="Arial" w:hAnsi="Arial"/>
                <w:sz w:val="16"/>
                <w:szCs w:val="16"/>
                <w:color w:val="auto"/>
              </w:rPr>
              <w:t>13,444</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24,155</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William E. McDonald</w:t>
            </w:r>
          </w:p>
        </w:tc>
        <w:tc>
          <w:tcPr>
            <w:tcW w:w="2080" w:type="dxa"/>
            <w:vAlign w:val="bottom"/>
            <w:tcBorders>
              <w:right w:val="single" w:sz="8" w:color="007CBA"/>
            </w:tcBorders>
            <w:shd w:val="clear" w:color="auto" w:fill="E5F1F8"/>
          </w:tcPr>
          <w:p>
            <w:pPr>
              <w:jc w:val="right"/>
              <w:ind w:right="532"/>
              <w:spacing w:after="0" w:line="189" w:lineRule="exact"/>
              <w:rPr>
                <w:sz w:val="20"/>
                <w:szCs w:val="20"/>
                <w:color w:val="auto"/>
              </w:rPr>
            </w:pPr>
            <w:r>
              <w:rPr>
                <w:rFonts w:ascii="Arial" w:cs="Arial" w:eastAsia="Arial" w:hAnsi="Arial"/>
                <w:sz w:val="13"/>
                <w:szCs w:val="13"/>
                <w:color w:val="auto"/>
              </w:rPr>
              <w:t>25,875</w:t>
            </w:r>
            <w:r>
              <w:rPr>
                <w:rFonts w:ascii="Arial" w:cs="Arial" w:eastAsia="Arial" w:hAnsi="Arial"/>
                <w:sz w:val="21"/>
                <w:szCs w:val="21"/>
                <w:color w:val="auto"/>
                <w:vertAlign w:val="superscript"/>
              </w:rPr>
              <w:t>3</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25,875</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C. Howard Nye</w:t>
            </w:r>
          </w:p>
        </w:tc>
        <w:tc>
          <w:tcPr>
            <w:tcW w:w="2080" w:type="dxa"/>
            <w:vAlign w:val="bottom"/>
            <w:tcBorders>
              <w:right w:val="single" w:sz="8" w:color="007CBA"/>
            </w:tcBorders>
          </w:tcPr>
          <w:p>
            <w:pPr>
              <w:jc w:val="right"/>
              <w:ind w:right="532"/>
              <w:spacing w:after="0" w:line="189" w:lineRule="exact"/>
              <w:rPr>
                <w:sz w:val="20"/>
                <w:szCs w:val="20"/>
                <w:color w:val="auto"/>
              </w:rPr>
            </w:pPr>
            <w:r>
              <w:rPr>
                <w:rFonts w:ascii="Arial" w:cs="Arial" w:eastAsia="Arial" w:hAnsi="Arial"/>
                <w:sz w:val="13"/>
                <w:szCs w:val="13"/>
                <w:color w:val="auto"/>
              </w:rPr>
              <w:t>124,956</w:t>
            </w:r>
            <w:r>
              <w:rPr>
                <w:rFonts w:ascii="Arial" w:cs="Arial" w:eastAsia="Arial" w:hAnsi="Arial"/>
                <w:sz w:val="21"/>
                <w:szCs w:val="21"/>
                <w:color w:val="auto"/>
                <w:vertAlign w:val="superscript"/>
              </w:rPr>
              <w:t>2</w:t>
            </w:r>
          </w:p>
        </w:tc>
        <w:tc>
          <w:tcPr>
            <w:tcW w:w="1580" w:type="dxa"/>
            <w:vAlign w:val="bottom"/>
            <w:tcBorders>
              <w:right w:val="single" w:sz="8" w:color="007CBA"/>
            </w:tcBorders>
          </w:tcPr>
          <w:p>
            <w:pPr>
              <w:jc w:val="center"/>
              <w:ind w:left="200"/>
              <w:spacing w:after="0"/>
              <w:rPr>
                <w:sz w:val="20"/>
                <w:szCs w:val="20"/>
                <w:color w:val="auto"/>
              </w:rPr>
            </w:pPr>
            <w:r>
              <w:rPr>
                <w:rFonts w:ascii="Arial" w:cs="Arial" w:eastAsia="Arial" w:hAnsi="Arial"/>
                <w:sz w:val="16"/>
                <w:szCs w:val="16"/>
                <w:color w:val="auto"/>
              </w:rPr>
              <w:t>59,306</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184,262</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Laree E. Perez</w:t>
            </w:r>
          </w:p>
        </w:tc>
        <w:tc>
          <w:tcPr>
            <w:tcW w:w="2080" w:type="dxa"/>
            <w:vAlign w:val="bottom"/>
            <w:tcBorders>
              <w:right w:val="single" w:sz="8" w:color="007CBA"/>
            </w:tcBorders>
            <w:shd w:val="clear" w:color="auto" w:fill="E5F1F8"/>
          </w:tcPr>
          <w:p>
            <w:pPr>
              <w:jc w:val="right"/>
              <w:ind w:right="532"/>
              <w:spacing w:after="0" w:line="189" w:lineRule="exact"/>
              <w:rPr>
                <w:sz w:val="20"/>
                <w:szCs w:val="20"/>
                <w:color w:val="auto"/>
              </w:rPr>
            </w:pPr>
            <w:r>
              <w:rPr>
                <w:rFonts w:ascii="Arial" w:cs="Arial" w:eastAsia="Arial" w:hAnsi="Arial"/>
                <w:sz w:val="13"/>
                <w:szCs w:val="13"/>
                <w:color w:val="auto"/>
              </w:rPr>
              <w:t>16,765</w:t>
            </w:r>
            <w:r>
              <w:rPr>
                <w:rFonts w:ascii="Arial" w:cs="Arial" w:eastAsia="Arial" w:hAnsi="Arial"/>
                <w:sz w:val="21"/>
                <w:szCs w:val="21"/>
                <w:color w:val="auto"/>
                <w:vertAlign w:val="superscript"/>
              </w:rPr>
              <w:t>3</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16,765</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Michael J. Quillen</w:t>
            </w:r>
          </w:p>
        </w:tc>
        <w:tc>
          <w:tcPr>
            <w:tcW w:w="2080" w:type="dxa"/>
            <w:vAlign w:val="bottom"/>
            <w:tcBorders>
              <w:right w:val="single" w:sz="8" w:color="007CBA"/>
            </w:tcBorders>
          </w:tcPr>
          <w:p>
            <w:pPr>
              <w:jc w:val="right"/>
              <w:ind w:right="532"/>
              <w:spacing w:after="0" w:line="189" w:lineRule="exact"/>
              <w:rPr>
                <w:sz w:val="20"/>
                <w:szCs w:val="20"/>
                <w:color w:val="auto"/>
              </w:rPr>
            </w:pPr>
            <w:r>
              <w:rPr>
                <w:rFonts w:ascii="Arial" w:cs="Arial" w:eastAsia="Arial" w:hAnsi="Arial"/>
                <w:sz w:val="13"/>
                <w:szCs w:val="13"/>
                <w:color w:val="auto"/>
              </w:rPr>
              <w:t>19,059</w:t>
            </w:r>
            <w:r>
              <w:rPr>
                <w:rFonts w:ascii="Arial" w:cs="Arial" w:eastAsia="Arial" w:hAnsi="Arial"/>
                <w:sz w:val="21"/>
                <w:szCs w:val="21"/>
                <w:color w:val="auto"/>
                <w:vertAlign w:val="superscript"/>
              </w:rPr>
              <w:t>3</w:t>
            </w:r>
          </w:p>
        </w:tc>
        <w:tc>
          <w:tcPr>
            <w:tcW w:w="1580" w:type="dxa"/>
            <w:vAlign w:val="bottom"/>
            <w:tcBorders>
              <w:right w:val="single" w:sz="8" w:color="007CBA"/>
            </w:tcBorders>
          </w:tcPr>
          <w:p>
            <w:pPr>
              <w:ind w:left="8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19,059</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Dennis L. Rediker</w:t>
            </w:r>
          </w:p>
        </w:tc>
        <w:tc>
          <w:tcPr>
            <w:tcW w:w="2080" w:type="dxa"/>
            <w:vAlign w:val="bottom"/>
            <w:tcBorders>
              <w:right w:val="single" w:sz="8" w:color="007CBA"/>
            </w:tcBorders>
            <w:shd w:val="clear" w:color="auto" w:fill="E5F1F8"/>
          </w:tcPr>
          <w:p>
            <w:pPr>
              <w:jc w:val="right"/>
              <w:ind w:right="532"/>
              <w:spacing w:after="0" w:line="189" w:lineRule="exact"/>
              <w:rPr>
                <w:sz w:val="20"/>
                <w:szCs w:val="20"/>
                <w:color w:val="auto"/>
              </w:rPr>
            </w:pPr>
            <w:r>
              <w:rPr>
                <w:rFonts w:ascii="Arial" w:cs="Arial" w:eastAsia="Arial" w:hAnsi="Arial"/>
                <w:sz w:val="13"/>
                <w:szCs w:val="13"/>
                <w:color w:val="auto"/>
              </w:rPr>
              <w:t>18,247</w:t>
            </w:r>
            <w:r>
              <w:rPr>
                <w:rFonts w:ascii="Arial" w:cs="Arial" w:eastAsia="Arial" w:hAnsi="Arial"/>
                <w:sz w:val="21"/>
                <w:szCs w:val="21"/>
                <w:color w:val="auto"/>
                <w:vertAlign w:val="superscript"/>
              </w:rPr>
              <w:t>3</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18,247</w:t>
            </w: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Donald W. Slager</w:t>
            </w:r>
          </w:p>
        </w:tc>
        <w:tc>
          <w:tcPr>
            <w:tcW w:w="2080" w:type="dxa"/>
            <w:vAlign w:val="bottom"/>
            <w:tcBorders>
              <w:right w:val="single" w:sz="8" w:color="007CBA"/>
            </w:tcBorders>
          </w:tcPr>
          <w:p>
            <w:pPr>
              <w:jc w:val="right"/>
              <w:ind w:right="532"/>
              <w:spacing w:after="0" w:line="189" w:lineRule="exact"/>
              <w:rPr>
                <w:sz w:val="20"/>
                <w:szCs w:val="20"/>
                <w:color w:val="auto"/>
              </w:rPr>
            </w:pPr>
            <w:r>
              <w:rPr>
                <w:rFonts w:ascii="Arial" w:cs="Arial" w:eastAsia="Arial" w:hAnsi="Arial"/>
                <w:sz w:val="13"/>
                <w:szCs w:val="13"/>
                <w:color w:val="auto"/>
              </w:rPr>
              <w:t>541</w:t>
            </w:r>
            <w:r>
              <w:rPr>
                <w:rFonts w:ascii="Arial" w:cs="Arial" w:eastAsia="Arial" w:hAnsi="Arial"/>
                <w:sz w:val="21"/>
                <w:szCs w:val="21"/>
                <w:color w:val="auto"/>
                <w:vertAlign w:val="superscript"/>
              </w:rPr>
              <w:t>3</w:t>
            </w:r>
          </w:p>
        </w:tc>
        <w:tc>
          <w:tcPr>
            <w:tcW w:w="1580" w:type="dxa"/>
            <w:vAlign w:val="bottom"/>
            <w:tcBorders>
              <w:right w:val="single" w:sz="8" w:color="007CBA"/>
            </w:tcBorders>
          </w:tcPr>
          <w:p>
            <w:pPr>
              <w:ind w:left="8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541</w:t>
            </w:r>
          </w:p>
        </w:tc>
      </w:tr>
      <w:tr>
        <w:trPr>
          <w:trHeight w:val="189"/>
        </w:trPr>
        <w:tc>
          <w:tcPr>
            <w:tcW w:w="30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Stephen P. Zelnak, Jr.</w:t>
            </w:r>
          </w:p>
        </w:tc>
        <w:tc>
          <w:tcPr>
            <w:tcW w:w="2080" w:type="dxa"/>
            <w:vAlign w:val="bottom"/>
            <w:tcBorders>
              <w:right w:val="single" w:sz="8" w:color="007CBA"/>
            </w:tcBorders>
            <w:shd w:val="clear" w:color="auto" w:fill="E5F1F8"/>
          </w:tcPr>
          <w:p>
            <w:pPr>
              <w:jc w:val="right"/>
              <w:ind w:right="532"/>
              <w:spacing w:after="0" w:line="189" w:lineRule="exact"/>
              <w:rPr>
                <w:sz w:val="20"/>
                <w:szCs w:val="20"/>
                <w:color w:val="auto"/>
              </w:rPr>
            </w:pPr>
            <w:r>
              <w:rPr>
                <w:rFonts w:ascii="Arial" w:cs="Arial" w:eastAsia="Arial" w:hAnsi="Arial"/>
                <w:sz w:val="13"/>
                <w:szCs w:val="13"/>
                <w:color w:val="auto"/>
              </w:rPr>
              <w:t>6,938</w:t>
            </w:r>
            <w:r>
              <w:rPr>
                <w:rFonts w:ascii="Arial" w:cs="Arial" w:eastAsia="Arial" w:hAnsi="Arial"/>
                <w:sz w:val="21"/>
                <w:szCs w:val="21"/>
                <w:color w:val="auto"/>
                <w:vertAlign w:val="superscript"/>
              </w:rPr>
              <w:t>3</w:t>
            </w:r>
          </w:p>
        </w:tc>
        <w:tc>
          <w:tcPr>
            <w:tcW w:w="1580" w:type="dxa"/>
            <w:vAlign w:val="bottom"/>
            <w:tcBorders>
              <w:right w:val="single" w:sz="8" w:color="007CBA"/>
            </w:tcBorders>
            <w:shd w:val="clear" w:color="auto" w:fill="E5F1F8"/>
          </w:tcPr>
          <w:p>
            <w:pPr>
              <w:ind w:lef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1F8"/>
          </w:tcPr>
          <w:p>
            <w:pPr>
              <w:jc w:val="right"/>
              <w:ind w:right="100"/>
              <w:spacing w:after="0"/>
              <w:rPr>
                <w:sz w:val="20"/>
                <w:szCs w:val="20"/>
                <w:color w:val="auto"/>
              </w:rPr>
            </w:pPr>
            <w:r>
              <w:rPr>
                <w:rFonts w:ascii="Arial" w:cs="Arial" w:eastAsia="Arial" w:hAnsi="Arial"/>
                <w:sz w:val="16"/>
                <w:szCs w:val="16"/>
                <w:color w:val="auto"/>
              </w:rPr>
              <w:t>6,938</w:t>
            </w:r>
          </w:p>
        </w:tc>
      </w:tr>
      <w:tr>
        <w:trPr>
          <w:trHeight w:val="191"/>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All Directors and executive officers as a</w:t>
            </w:r>
          </w:p>
        </w:tc>
        <w:tc>
          <w:tcPr>
            <w:tcW w:w="2080" w:type="dxa"/>
            <w:vAlign w:val="bottom"/>
            <w:tcBorders>
              <w:right w:val="single" w:sz="8" w:color="007CBA"/>
            </w:tcBorders>
          </w:tcPr>
          <w:p>
            <w:pPr>
              <w:spacing w:after="0"/>
              <w:rPr>
                <w:sz w:val="16"/>
                <w:szCs w:val="16"/>
                <w:color w:val="auto"/>
              </w:rPr>
            </w:pPr>
          </w:p>
        </w:tc>
        <w:tc>
          <w:tcPr>
            <w:tcW w:w="1580" w:type="dxa"/>
            <w:vAlign w:val="bottom"/>
            <w:tcBorders>
              <w:right w:val="single" w:sz="8" w:color="007CBA"/>
            </w:tcBorders>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group</w:t>
            </w:r>
          </w:p>
        </w:tc>
        <w:tc>
          <w:tcPr>
            <w:tcW w:w="2080" w:type="dxa"/>
            <w:vAlign w:val="bottom"/>
            <w:tcBorders>
              <w:right w:val="single" w:sz="8" w:color="007CBA"/>
            </w:tcBorders>
          </w:tcPr>
          <w:p>
            <w:pPr>
              <w:spacing w:after="0"/>
              <w:rPr>
                <w:sz w:val="16"/>
                <w:szCs w:val="16"/>
                <w:color w:val="auto"/>
              </w:rPr>
            </w:pPr>
          </w:p>
        </w:tc>
        <w:tc>
          <w:tcPr>
            <w:tcW w:w="1580" w:type="dxa"/>
            <w:vAlign w:val="bottom"/>
            <w:tcBorders>
              <w:right w:val="single" w:sz="8" w:color="007CBA"/>
            </w:tcBorders>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30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(15 individuals including those named</w:t>
            </w:r>
          </w:p>
        </w:tc>
        <w:tc>
          <w:tcPr>
            <w:tcW w:w="2080" w:type="dxa"/>
            <w:vAlign w:val="bottom"/>
            <w:tcBorders>
              <w:right w:val="single" w:sz="8" w:color="007CBA"/>
            </w:tcBorders>
          </w:tcPr>
          <w:p>
            <w:pPr>
              <w:spacing w:after="0"/>
              <w:rPr>
                <w:sz w:val="16"/>
                <w:szCs w:val="16"/>
                <w:color w:val="auto"/>
              </w:rPr>
            </w:pPr>
          </w:p>
        </w:tc>
        <w:tc>
          <w:tcPr>
            <w:tcW w:w="1580" w:type="dxa"/>
            <w:vAlign w:val="bottom"/>
            <w:tcBorders>
              <w:right w:val="single" w:sz="8" w:color="007CBA"/>
            </w:tcBorders>
          </w:tcPr>
          <w:p>
            <w:pPr>
              <w:spacing w:after="0"/>
              <w:rPr>
                <w:sz w:val="16"/>
                <w:szCs w:val="16"/>
                <w:color w:val="auto"/>
              </w:rPr>
            </w:pPr>
          </w:p>
        </w:tc>
        <w:tc>
          <w:tcPr>
            <w:tcW w:w="1260" w:type="dxa"/>
            <w:vAlign w:val="bottom"/>
          </w:tcPr>
          <w:p>
            <w:pPr>
              <w:spacing w:after="0"/>
              <w:rPr>
                <w:sz w:val="16"/>
                <w:szCs w:val="16"/>
                <w:color w:val="auto"/>
              </w:rPr>
            </w:pPr>
          </w:p>
        </w:tc>
      </w:tr>
      <w:tr>
        <w:trPr>
          <w:trHeight w:val="201"/>
        </w:trPr>
        <w:tc>
          <w:tcPr>
            <w:tcW w:w="306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6"/>
                <w:szCs w:val="16"/>
                <w:color w:val="auto"/>
              </w:rPr>
              <w:t>above)</w:t>
            </w:r>
          </w:p>
        </w:tc>
        <w:tc>
          <w:tcPr>
            <w:tcW w:w="2080" w:type="dxa"/>
            <w:vAlign w:val="bottom"/>
            <w:tcBorders>
              <w:bottom w:val="single" w:sz="8" w:color="007CBA"/>
              <w:right w:val="single" w:sz="8" w:color="007CBA"/>
            </w:tcBorders>
          </w:tcPr>
          <w:p>
            <w:pPr>
              <w:jc w:val="right"/>
              <w:ind w:right="432"/>
              <w:spacing w:after="0" w:line="201" w:lineRule="exact"/>
              <w:rPr>
                <w:sz w:val="20"/>
                <w:szCs w:val="20"/>
                <w:color w:val="auto"/>
              </w:rPr>
            </w:pPr>
            <w:r>
              <w:rPr>
                <w:rFonts w:ascii="Arial" w:cs="Arial" w:eastAsia="Arial" w:hAnsi="Arial"/>
                <w:sz w:val="14"/>
                <w:szCs w:val="14"/>
                <w:color w:val="auto"/>
              </w:rPr>
              <w:t>398,104</w:t>
            </w:r>
            <w:r>
              <w:rPr>
                <w:rFonts w:ascii="Arial" w:cs="Arial" w:eastAsia="Arial" w:hAnsi="Arial"/>
                <w:sz w:val="23"/>
                <w:szCs w:val="23"/>
                <w:color w:val="auto"/>
                <w:vertAlign w:val="superscript"/>
              </w:rPr>
              <w:t>3,4</w:t>
            </w:r>
          </w:p>
        </w:tc>
        <w:tc>
          <w:tcPr>
            <w:tcW w:w="1580" w:type="dxa"/>
            <w:vAlign w:val="bottom"/>
            <w:tcBorders>
              <w:bottom w:val="single" w:sz="8" w:color="007CBA"/>
              <w:right w:val="single" w:sz="8" w:color="007CBA"/>
            </w:tcBorders>
          </w:tcPr>
          <w:p>
            <w:pPr>
              <w:jc w:val="center"/>
              <w:ind w:left="200"/>
              <w:spacing w:after="0" w:line="201" w:lineRule="exact"/>
              <w:rPr>
                <w:sz w:val="20"/>
                <w:szCs w:val="20"/>
                <w:color w:val="auto"/>
              </w:rPr>
            </w:pPr>
            <w:r>
              <w:rPr>
                <w:rFonts w:ascii="Arial" w:cs="Arial" w:eastAsia="Arial" w:hAnsi="Arial"/>
                <w:sz w:val="14"/>
                <w:szCs w:val="14"/>
                <w:color w:val="auto"/>
              </w:rPr>
              <w:t>134,715</w:t>
            </w:r>
            <w:r>
              <w:rPr>
                <w:rFonts w:ascii="Arial" w:cs="Arial" w:eastAsia="Arial" w:hAnsi="Arial"/>
                <w:sz w:val="23"/>
                <w:szCs w:val="23"/>
                <w:color w:val="auto"/>
                <w:vertAlign w:val="superscript"/>
              </w:rPr>
              <w:t>5</w:t>
            </w:r>
          </w:p>
        </w:tc>
        <w:tc>
          <w:tcPr>
            <w:tcW w:w="1260" w:type="dxa"/>
            <w:vAlign w:val="bottom"/>
            <w:tcBorders>
              <w:bottom w:val="single" w:sz="8" w:color="007CBA"/>
            </w:tcBorders>
          </w:tcPr>
          <w:p>
            <w:pPr>
              <w:jc w:val="right"/>
              <w:ind w:right="60"/>
              <w:spacing w:after="0" w:line="201" w:lineRule="exact"/>
              <w:rPr>
                <w:sz w:val="20"/>
                <w:szCs w:val="20"/>
                <w:color w:val="auto"/>
              </w:rPr>
            </w:pPr>
            <w:r>
              <w:rPr>
                <w:rFonts w:ascii="Arial" w:cs="Arial" w:eastAsia="Arial" w:hAnsi="Arial"/>
                <w:sz w:val="14"/>
                <w:szCs w:val="14"/>
                <w:color w:val="auto"/>
              </w:rPr>
              <w:t>532,819</w:t>
            </w:r>
            <w:r>
              <w:rPr>
                <w:rFonts w:ascii="Arial" w:cs="Arial" w:eastAsia="Arial" w:hAnsi="Arial"/>
                <w:sz w:val="23"/>
                <w:szCs w:val="23"/>
                <w:color w:val="auto"/>
                <w:vertAlign w:val="superscript"/>
              </w:rPr>
              <w:t>6</w:t>
            </w:r>
          </w:p>
        </w:tc>
      </w:tr>
    </w:tbl>
    <w:p>
      <w:pPr>
        <w:spacing w:after="0" w:line="72" w:lineRule="exact"/>
        <w:rPr>
          <w:sz w:val="20"/>
          <w:szCs w:val="20"/>
          <w:color w:val="auto"/>
        </w:rPr>
      </w:pPr>
    </w:p>
    <w:p>
      <w:pPr>
        <w:jc w:val="both"/>
        <w:ind w:left="120" w:hanging="112"/>
        <w:spacing w:after="0" w:line="199" w:lineRule="auto"/>
        <w:tabs>
          <w:tab w:leader="none" w:pos="12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8.45% of the shares of common stock outstanding as of March 10, 2017. None of the shares reported are pledged as security.</w:t>
      </w:r>
    </w:p>
    <w:p>
      <w:pPr>
        <w:spacing w:after="0" w:line="58" w:lineRule="exact"/>
        <w:rPr>
          <w:sz w:val="20"/>
          <w:szCs w:val="20"/>
          <w:color w:val="auto"/>
        </w:rPr>
      </w:pPr>
    </w:p>
    <w:p>
      <w:pPr>
        <w:jc w:val="both"/>
        <w:ind w:left="120" w:hanging="112"/>
        <w:spacing w:after="0" w:line="199" w:lineRule="auto"/>
        <w:tabs>
          <w:tab w:leader="none" w:pos="12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The number of shares owned for each of Mr. Nye, Ms. Lloyd, Ms. Bar, Mr. McCunniff and Mr. Grant assumes that options held by each of them covering shares of common stock in the amounts indicated, which are currently exercisable within 60 days of March 10, 2017, have been exercised: Mr. Nye, 66,018; Ms. Lloyd, 26,339; Ms. Bar, 14,097; Mr. McCunniff, 8,238; and Mr. Grant, 0.</w:t>
      </w:r>
    </w:p>
    <w:p>
      <w:pPr>
        <w:spacing w:after="0" w:line="58" w:lineRule="exact"/>
        <w:rPr>
          <w:sz w:val="20"/>
          <w:szCs w:val="20"/>
          <w:color w:val="auto"/>
        </w:rPr>
      </w:pPr>
    </w:p>
    <w:p>
      <w:pPr>
        <w:jc w:val="both"/>
        <w:ind w:left="120" w:hanging="112"/>
        <w:spacing w:after="0"/>
        <w:tabs>
          <w:tab w:leader="none" w:pos="12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Amounts reported include (1) compensation paid on an annual basis that Directors have received in common stock units that are deferred pursuant to the Amended and Restated Martin Marietta Materials, Inc. Common Stock Purchase Plan for Directors and (2) RSUs that each Director received in 2016 as part of their compensation. The Directors do not have voting or investment power for their respective common stock units and RSUs. The number of common stock units credited to each of the Directors pursuant to the Common Stock Purchase Plan as of March 10, 2017 is as follows: Ms. Cole, 14,779; Mr. Koraleski, 0; Mr. Maffucci, 8,930; Mr. McDonald, 17,368; Ms. Perez, 5,258; Mr. Quillen, 7,552; Mr. Rediker, 9,740; Mr. Slager, 0; and Mr. Zelnak, 5,960. Amounts reported also include options for common stock for each Director, all of which are currently exercisable, as follows: Ms. Cole, 3,000; Mr. Koraleski, 0; Mr. Maffucci, 0; Mr. McDonald, 0; Ms. Perez, 3,000; Mr. Quillen, 3,000; Mr. Rediker, 0; Mr. Slager, 0; and Mr. Zelnak, 0.</w:t>
      </w:r>
    </w:p>
    <w:p>
      <w:pPr>
        <w:spacing w:after="0" w:line="17"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Includes an approximation of the number of shares in IRA account.</w:t>
      </w:r>
    </w:p>
    <w:p>
      <w:pPr>
        <w:spacing w:after="0" w:line="57" w:lineRule="exact"/>
        <w:rPr>
          <w:sz w:val="20"/>
          <w:szCs w:val="20"/>
          <w:color w:val="auto"/>
        </w:rPr>
      </w:pPr>
    </w:p>
    <w:p>
      <w:pPr>
        <w:jc w:val="both"/>
        <w:ind w:left="120" w:hanging="112"/>
        <w:spacing w:after="0" w:line="208" w:lineRule="auto"/>
        <w:tabs>
          <w:tab w:leader="none" w:pos="12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include common stock units credited to each of the named executives in connection with (i) their deferral of a portion of their cash bonus under the Martin Marietta Materials, Inc. Incentive Stock Plan, and (ii) RSUs (not including any performance-based share units (“PSUs”) granted under the Stock Plan that are subject to forfeiture in accordance with the terms of the plan, each in the following amounts: Mr. Nye, 16,992 and 42,314, respectively; Ms. Lloyd, 3,119 and 17,877, respectively; Ms. Bar, 2,856 and 15,011, respectively; Mr. McCunniff, 1,491 and 11,953, respectively; and Mr. Grant, 1,980 and 9,979, respectively. There are no voting rights associated with the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128270</wp:posOffset>
            </wp:positionV>
            <wp:extent cx="411480" cy="24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13</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Security Ownership of Certain Beneficial Ownership and Management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Section 16(a) Beneficial Ownership Reporting Compliance</w:t>
      </w:r>
    </w:p>
    <w:p>
      <w:pPr>
        <w:spacing w:after="0" w:line="181"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Amounts reported include: (1) 127,216 options held by Directors and executive officers, which are currently exercisable or exercisable within 60 days of March 10, 2017;</w:t>
      </w:r>
    </w:p>
    <w:p>
      <w:pPr>
        <w:jc w:val="both"/>
        <w:ind w:left="120"/>
        <w:spacing w:after="0" w:line="247" w:lineRule="auto"/>
        <w:rPr>
          <w:rFonts w:ascii="Arial" w:cs="Arial" w:eastAsia="Arial" w:hAnsi="Arial"/>
          <w:sz w:val="24"/>
          <w:szCs w:val="24"/>
          <w:color w:val="auto"/>
          <w:vertAlign w:val="superscript"/>
        </w:rPr>
      </w:pPr>
      <w:r>
        <w:rPr>
          <w:rFonts w:ascii="Arial" w:cs="Arial" w:eastAsia="Arial" w:hAnsi="Arial"/>
          <w:sz w:val="14"/>
          <w:szCs w:val="14"/>
          <w:color w:val="auto"/>
        </w:rPr>
        <w:t>(2) 28,086 common stock units credited to executive officers in connection with their deferral of a portion of their cash bonus under the Martin Marietta Materials, Inc. Incentive Stock Plan; (3) 106,629 common stock units credited to executive officers in connection with RSUs granted under the Stock Plan that are subject to forfeiture in accordance with the terms of the Plan; and (4) 58,163 common stock units credited to the Directors in connection with RSUs granted under the Stock Plan. There are no voting rights associated with the stock units.</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Section 16(a) Beneficial Ownership Reporting Compliance</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 Based solely on its review of copies of reports furnished to Martin Marietta and written representations of Directors and officers, the company believes that during fiscal year 2016, such filing requirements were satisfied.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are the largest owners of Martin Marietta’s stock?</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sets forth information with respect to the shares of common stock which are held by persons known to Martin Marietta to be the beneficial owners of more than 5% of such stock as of March 10, 2017. To the best of Martin Marietta’s knowledge, based on filings with the Securities and Exchange Commission as noted below, no person beneficially owned more than 5% of any class of Martin Marietta’s outstanding voting securities at the close of business on March 10, 2017, except for those shown below.</w:t>
      </w:r>
    </w:p>
    <w:p>
      <w:pPr>
        <w:spacing w:after="0" w:line="188" w:lineRule="exact"/>
        <w:rPr>
          <w:sz w:val="20"/>
          <w:szCs w:val="20"/>
          <w:color w:val="auto"/>
        </w:rPr>
      </w:pPr>
    </w:p>
    <w:tbl>
      <w:tblPr>
        <w:tblLayout w:type="fixed"/>
        <w:tblInd w:w="2880" w:type="dxa"/>
        <w:tblCellMar>
          <w:top w:w="0" w:type="dxa"/>
          <w:left w:w="0" w:type="dxa"/>
          <w:bottom w:w="0" w:type="dxa"/>
          <w:right w:w="0" w:type="dxa"/>
        </w:tblCellMar>
      </w:tblPr>
      <w:tr>
        <w:trPr>
          <w:trHeight w:val="184"/>
        </w:trPr>
        <w:tc>
          <w:tcPr>
            <w:tcW w:w="238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Name and Address</w:t>
            </w:r>
          </w:p>
        </w:tc>
        <w:tc>
          <w:tcPr>
            <w:tcW w:w="226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Amount and Nature</w:t>
            </w:r>
          </w:p>
        </w:tc>
        <w:tc>
          <w:tcPr>
            <w:tcW w:w="106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Percent</w:t>
            </w:r>
          </w:p>
        </w:tc>
      </w:tr>
      <w:tr>
        <w:trPr>
          <w:trHeight w:val="221"/>
        </w:trPr>
        <w:tc>
          <w:tcPr>
            <w:tcW w:w="2380" w:type="dxa"/>
            <w:vAlign w:val="bottom"/>
            <w:shd w:val="clear" w:color="auto" w:fill="007CBA"/>
          </w:tcPr>
          <w:p>
            <w:pPr>
              <w:ind w:left="60"/>
              <w:spacing w:after="0"/>
              <w:rPr>
                <w:sz w:val="20"/>
                <w:szCs w:val="20"/>
                <w:color w:val="auto"/>
              </w:rPr>
            </w:pPr>
            <w:r>
              <w:rPr>
                <w:rFonts w:ascii="Arial" w:cs="Arial" w:eastAsia="Arial" w:hAnsi="Arial"/>
                <w:sz w:val="16"/>
                <w:szCs w:val="16"/>
                <w:b w:val="1"/>
                <w:bCs w:val="1"/>
                <w:color w:val="FFFFFF"/>
              </w:rPr>
              <w:t>of Beneficial Owner</w:t>
            </w:r>
          </w:p>
        </w:tc>
        <w:tc>
          <w:tcPr>
            <w:tcW w:w="226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of Beneficial Ownership</w:t>
            </w:r>
          </w:p>
        </w:tc>
        <w:tc>
          <w:tcPr>
            <w:tcW w:w="106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of Class</w:t>
            </w:r>
          </w:p>
        </w:tc>
      </w:tr>
      <w:tr>
        <w:trPr>
          <w:trHeight w:val="191"/>
        </w:trPr>
        <w:tc>
          <w:tcPr>
            <w:tcW w:w="2380" w:type="dxa"/>
            <w:vAlign w:val="bottom"/>
          </w:tcPr>
          <w:p>
            <w:pPr>
              <w:ind w:left="60"/>
              <w:spacing w:after="0" w:line="191" w:lineRule="exact"/>
              <w:rPr>
                <w:sz w:val="20"/>
                <w:szCs w:val="20"/>
                <w:color w:val="auto"/>
              </w:rPr>
            </w:pPr>
            <w:r>
              <w:rPr>
                <w:rFonts w:ascii="Arial" w:cs="Arial" w:eastAsia="Arial" w:hAnsi="Arial"/>
                <w:sz w:val="14"/>
                <w:szCs w:val="14"/>
                <w:color w:val="auto"/>
              </w:rPr>
              <w:t>The Vanguard Group</w:t>
            </w:r>
            <w:r>
              <w:rPr>
                <w:rFonts w:ascii="Arial" w:cs="Arial" w:eastAsia="Arial" w:hAnsi="Arial"/>
                <w:sz w:val="22"/>
                <w:szCs w:val="22"/>
                <w:color w:val="auto"/>
                <w:vertAlign w:val="superscript"/>
              </w:rPr>
              <w:t>1</w:t>
            </w: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color w:val="auto"/>
              </w:rPr>
              <w:t>100 Vanguard Boulevard V26</w:t>
            </w: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238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2260" w:type="dxa"/>
            <w:vAlign w:val="bottom"/>
          </w:tcPr>
          <w:p>
            <w:pPr>
              <w:jc w:val="center"/>
              <w:spacing w:after="0"/>
              <w:rPr>
                <w:sz w:val="20"/>
                <w:szCs w:val="20"/>
                <w:color w:val="auto"/>
              </w:rPr>
            </w:pPr>
            <w:r>
              <w:rPr>
                <w:rFonts w:ascii="Arial" w:cs="Arial" w:eastAsia="Arial" w:hAnsi="Arial"/>
                <w:sz w:val="16"/>
                <w:szCs w:val="16"/>
                <w:color w:val="auto"/>
              </w:rPr>
              <w:t>6,031,329</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9.5%</w:t>
            </w:r>
          </w:p>
        </w:tc>
      </w:tr>
      <w:tr>
        <w:trPr>
          <w:trHeight w:val="194"/>
        </w:trPr>
        <w:tc>
          <w:tcPr>
            <w:tcW w:w="2380" w:type="dxa"/>
            <w:vAlign w:val="bottom"/>
          </w:tcPr>
          <w:p>
            <w:pPr>
              <w:ind w:left="60"/>
              <w:spacing w:after="0" w:line="194" w:lineRule="exact"/>
              <w:rPr>
                <w:sz w:val="20"/>
                <w:szCs w:val="20"/>
                <w:color w:val="auto"/>
              </w:rPr>
            </w:pPr>
            <w:r>
              <w:rPr>
                <w:rFonts w:ascii="Arial" w:cs="Arial" w:eastAsia="Arial" w:hAnsi="Arial"/>
                <w:sz w:val="14"/>
                <w:szCs w:val="14"/>
                <w:color w:val="auto"/>
              </w:rPr>
              <w:t>BlackRock, Inc.</w:t>
            </w:r>
            <w:r>
              <w:rPr>
                <w:rFonts w:ascii="Arial" w:cs="Arial" w:eastAsia="Arial" w:hAnsi="Arial"/>
                <w:sz w:val="22"/>
                <w:szCs w:val="22"/>
                <w:color w:val="auto"/>
                <w:vertAlign w:val="superscript"/>
              </w:rPr>
              <w:t>2</w:t>
            </w: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238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2260" w:type="dxa"/>
            <w:vAlign w:val="bottom"/>
          </w:tcPr>
          <w:p>
            <w:pPr>
              <w:jc w:val="center"/>
              <w:spacing w:after="0"/>
              <w:rPr>
                <w:sz w:val="20"/>
                <w:szCs w:val="20"/>
                <w:color w:val="auto"/>
              </w:rPr>
            </w:pPr>
            <w:r>
              <w:rPr>
                <w:rFonts w:ascii="Arial" w:cs="Arial" w:eastAsia="Arial" w:hAnsi="Arial"/>
                <w:sz w:val="16"/>
                <w:szCs w:val="16"/>
                <w:color w:val="auto"/>
              </w:rPr>
              <w:t>3,690,187</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-734695</wp:posOffset>
            </wp:positionV>
            <wp:extent cx="3618865" cy="1115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1115060"/>
                    </a:xfrm>
                    <a:prstGeom prst="rect">
                      <a:avLst/>
                    </a:prstGeom>
                    <a:noFill/>
                  </pic:spPr>
                </pic:pic>
              </a:graphicData>
            </a:graphic>
          </wp:anchor>
        </w:drawing>
      </w:r>
    </w:p>
    <w:p>
      <w:pPr>
        <w:ind w:left="2940" w:right="6220" w:hanging="4"/>
        <w:spacing w:after="0" w:line="185" w:lineRule="auto"/>
        <w:tabs>
          <w:tab w:leader="none" w:pos="31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Rowe Price Associates, Inc.</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100 East Pratt St.</w:t>
      </w:r>
    </w:p>
    <w:p>
      <w:pPr>
        <w:spacing w:after="0" w:line="2" w:lineRule="exact"/>
        <w:rPr>
          <w:sz w:val="20"/>
          <w:szCs w:val="20"/>
          <w:color w:val="auto"/>
        </w:rPr>
      </w:pPr>
    </w:p>
    <w:tbl>
      <w:tblPr>
        <w:tblLayout w:type="fixed"/>
        <w:tblInd w:w="2940" w:type="dxa"/>
        <w:tblCellMar>
          <w:top w:w="0" w:type="dxa"/>
          <w:left w:w="0" w:type="dxa"/>
          <w:bottom w:w="0" w:type="dxa"/>
          <w:right w:w="0" w:type="dxa"/>
        </w:tblCellMar>
      </w:tblPr>
      <w:tr>
        <w:trPr>
          <w:trHeight w:val="208"/>
        </w:trPr>
        <w:tc>
          <w:tcPr>
            <w:tcW w:w="2520" w:type="dxa"/>
            <w:vAlign w:val="bottom"/>
          </w:tcPr>
          <w:p>
            <w:pPr>
              <w:spacing w:after="0"/>
              <w:rPr>
                <w:sz w:val="20"/>
                <w:szCs w:val="20"/>
                <w:color w:val="auto"/>
              </w:rPr>
            </w:pPr>
            <w:r>
              <w:rPr>
                <w:rFonts w:ascii="Arial" w:cs="Arial" w:eastAsia="Arial" w:hAnsi="Arial"/>
                <w:sz w:val="16"/>
                <w:szCs w:val="16"/>
                <w:color w:val="auto"/>
              </w:rPr>
              <w:t>Baltimore, MD 21202-1009</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3,628,096</w:t>
            </w: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r>
    </w:tbl>
    <w:p>
      <w:pPr>
        <w:spacing w:after="0" w:line="78" w:lineRule="exact"/>
        <w:rPr>
          <w:sz w:val="20"/>
          <w:szCs w:val="20"/>
          <w:color w:val="auto"/>
        </w:rPr>
      </w:pPr>
    </w:p>
    <w:p>
      <w:pPr>
        <w:ind w:left="120" w:hanging="112"/>
        <w:spacing w:after="0" w:line="183" w:lineRule="auto"/>
        <w:tabs>
          <w:tab w:leader="none" w:pos="12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2016 filed with the Securities and Exchange Commission on February 10, 2017, indicating sole power to vote 96,957 shares, shared power to vote 10,329 shares, sole power to dispose of 5,925,589 shares, and shared power to dispose of 105,740 shares.</w:t>
      </w:r>
    </w:p>
    <w:p>
      <w:pPr>
        <w:spacing w:after="0" w:line="58" w:lineRule="exact"/>
        <w:rPr>
          <w:sz w:val="20"/>
          <w:szCs w:val="20"/>
          <w:color w:val="auto"/>
        </w:rPr>
      </w:pPr>
    </w:p>
    <w:p>
      <w:pPr>
        <w:ind w:left="120" w:hanging="112"/>
        <w:spacing w:after="0" w:line="183" w:lineRule="auto"/>
        <w:tabs>
          <w:tab w:leader="none" w:pos="12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2016 filed with the Securities and Exchange Commission on January 25, 2017, indicating sole power to vote 3,161,955 shares and sole power to dispose of 3,690,187 shares.</w:t>
      </w:r>
    </w:p>
    <w:p>
      <w:pPr>
        <w:spacing w:after="0" w:line="58" w:lineRule="exact"/>
        <w:rPr>
          <w:sz w:val="20"/>
          <w:szCs w:val="20"/>
          <w:color w:val="auto"/>
        </w:rPr>
      </w:pPr>
    </w:p>
    <w:p>
      <w:pPr>
        <w:ind w:left="120" w:right="20" w:hanging="112"/>
        <w:spacing w:after="0" w:line="183" w:lineRule="auto"/>
        <w:tabs>
          <w:tab w:leader="none" w:pos="120"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As reported in Schedule 13G/A reporting beneficial ownership as of December 31, 2016 filed with the Securities and Exchange Commission on February 7, 2017, indicating sole power to vote 1,177,200 shares and sole power to dispose of 3,628,096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85725</wp:posOffset>
            </wp:positionV>
            <wp:extent cx="411480" cy="248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Corporate Governance Matters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Corporate Governance Philosophy</w:t>
      </w:r>
    </w:p>
    <w:p>
      <w:pPr>
        <w:spacing w:after="0" w:line="3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Martin Marietta has a culture dedicated to ethical business behavior and responsible corporate activity, which we believe promotes the long-term interests of shareholders. This commitment is reflected in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Guidelines</w:t>
      </w:r>
      <w:r>
        <w:rPr>
          <w:rFonts w:ascii="Arial" w:cs="Arial" w:eastAsia="Arial" w:hAnsi="Arial"/>
          <w:sz w:val="16"/>
          <w:szCs w:val="16"/>
          <w:color w:val="auto"/>
        </w:rPr>
        <w:t>, posted and available for public viewing on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which set forth a flexible framework within which the Board, assisted by its Committees, directs the affairs of Martin Marietta. The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address, among other things, the composition and functions of the Board of Directors, director qualifications and independence, Chief Executive Officer performance evaluation and management succession, Board Committees and the selection of new Directors.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has been in place since the 1980s, and applies to all Board members, officers, and employees, providing our policies and expectations on a number of topics, including our commitment to good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 xml:space="preserve">citizenship, promoting a positive and safe work environment, avoiding conflicts of interest, honoring the confidentiality of sensitive information, preservation and use of Company assets, compliance with all laws, and operating with integrity in all that we do. To implement the </w:t>
      </w:r>
      <w:r>
        <w:rPr>
          <w:rFonts w:ascii="Arial" w:cs="Arial" w:eastAsia="Arial" w:hAnsi="Arial"/>
          <w:sz w:val="16"/>
          <w:szCs w:val="16"/>
          <w:i w:val="1"/>
          <w:iCs w:val="1"/>
          <w:color w:val="auto"/>
        </w:rPr>
        <w:t>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Conduct</w:t>
      </w:r>
      <w:r>
        <w:rPr>
          <w:rFonts w:ascii="Arial" w:cs="Arial" w:eastAsia="Arial" w:hAnsi="Arial"/>
          <w:sz w:val="16"/>
          <w:szCs w:val="16"/>
          <w:color w:val="auto"/>
        </w:rPr>
        <w:t>, Board members, officers, and employees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regularly in ethics training. There have been no waivers from any provisions of our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to any Board member or executive officer.</w:t>
      </w:r>
    </w:p>
    <w:p>
      <w:pPr>
        <w:spacing w:after="0" w:line="181"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In addition, the Board believes that accountability to shareholders is a mark of good governance and critical to Martin Marietta’s success. To that end, management regularly engages with shareholders on a variety of topics throughout the year to ensure we are addressing their questions and concerns, to seek input and to provide perspective on Company policies and practices.</w:t>
      </w:r>
    </w:p>
    <w:p>
      <w:pPr>
        <w:spacing w:after="0" w:line="39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provides a snapshot of Martin Marietta’s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156210</wp:posOffset>
            </wp:positionV>
            <wp:extent cx="4056380" cy="4399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5638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bl>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Corporate Governance Philosophy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are Martin Marietta’s Independent Directors?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of Martin Marietta’s Directors are non-employee Directors except Mr. Nye. Mr. Nye does not sit in the executive sessions of the independent Directors unless invited to attend for a specific discussion nor does he participate in any action of the Board relating to any executive compensation which he may receive.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In assessing the independence of its members, the Board has adopted for Martin Marietta a set of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The Guidelines are posted and available for public viewing on Martin 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These Guidelines reflect the rules of the New York Stock Exchange, applicable requirements of the SEC, and other standards determined by the Board to be important in assessing the independence of Board members. The Board has determined that all members of the Board, except Mr. Nye and Mr. Zelnak, are “independent” under these Guidelines, resulting in more than two-thirds of the Board being independent. The Board of Directors has determined that no Director (except Mr. Nye and Mr. Zelnak), or any person or organization with which the Director has any affiliation, has a relationship with Martin Marietta that may interfere with his or her independence from Martin Marietta and its management. In making this “independence” determination, the Board considered other entities with which the Directors were affiliated and any business Martin Marietta had done with such entities.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Do the independent Directors ever meet without management?</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Martin Marietta’s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adopted by the Board provide that at least two Board meetings each year will include an executive session of the non-employee Directors to discuss such topics as they may choose, including a discussion of the performance of Martin Marietta’s Chairman and Chief Executive Officer. In 2016, Martin Marietta’s non-employee Directors met at each regularly scheduled Board meeting, consisting of four times in executive session without management, in addition to executive sessions held by committees of the Board. In addition, at least once a year the independent Directors meet in executive session.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is the Board’s leadership structure?</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provide that the Board’s policy as to whether the Chairman and CEO positions should be separate is to adopt the practice that best serves the Company’s needs at any particular time. The Nominating and Governance Committee and the Board discussed board leadership alternatives in connection with combining the Chairman and CEO roles.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believes that, at the present time, the Company is best served by allocating governance responsibilities between a combined Chairman and CEO and a Lead Independent Director with robust responsibilities. This structure allows the Company</w:t>
      </w:r>
    </w:p>
    <w:p>
      <w:pPr>
        <w:spacing w:after="0" w:line="200" w:lineRule="exact"/>
        <w:rPr>
          <w:sz w:val="20"/>
          <w:szCs w:val="20"/>
          <w:color w:val="auto"/>
        </w:rPr>
      </w:pPr>
    </w:p>
    <w:p>
      <w:pPr>
        <w:spacing w:after="0" w:line="35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present a single face to our constituencies through the combined Chairman and CEO position while at the same time providing an active role and voice for the independent directors through the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-1501140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FFFFFF"/>
        </w:rPr>
        <w:t>REASONS FOR COMBINED 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481705" cy="3009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1705" cy="3009900"/>
                    </a:xfrm>
                    <a:prstGeom prst="rect">
                      <a:avLst/>
                    </a:prstGeom>
                    <a:noFill/>
                  </pic:spPr>
                </pic:pic>
              </a:graphicData>
            </a:graphic>
          </wp:anchor>
        </w:drawing>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007CBA"/>
        </w:rPr>
        <w:t>Key highlights:</w:t>
      </w:r>
    </w:p>
    <w:p>
      <w:pPr>
        <w:spacing w:after="0" w:line="86" w:lineRule="exact"/>
        <w:rPr>
          <w:sz w:val="20"/>
          <w:szCs w:val="20"/>
          <w:color w:val="auto"/>
        </w:rPr>
      </w:pPr>
    </w:p>
    <w:p>
      <w:pPr>
        <w:jc w:val="both"/>
        <w:ind w:left="500" w:right="60" w:hanging="250"/>
        <w:spacing w:after="0" w:line="253" w:lineRule="auto"/>
        <w:tabs>
          <w:tab w:leader="none" w:pos="491"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The independent Board members believe that Mr. Nye has extensive experience in all facets of the construction materials industry, in both the U.S. and with global competitors.</w:t>
      </w:r>
    </w:p>
    <w:p>
      <w:pPr>
        <w:spacing w:after="0" w:line="52" w:lineRule="exact"/>
        <w:rPr>
          <w:rFonts w:ascii="Arial" w:cs="Arial" w:eastAsia="Arial" w:hAnsi="Arial"/>
          <w:sz w:val="16"/>
          <w:szCs w:val="16"/>
          <w:color w:val="007CBA"/>
        </w:rPr>
      </w:pPr>
    </w:p>
    <w:p>
      <w:pPr>
        <w:ind w:left="500" w:right="80" w:hanging="250"/>
        <w:spacing w:after="0" w:line="253" w:lineRule="auto"/>
        <w:tabs>
          <w:tab w:leader="none" w:pos="494"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Mr. Nye has been effective in creating shareholder value through strategic acquisitions and divestitures, with achievement of expected synergies.</w:t>
      </w:r>
    </w:p>
    <w:p>
      <w:pPr>
        <w:spacing w:after="0" w:line="52" w:lineRule="exact"/>
        <w:rPr>
          <w:rFonts w:ascii="Arial" w:cs="Arial" w:eastAsia="Arial" w:hAnsi="Arial"/>
          <w:sz w:val="16"/>
          <w:szCs w:val="16"/>
          <w:color w:val="007CBA"/>
        </w:rPr>
      </w:pPr>
    </w:p>
    <w:p>
      <w:pPr>
        <w:ind w:left="500" w:right="180" w:hanging="250"/>
        <w:spacing w:after="0" w:line="253" w:lineRule="auto"/>
        <w:tabs>
          <w:tab w:leader="none" w:pos="494"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Mr. Nye has in-depth knowledge of safety, environmental, and regulatory considerations that impact the business and oversight of management.</w:t>
      </w:r>
    </w:p>
    <w:p>
      <w:pPr>
        <w:spacing w:after="0" w:line="52" w:lineRule="exact"/>
        <w:rPr>
          <w:rFonts w:ascii="Arial" w:cs="Arial" w:eastAsia="Arial" w:hAnsi="Arial"/>
          <w:sz w:val="16"/>
          <w:szCs w:val="16"/>
          <w:color w:val="007CBA"/>
        </w:rPr>
      </w:pPr>
    </w:p>
    <w:p>
      <w:pPr>
        <w:ind w:left="500" w:right="240" w:hanging="250"/>
        <w:spacing w:after="0" w:line="250" w:lineRule="auto"/>
        <w:tabs>
          <w:tab w:leader="none" w:pos="494"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Mr. Nye has demonstrated his leadership and vision to guide the Board in its oversight of management with the development of two five-year strategic plans, with the current Strategic Operating Analysis and Review (SOAR 2020) discussed with the Board in August 2015.</w:t>
      </w:r>
    </w:p>
    <w:p>
      <w:pPr>
        <w:spacing w:after="0" w:line="54" w:lineRule="exact"/>
        <w:rPr>
          <w:rFonts w:ascii="Arial" w:cs="Arial" w:eastAsia="Arial" w:hAnsi="Arial"/>
          <w:sz w:val="16"/>
          <w:szCs w:val="16"/>
          <w:color w:val="007CBA"/>
        </w:rPr>
      </w:pPr>
    </w:p>
    <w:p>
      <w:pPr>
        <w:ind w:left="500" w:right="160" w:hanging="250"/>
        <w:spacing w:after="0" w:line="253" w:lineRule="auto"/>
        <w:tabs>
          <w:tab w:leader="none" w:pos="494"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Mr. Nye has engaged in an active investor relations program, including the Company’s Investor Day in 2016, and leads the Board in understanding the perspective of the Company’s shareholders.</w:t>
      </w:r>
    </w:p>
    <w:p>
      <w:pPr>
        <w:spacing w:after="0" w:line="52" w:lineRule="exact"/>
        <w:rPr>
          <w:rFonts w:ascii="Arial" w:cs="Arial" w:eastAsia="Arial" w:hAnsi="Arial"/>
          <w:sz w:val="16"/>
          <w:szCs w:val="16"/>
          <w:color w:val="007CBA"/>
        </w:rPr>
      </w:pPr>
    </w:p>
    <w:p>
      <w:pPr>
        <w:ind w:left="500" w:right="140" w:hanging="250"/>
        <w:spacing w:after="0" w:line="253" w:lineRule="auto"/>
        <w:tabs>
          <w:tab w:leader="none" w:pos="494" w:val="left"/>
        </w:tabs>
        <w:numPr>
          <w:ilvl w:val="0"/>
          <w:numId w:val="44"/>
        </w:numPr>
        <w:rPr>
          <w:rFonts w:ascii="Arial" w:cs="Arial" w:eastAsia="Arial" w:hAnsi="Arial"/>
          <w:sz w:val="16"/>
          <w:szCs w:val="16"/>
          <w:color w:val="007CBA"/>
        </w:rPr>
      </w:pPr>
      <w:r>
        <w:rPr>
          <w:rFonts w:ascii="Arial" w:cs="Arial" w:eastAsia="Arial" w:hAnsi="Arial"/>
          <w:sz w:val="16"/>
          <w:szCs w:val="16"/>
          <w:color w:val="auto"/>
        </w:rPr>
        <w:t>Strong independent directors comprise 80% of the Board, and open communications exist between Mr. Nye and the independent directors.</w:t>
      </w:r>
    </w:p>
    <w:p>
      <w:pPr>
        <w:spacing w:after="0" w:line="32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result of Mr. Nye’s long tenure at Martin Marietta and strong performance as a leader since his election as CEO,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CEO is appropriate taking into consideration the size and nature of our business, Mr. Nye’s effective and careful formulation and execution of our strategic plan, his established working relationship and open communication with our other Directors, both during meetings and in the intervals between meetings, the significant board-level experience of our independent Directors as a whole, the strong independent leadership and accountability to shareholders provided by 80%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175895</wp:posOffset>
            </wp:positionV>
            <wp:extent cx="411480" cy="248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8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Corporate Governance Philosophy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ectPr>
          <w:pgSz w:w="11900" w:h="16838" w:orient="portrait"/>
          <w:cols w:equalWidth="0" w:num="1">
            <w:col w:w="11420"/>
          </w:cols>
          <w:pgMar w:left="240" w:top="459" w:right="23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Does the Board have a Lead Independent Director?</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In deciding that a combined Chairman and Chief Executive Officer position is the appropriate leadership structure for the Company at this time, the Nominating and Corporate Governance Committee and Board also recognized the benefit of independent leadership to enhance the effectiveness of the Board’s oversight role and communications between the Board and Mr. Nye. Accordingly, in November 2014, our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Guidelines </w:t>
      </w:r>
      <w:r>
        <w:rPr>
          <w:rFonts w:ascii="Arial" w:cs="Arial" w:eastAsia="Arial" w:hAnsi="Arial"/>
          <w:sz w:val="16"/>
          <w:szCs w:val="16"/>
          <w:color w:val="auto"/>
        </w:rPr>
        <w:t>were revised to provide that in the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positions are held by one person, our independent Directors may designate a Lead Independent Director from among the independent Directors. The designation of the Lead Independent Director is to be made annually, although with the expectation of the Board that the Lead Independent Director will be re-appointed for multiple, consecutive one-year terms. Michael J. Quillen currently serves as the Lead Independent Director.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Lead Independent Director include:</w:t>
      </w:r>
    </w:p>
    <w:p>
      <w:pPr>
        <w:spacing w:after="0" w:line="127" w:lineRule="exact"/>
        <w:rPr>
          <w:sz w:val="20"/>
          <w:szCs w:val="20"/>
          <w:color w:val="auto"/>
        </w:rPr>
      </w:pPr>
    </w:p>
    <w:p>
      <w:pPr>
        <w:ind w:left="380" w:hanging="291"/>
        <w:spacing w:after="0"/>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Presiding at Board meetings when the Chairman is not present.</w:t>
      </w:r>
    </w:p>
    <w:p>
      <w:pPr>
        <w:spacing w:after="0" w:line="126" w:lineRule="exact"/>
        <w:rPr>
          <w:rFonts w:ascii="Arial" w:cs="Arial" w:eastAsia="Arial" w:hAnsi="Arial"/>
          <w:sz w:val="16"/>
          <w:szCs w:val="16"/>
          <w:color w:val="007CBA"/>
        </w:rPr>
      </w:pPr>
    </w:p>
    <w:p>
      <w:pPr>
        <w:jc w:val="both"/>
        <w:ind w:left="380" w:hanging="291"/>
        <w:spacing w:after="0" w:line="250" w:lineRule="auto"/>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Presiding at executive sessions of the non-management Directors and the independent Directors, with or without the attendance of the Chairman, and meeting separately with the Chairman after executive sessions to review the matters discussed during the executive sessions.</w:t>
      </w:r>
    </w:p>
    <w:p>
      <w:pPr>
        <w:spacing w:after="0" w:line="300"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Acting as a liaison between the Chairman and the independent Directors.</w:t>
      </w:r>
    </w:p>
    <w:p>
      <w:pPr>
        <w:spacing w:after="0" w:line="101" w:lineRule="exact"/>
        <w:rPr>
          <w:rFonts w:ascii="Arial" w:cs="Arial" w:eastAsia="Arial" w:hAnsi="Arial"/>
          <w:sz w:val="16"/>
          <w:szCs w:val="16"/>
          <w:color w:val="007CBA"/>
        </w:rPr>
      </w:pPr>
    </w:p>
    <w:p>
      <w:pPr>
        <w:ind w:left="380" w:right="20" w:hanging="291"/>
        <w:spacing w:after="0" w:line="260" w:lineRule="auto"/>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Suggesting to the Chairman agenda items for Board meetings and consulting with the Chairman regarding Board meeting schedules.</w:t>
      </w:r>
    </w:p>
    <w:p>
      <w:pPr>
        <w:spacing w:after="0" w:line="101"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Calling, where necessary, meetings of independent Directors and executive sessions.</w:t>
      </w:r>
    </w:p>
    <w:p>
      <w:pPr>
        <w:spacing w:after="0" w:line="101" w:lineRule="exact"/>
        <w:rPr>
          <w:rFonts w:ascii="Arial" w:cs="Arial" w:eastAsia="Arial" w:hAnsi="Arial"/>
          <w:sz w:val="16"/>
          <w:szCs w:val="16"/>
          <w:color w:val="007CBA"/>
        </w:rPr>
      </w:pPr>
    </w:p>
    <w:p>
      <w:pPr>
        <w:ind w:left="380" w:hanging="291"/>
        <w:spacing w:after="0"/>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Being available to meet with shareholders and other key constituents.</w:t>
      </w:r>
    </w:p>
    <w:p>
      <w:pPr>
        <w:spacing w:after="0" w:line="126" w:lineRule="exact"/>
        <w:rPr>
          <w:rFonts w:ascii="Arial" w:cs="Arial" w:eastAsia="Arial" w:hAnsi="Arial"/>
          <w:sz w:val="16"/>
          <w:szCs w:val="16"/>
          <w:color w:val="007CBA"/>
        </w:rPr>
      </w:pPr>
    </w:p>
    <w:p>
      <w:pPr>
        <w:ind w:left="380" w:hanging="291"/>
        <w:spacing w:after="0"/>
        <w:tabs>
          <w:tab w:leader="none" w:pos="380" w:val="left"/>
        </w:tabs>
        <w:numPr>
          <w:ilvl w:val="0"/>
          <w:numId w:val="45"/>
        </w:numPr>
        <w:rPr>
          <w:rFonts w:ascii="Arial" w:cs="Arial" w:eastAsia="Arial" w:hAnsi="Arial"/>
          <w:sz w:val="16"/>
          <w:szCs w:val="16"/>
          <w:color w:val="007CBA"/>
        </w:rPr>
      </w:pPr>
      <w:r>
        <w:rPr>
          <w:rFonts w:ascii="Arial" w:cs="Arial" w:eastAsia="Arial" w:hAnsi="Arial"/>
          <w:sz w:val="16"/>
          <w:szCs w:val="16"/>
          <w:color w:val="auto"/>
        </w:rPr>
        <w:t>Acting as a resource for, and counsel to, the Chairman.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the Lead Independent Director attended and met with shareholders at the Company-sponsored Investor Days in 2015 and 2016.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is the Board’s role in risk oversight?</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currently has eight independent members and only two non-independent members, Mr. Nye and Mr. Zelnak.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key committees of Audit, Management Development and Compensation, and Nominating and Corporate Governance Committees, are comprised solely of independent Directors, each with a different independent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Director serving as Chair of the Committee (other than the Executive Committee, which does not meet on a regular basis).</w:t>
      </w:r>
    </w:p>
    <w:p>
      <w:pPr>
        <w:spacing w:after="0" w:line="169"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 (1) timely identify the material risks that Martin Marietta faces, (2) communicate necessary information with respect to material risks to senior executives and, as appropriate, to the Board or relevant Board Committee,</w:t>
      </w:r>
    </w:p>
    <w:p>
      <w:pPr>
        <w:spacing w:after="0" w:line="2" w:lineRule="exact"/>
        <w:rPr>
          <w:sz w:val="20"/>
          <w:szCs w:val="20"/>
          <w:color w:val="auto"/>
        </w:rPr>
      </w:pPr>
    </w:p>
    <w:p>
      <w:pPr>
        <w:jc w:val="both"/>
        <w:ind w:right="120" w:firstLine="8"/>
        <w:spacing w:after="0" w:line="246" w:lineRule="auto"/>
        <w:tabs>
          <w:tab w:leader="none" w:pos="3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determine whether the risk is excessive or appropriate under the circumstances and designed to achieve a legitimate corporate goal,</w:t>
      </w:r>
    </w:p>
    <w:p>
      <w:pPr>
        <w:jc w:val="both"/>
        <w:ind w:right="120" w:firstLine="8"/>
        <w:spacing w:after="0" w:line="253" w:lineRule="auto"/>
        <w:tabs>
          <w:tab w:leader="none" w:pos="25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implement risk management responses consistent with Martin Marietta’s risk profile, and (5) integrate risk management into Martin Marietta’s decision-making.</w:t>
      </w:r>
    </w:p>
    <w:p>
      <w:pPr>
        <w:spacing w:after="0" w:line="161"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regularly reviews with management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166"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That Committee’s assessment of the design features of our executive compensation program that reduce the risk of excessive risk-taking are discussed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on page 28.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184"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While the Board oversees Martin Marietta’s risk management, the executive officers are responsible for the day-to-day risk management processes. We believe this division of responsibilities is the most effective approach for addressing the risks facing our Company and is appropriate whether the positions of Chairman and Chief Executive Officer are separate or held by the same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438150</wp:posOffset>
            </wp:positionV>
            <wp:extent cx="411480" cy="248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62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bl>
    <w:p>
      <w:pPr>
        <w:sectPr>
          <w:pgSz w:w="11900" w:h="16838" w:orient="portrait"/>
          <w:cols w:equalWidth="0" w:num="2">
            <w:col w:w="5480" w:space="340"/>
            <w:col w:w="560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Corporate Governance Philosophy</w:t>
      </w:r>
    </w:p>
    <w:p>
      <w:pPr>
        <w:spacing w:after="0" w:line="258"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b w:val="1"/>
          <w:bCs w:val="1"/>
          <w:i w:val="1"/>
          <w:iCs w:val="1"/>
          <w:color w:val="007CBA"/>
        </w:rPr>
        <w:t>How would interested parties make their concerns known to the independent Directors?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Lead Independent Director, by writing to Martin Marietta, Attn: Corporate Secretary, 2710 Wycliff Road, Raleigh, North Carolina 27607-3033.</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Martin Marietta and its Board of Directors will continue to review and evaluate the process by which shareholders or other</w:t>
      </w:r>
    </w:p>
    <w:p>
      <w:pPr>
        <w:spacing w:after="0" w:line="30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interested persons communicate with Martin Marietta and the Board and may adopt other or further processes and procedures in this regard. If so, Martin Marietta will identify those policies and procedures on our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-1346835</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often did the Board meet during 2016?</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Martin Marietta’s Board of Directors held four meetings during 2016, all of which were regularly scheduled meetings. There were also a total of 25 committee meetings in 2016. In addition, management confers frequently with its Directors on an informal basis to discuss Company affairs.</w:t>
      </w:r>
    </w:p>
    <w:p>
      <w:pPr>
        <w:spacing w:after="0" w:line="14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b w:val="1"/>
          <w:bCs w:val="1"/>
          <w:i w:val="1"/>
          <w:iCs w:val="1"/>
          <w:color w:val="007CBA"/>
        </w:rPr>
        <w:t>How many times did Directors attend meetings of the Board and its Committees?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2016, all Directors attended 100% of the meetings of the Board of Directors. All Directors attended 100% of the meetings of the committees of the Board on which they served (during the periods that they served).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Will the Directors attend the Annual Meeting?</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Martin Marietta’s Directors are expected to attend Martin Marietta’s Annual Meeting of Shareholders. In 2016, all Directors attended the Annual Meeting in May other than Mr. Koraleski, who joined the Board of Directors in August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401955</wp:posOffset>
            </wp:positionV>
            <wp:extent cx="411480"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8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Committees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Board Committees</w:t>
      </w:r>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 Each committee has a written charter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that describes its purposes, membership, meeting structure, authority and responsibilities. These charters are reviewed by the respective committee on an annual basis with any recommended changes adopted upon approval by our Board. The charters of our six standing committees are posted on our website.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current committee structure and membership information.</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center"/>
              <w:ind w:left="165"/>
              <w:spacing w:after="0"/>
              <w:rPr>
                <w:sz w:val="20"/>
                <w:szCs w:val="20"/>
                <w:color w:val="auto"/>
              </w:rPr>
            </w:pPr>
            <w:r>
              <w:rPr>
                <w:rFonts w:ascii="Arial" w:cs="Arial" w:eastAsia="Arial" w:hAnsi="Arial"/>
                <w:sz w:val="14"/>
                <w:szCs w:val="14"/>
                <w:b w:val="1"/>
                <w:bCs w:val="1"/>
                <w:color w:val="FFFFFF"/>
              </w:rPr>
              <w:t>Ethics,</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center"/>
              <w:ind w:left="165"/>
              <w:spacing w:after="0"/>
              <w:rPr>
                <w:sz w:val="20"/>
                <w:szCs w:val="20"/>
                <w:color w:val="auto"/>
              </w:rPr>
            </w:pPr>
            <w:r>
              <w:rPr>
                <w:rFonts w:ascii="Arial" w:cs="Arial" w:eastAsia="Arial" w:hAnsi="Arial"/>
                <w:sz w:val="14"/>
                <w:szCs w:val="14"/>
                <w:b w:val="1"/>
                <w:bCs w:val="1"/>
                <w:color w:val="FFFFFF"/>
              </w:rPr>
              <w:t>Environment,</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Audit</w:t>
            </w:r>
          </w:p>
        </w:tc>
        <w:tc>
          <w:tcPr>
            <w:tcW w:w="1440" w:type="dxa"/>
            <w:vAlign w:val="bottom"/>
          </w:tcPr>
          <w:p>
            <w:pPr>
              <w:jc w:val="center"/>
              <w:ind w:left="165"/>
              <w:spacing w:after="0"/>
              <w:rPr>
                <w:sz w:val="20"/>
                <w:szCs w:val="20"/>
                <w:color w:val="auto"/>
              </w:rPr>
            </w:pPr>
            <w:r>
              <w:rPr>
                <w:rFonts w:ascii="Arial" w:cs="Arial" w:eastAsia="Arial" w:hAnsi="Arial"/>
                <w:sz w:val="14"/>
                <w:szCs w:val="14"/>
                <w:b w:val="1"/>
                <w:bCs w:val="1"/>
                <w:color w:val="FFFFFF"/>
              </w:rPr>
              <w:t>Safety and Health</w:t>
            </w:r>
          </w:p>
        </w:tc>
        <w:tc>
          <w:tcPr>
            <w:tcW w:w="0" w:type="dxa"/>
            <w:vAlign w:val="bottom"/>
          </w:tcPr>
          <w:p>
            <w:pPr>
              <w:spacing w:after="0"/>
              <w:rPr>
                <w:sz w:val="1"/>
                <w:szCs w:val="1"/>
                <w:color w:val="auto"/>
              </w:rPr>
            </w:pPr>
          </w:p>
        </w:tc>
      </w:tr>
      <w:tr>
        <w:trPr>
          <w:trHeight w:val="189"/>
        </w:trPr>
        <w:tc>
          <w:tcPr>
            <w:tcW w:w="3300" w:type="dxa"/>
            <w:vAlign w:val="bottom"/>
          </w:tcPr>
          <w:p>
            <w:pPr>
              <w:ind w:left="1320"/>
              <w:spacing w:after="0"/>
              <w:rPr>
                <w:sz w:val="20"/>
                <w:szCs w:val="20"/>
                <w:color w:val="auto"/>
              </w:rPr>
            </w:pPr>
            <w:r>
              <w:rPr>
                <w:rFonts w:ascii="Arial" w:cs="Arial" w:eastAsia="Arial" w:hAnsi="Arial"/>
                <w:sz w:val="14"/>
                <w:szCs w:val="14"/>
                <w:b w:val="1"/>
                <w:bCs w:val="1"/>
                <w:color w:val="FFFFFF"/>
              </w:rPr>
              <w:t>Director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Committee</w:t>
            </w:r>
          </w:p>
        </w:tc>
        <w:tc>
          <w:tcPr>
            <w:tcW w:w="1440" w:type="dxa"/>
            <w:vAlign w:val="bottom"/>
          </w:tcPr>
          <w:p>
            <w:pPr>
              <w:jc w:val="center"/>
              <w:ind w:left="145"/>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191"/>
        </w:trPr>
        <w:tc>
          <w:tcPr>
            <w:tcW w:w="330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Sue W. Cole</w:t>
            </w:r>
          </w:p>
        </w:tc>
        <w:tc>
          <w:tcPr>
            <w:tcW w:w="1140" w:type="dxa"/>
            <w:vAlign w:val="bottom"/>
            <w:tcBorders>
              <w:right w:val="single" w:sz="8" w:color="007CBA"/>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Borders>
              <w:right w:val="single" w:sz="8" w:color="007CBA"/>
            </w:tcBorders>
          </w:tcPr>
          <w:p>
            <w:pPr>
              <w:spacing w:after="0" w:line="169" w:lineRule="exact"/>
              <w:rPr>
                <w:sz w:val="20"/>
                <w:szCs w:val="20"/>
                <w:color w:val="auto"/>
              </w:rPr>
            </w:pPr>
            <w:r>
              <w:rPr>
                <w:rFonts w:ascii="Arial" w:cs="Arial" w:eastAsia="Arial" w:hAnsi="Arial"/>
                <w:sz w:val="16"/>
                <w:szCs w:val="16"/>
                <w:color w:val="auto"/>
              </w:rPr>
              <w:t>David G. Maffucci</w:t>
            </w:r>
          </w:p>
        </w:tc>
        <w:tc>
          <w:tcPr>
            <w:tcW w:w="114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color w:val="auto"/>
                <w:w w:val="99"/>
              </w:rPr>
              <w:t>Chair</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tcBorders>
              <w:right w:val="single" w:sz="8" w:color="007CBA"/>
            </w:tcBorders>
            <w:vMerge w:val="restart"/>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300" w:type="dxa"/>
            <w:vAlign w:val="bottom"/>
            <w:tcBorders>
              <w:right w:val="single" w:sz="8" w:color="007CBA"/>
            </w:tcBorders>
            <w:vMerge w:val="continue"/>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300" w:type="dxa"/>
            <w:vAlign w:val="bottom"/>
            <w:tcBorders>
              <w:right w:val="single" w:sz="8" w:color="007CBA"/>
            </w:tcBorders>
          </w:tcPr>
          <w:p>
            <w:pPr>
              <w:spacing w:after="0" w:line="174" w:lineRule="exact"/>
              <w:rPr>
                <w:sz w:val="20"/>
                <w:szCs w:val="20"/>
                <w:color w:val="auto"/>
              </w:rPr>
            </w:pPr>
            <w:r>
              <w:rPr>
                <w:rFonts w:ascii="Arial" w:cs="Arial" w:eastAsia="Arial" w:hAnsi="Arial"/>
                <w:sz w:val="16"/>
                <w:szCs w:val="16"/>
                <w:color w:val="auto"/>
              </w:rPr>
              <w:t>John J. Koraleski</w:t>
            </w:r>
          </w:p>
        </w:tc>
        <w:tc>
          <w:tcPr>
            <w:tcW w:w="1140" w:type="dxa"/>
            <w:vAlign w:val="bottom"/>
            <w:tcBorders>
              <w:right w:val="single" w:sz="8" w:color="007CBA"/>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30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0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William E. McDonald</w:t>
            </w:r>
          </w:p>
        </w:tc>
        <w:tc>
          <w:tcPr>
            <w:tcW w:w="1140" w:type="dxa"/>
            <w:vAlign w:val="bottom"/>
            <w:tcBorders>
              <w:right w:val="single" w:sz="8" w:color="007CBA"/>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C. Howard Nye</w:t>
            </w:r>
          </w:p>
        </w:tc>
        <w:tc>
          <w:tcPr>
            <w:tcW w:w="1140" w:type="dxa"/>
            <w:vAlign w:val="bottom"/>
            <w:tcBorders>
              <w:right w:val="single" w:sz="8" w:color="007CBA"/>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Borders>
              <w:right w:val="single" w:sz="8" w:color="007CBA"/>
            </w:tcBorders>
          </w:tcPr>
          <w:p>
            <w:pPr>
              <w:spacing w:after="0" w:line="169" w:lineRule="exact"/>
              <w:rPr>
                <w:sz w:val="20"/>
                <w:szCs w:val="20"/>
                <w:color w:val="auto"/>
              </w:rPr>
            </w:pPr>
            <w:r>
              <w:rPr>
                <w:rFonts w:ascii="Arial" w:cs="Arial" w:eastAsia="Arial" w:hAnsi="Arial"/>
                <w:sz w:val="16"/>
                <w:szCs w:val="16"/>
                <w:color w:val="auto"/>
              </w:rPr>
              <w:t>Laree E. Perez</w:t>
            </w:r>
          </w:p>
        </w:tc>
        <w:tc>
          <w:tcPr>
            <w:tcW w:w="1140" w:type="dxa"/>
            <w:vAlign w:val="bottom"/>
            <w:tcBorders>
              <w:right w:val="single" w:sz="8" w:color="007CBA"/>
            </w:tcBorders>
          </w:tcPr>
          <w:p>
            <w:pPr>
              <w:spacing w:after="0"/>
              <w:rPr>
                <w:sz w:val="14"/>
                <w:szCs w:val="14"/>
                <w:color w:val="auto"/>
              </w:rPr>
            </w:pPr>
          </w:p>
        </w:tc>
        <w:tc>
          <w:tcPr>
            <w:tcW w:w="1440" w:type="dxa"/>
            <w:vAlign w:val="bottom"/>
            <w:vMerge w:val="restart"/>
          </w:tcPr>
          <w:p>
            <w:pPr>
              <w:jc w:val="center"/>
              <w:ind w:left="145"/>
              <w:spacing w:after="0"/>
              <w:rPr>
                <w:sz w:val="20"/>
                <w:szCs w:val="20"/>
                <w:color w:val="auto"/>
              </w:rPr>
            </w:pPr>
            <w:r>
              <w:rPr>
                <w:rFonts w:ascii="Arial" w:cs="Arial" w:eastAsia="Arial" w:hAnsi="Arial"/>
                <w:sz w:val="16"/>
                <w:szCs w:val="16"/>
                <w:color w:val="auto"/>
                <w:w w:val="99"/>
              </w:rPr>
              <w:t>Chair</w:t>
            </w:r>
          </w:p>
        </w:tc>
        <w:tc>
          <w:tcPr>
            <w:tcW w:w="0" w:type="dxa"/>
            <w:vAlign w:val="bottom"/>
          </w:tcPr>
          <w:p>
            <w:pPr>
              <w:spacing w:after="0"/>
              <w:rPr>
                <w:sz w:val="1"/>
                <w:szCs w:val="1"/>
                <w:color w:val="auto"/>
              </w:rPr>
            </w:pPr>
          </w:p>
        </w:tc>
      </w:tr>
      <w:tr>
        <w:trPr>
          <w:trHeight w:val="93"/>
        </w:trPr>
        <w:tc>
          <w:tcPr>
            <w:tcW w:w="3300" w:type="dxa"/>
            <w:vAlign w:val="bottom"/>
            <w:tcBorders>
              <w:right w:val="single" w:sz="8" w:color="007CBA"/>
            </w:tcBorders>
            <w:vMerge w:val="restart"/>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300" w:type="dxa"/>
            <w:vAlign w:val="bottom"/>
            <w:tcBorders>
              <w:right w:val="single" w:sz="8" w:color="007CBA"/>
            </w:tcBorders>
            <w:vMerge w:val="continue"/>
          </w:tcPr>
          <w:p>
            <w:pPr>
              <w:spacing w:after="0"/>
              <w:rPr>
                <w:sz w:val="6"/>
                <w:szCs w:val="6"/>
                <w:color w:val="auto"/>
              </w:rPr>
            </w:pPr>
          </w:p>
        </w:tc>
        <w:tc>
          <w:tcPr>
            <w:tcW w:w="1140" w:type="dxa"/>
            <w:vAlign w:val="bottom"/>
            <w:tcBorders>
              <w:right w:val="single" w:sz="8" w:color="007CBA"/>
            </w:tcBorders>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300" w:type="dxa"/>
            <w:vAlign w:val="bottom"/>
            <w:tcBorders>
              <w:right w:val="single" w:sz="8" w:color="007CBA"/>
            </w:tcBorders>
          </w:tcPr>
          <w:p>
            <w:pPr>
              <w:spacing w:after="0" w:line="174" w:lineRule="exact"/>
              <w:rPr>
                <w:sz w:val="20"/>
                <w:szCs w:val="20"/>
                <w:color w:val="auto"/>
              </w:rPr>
            </w:pPr>
            <w:r>
              <w:rPr>
                <w:rFonts w:ascii="Arial" w:cs="Arial" w:eastAsia="Arial" w:hAnsi="Arial"/>
                <w:sz w:val="16"/>
                <w:szCs w:val="16"/>
                <w:color w:val="auto"/>
              </w:rPr>
              <w:t>Michael J. Quillen</w:t>
            </w:r>
          </w:p>
        </w:tc>
        <w:tc>
          <w:tcPr>
            <w:tcW w:w="1140" w:type="dxa"/>
            <w:vAlign w:val="bottom"/>
            <w:tcBorders>
              <w:right w:val="single" w:sz="8" w:color="007CBA"/>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30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Lead Independent Director</w:t>
            </w:r>
          </w:p>
        </w:tc>
        <w:tc>
          <w:tcPr>
            <w:tcW w:w="1140" w:type="dxa"/>
            <w:vAlign w:val="bottom"/>
            <w:tcBorders>
              <w:right w:val="single" w:sz="8" w:color="007CBA"/>
            </w:tcBorders>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300" w:type="dxa"/>
            <w:vAlign w:val="bottom"/>
            <w:tcBorders>
              <w:right w:val="single" w:sz="8" w:color="007CBA"/>
            </w:tcBorders>
          </w:tcPr>
          <w:p>
            <w:pPr>
              <w:spacing w:after="0" w:line="174" w:lineRule="exact"/>
              <w:rPr>
                <w:sz w:val="20"/>
                <w:szCs w:val="20"/>
                <w:color w:val="auto"/>
              </w:rPr>
            </w:pPr>
            <w:r>
              <w:rPr>
                <w:rFonts w:ascii="Arial" w:cs="Arial" w:eastAsia="Arial" w:hAnsi="Arial"/>
                <w:sz w:val="16"/>
                <w:szCs w:val="16"/>
                <w:color w:val="auto"/>
              </w:rPr>
              <w:t>Dennis L. Rediker</w:t>
            </w:r>
          </w:p>
        </w:tc>
        <w:tc>
          <w:tcPr>
            <w:tcW w:w="1140" w:type="dxa"/>
            <w:vAlign w:val="bottom"/>
            <w:tcBorders>
              <w:right w:val="single" w:sz="8" w:color="007CBA"/>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300" w:type="dxa"/>
            <w:vAlign w:val="bottom"/>
            <w:tcBorders>
              <w:right w:val="single" w:sz="8" w:color="007CBA"/>
            </w:tcBorders>
          </w:tcPr>
          <w:p>
            <w:pPr>
              <w:spacing w:after="0"/>
              <w:rPr>
                <w:sz w:val="20"/>
                <w:szCs w:val="20"/>
                <w:color w:val="auto"/>
              </w:rPr>
            </w:pPr>
            <w:r>
              <w:rPr>
                <w:rFonts w:ascii="Arial" w:cs="Arial" w:eastAsia="Arial" w:hAnsi="Arial"/>
                <w:sz w:val="13"/>
                <w:szCs w:val="13"/>
                <w:i w:val="1"/>
                <w:iCs w:val="1"/>
                <w:color w:val="007CBA"/>
              </w:rPr>
              <w:t>Financial Expert</w:t>
            </w:r>
          </w:p>
        </w:tc>
        <w:tc>
          <w:tcPr>
            <w:tcW w:w="1140" w:type="dxa"/>
            <w:vAlign w:val="bottom"/>
            <w:tcBorders>
              <w:right w:val="single" w:sz="8" w:color="007CBA"/>
            </w:tcBorders>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0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Donald W. Slager</w:t>
            </w:r>
          </w:p>
        </w:tc>
        <w:tc>
          <w:tcPr>
            <w:tcW w:w="1140" w:type="dxa"/>
            <w:vAlign w:val="bottom"/>
            <w:tcBorders>
              <w:right w:val="single" w:sz="8" w:color="007CBA"/>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00" w:type="dxa"/>
            <w:vAlign w:val="bottom"/>
            <w:tcBorders>
              <w:right w:val="single" w:sz="8" w:color="007CBA"/>
            </w:tcBorders>
          </w:tcPr>
          <w:p>
            <w:pPr>
              <w:spacing w:after="0"/>
              <w:rPr>
                <w:sz w:val="20"/>
                <w:szCs w:val="20"/>
                <w:color w:val="auto"/>
              </w:rPr>
            </w:pPr>
            <w:r>
              <w:rPr>
                <w:rFonts w:ascii="Arial" w:cs="Arial" w:eastAsia="Arial" w:hAnsi="Arial"/>
                <w:sz w:val="16"/>
                <w:szCs w:val="16"/>
                <w:color w:val="auto"/>
              </w:rPr>
              <w:t>Stephen P. Zelnak, Jr.</w:t>
            </w:r>
          </w:p>
        </w:tc>
        <w:tc>
          <w:tcPr>
            <w:tcW w:w="1140" w:type="dxa"/>
            <w:vAlign w:val="bottom"/>
            <w:tcBorders>
              <w:right w:val="single" w:sz="8" w:color="007CBA"/>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line="171" w:lineRule="exact"/>
              <w:rPr>
                <w:sz w:val="20"/>
                <w:szCs w:val="20"/>
                <w:color w:val="auto"/>
              </w:rPr>
            </w:pPr>
            <w:r>
              <w:rPr>
                <w:rFonts w:ascii="Arial" w:cs="Arial" w:eastAsia="Arial" w:hAnsi="Arial"/>
                <w:sz w:val="16"/>
                <w:szCs w:val="16"/>
                <w:b w:val="1"/>
                <w:bCs w:val="1"/>
                <w:color w:val="FFFFFF"/>
              </w:rPr>
              <w:t>Number of Meetings</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11</w:t>
            </w:r>
          </w:p>
        </w:tc>
        <w:tc>
          <w:tcPr>
            <w:tcW w:w="1440" w:type="dxa"/>
            <w:vAlign w:val="bottom"/>
            <w:vMerge w:val="restart"/>
          </w:tcPr>
          <w:p>
            <w:pPr>
              <w:jc w:val="center"/>
              <w:ind w:left="165"/>
              <w:spacing w:after="0"/>
              <w:rPr>
                <w:sz w:val="20"/>
                <w:szCs w:val="20"/>
                <w:color w:val="auto"/>
              </w:rPr>
            </w:pPr>
            <w:r>
              <w:rPr>
                <w:rFonts w:ascii="Arial" w:cs="Arial" w:eastAsia="Arial" w:hAnsi="Arial"/>
                <w:sz w:val="16"/>
                <w:szCs w:val="16"/>
                <w:b w:val="1"/>
                <w:bCs w:val="1"/>
                <w:color w:val="FFFFFF"/>
                <w:w w:val="89"/>
              </w:rPr>
              <w:t>2</w:t>
            </w:r>
          </w:p>
        </w:tc>
        <w:tc>
          <w:tcPr>
            <w:tcW w:w="0" w:type="dxa"/>
            <w:vAlign w:val="bottom"/>
          </w:tcPr>
          <w:p>
            <w:pPr>
              <w:spacing w:after="0"/>
              <w:rPr>
                <w:sz w:val="1"/>
                <w:szCs w:val="1"/>
                <w:color w:val="auto"/>
              </w:rPr>
            </w:pPr>
          </w:p>
        </w:tc>
      </w:tr>
      <w:tr>
        <w:trPr>
          <w:trHeight w:val="120"/>
        </w:trPr>
        <w:tc>
          <w:tcPr>
            <w:tcW w:w="3300" w:type="dxa"/>
            <w:vAlign w:val="bottom"/>
            <w:vMerge w:val="restart"/>
          </w:tcPr>
          <w:p>
            <w:pPr>
              <w:spacing w:after="0"/>
              <w:rPr>
                <w:sz w:val="20"/>
                <w:szCs w:val="20"/>
                <w:color w:val="auto"/>
              </w:rPr>
            </w:pPr>
            <w:r>
              <w:rPr>
                <w:rFonts w:ascii="Arial" w:cs="Arial" w:eastAsia="Arial" w:hAnsi="Arial"/>
                <w:sz w:val="16"/>
                <w:szCs w:val="16"/>
                <w:b w:val="1"/>
                <w:bCs w:val="1"/>
                <w:color w:val="FFFFFF"/>
              </w:rPr>
              <w:t>in 2016</w:t>
            </w:r>
          </w:p>
        </w:tc>
        <w:tc>
          <w:tcPr>
            <w:tcW w:w="11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-2336800</wp:posOffset>
            </wp:positionV>
            <wp:extent cx="7246620" cy="2341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341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FFFFF"/>
              </w:rPr>
              <w:t>Management</w:t>
            </w:r>
          </w:p>
        </w:tc>
        <w:tc>
          <w:tcPr>
            <w:tcW w:w="1200" w:type="dxa"/>
            <w:vAlign w:val="bottom"/>
          </w:tcPr>
          <w:p>
            <w:pPr>
              <w:jc w:val="center"/>
              <w:ind w:left="126"/>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FFFFF"/>
              </w:rPr>
              <w:t>Development and</w:t>
            </w:r>
          </w:p>
        </w:tc>
        <w:tc>
          <w:tcPr>
            <w:tcW w:w="1200" w:type="dxa"/>
            <w:vAlign w:val="bottom"/>
          </w:tcPr>
          <w:p>
            <w:pPr>
              <w:jc w:val="center"/>
              <w:ind w:left="146"/>
              <w:spacing w:after="0"/>
              <w:rPr>
                <w:sz w:val="20"/>
                <w:szCs w:val="20"/>
                <w:color w:val="auto"/>
              </w:rPr>
            </w:pPr>
            <w:r>
              <w:rPr>
                <w:rFonts w:ascii="Arial" w:cs="Arial" w:eastAsia="Arial" w:hAnsi="Arial"/>
                <w:sz w:val="14"/>
                <w:szCs w:val="14"/>
                <w:b w:val="1"/>
                <w:bCs w:val="1"/>
                <w:color w:val="FFFFFF"/>
              </w:rPr>
              <w:t>and Corporate</w:t>
            </w:r>
          </w:p>
        </w:tc>
      </w:tr>
      <w:tr>
        <w:trPr>
          <w:trHeight w:val="162"/>
        </w:trPr>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FFFFFF"/>
              </w:rPr>
              <w:t>Executive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Finance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tcPr>
          <w:p>
            <w:pPr>
              <w:jc w:val="center"/>
              <w:ind w:left="126"/>
              <w:spacing w:after="0"/>
              <w:rPr>
                <w:sz w:val="20"/>
                <w:szCs w:val="20"/>
                <w:color w:val="auto"/>
              </w:rPr>
            </w:pPr>
            <w:r>
              <w:rPr>
                <w:rFonts w:ascii="Arial" w:cs="Arial" w:eastAsia="Arial" w:hAnsi="Arial"/>
                <w:sz w:val="14"/>
                <w:szCs w:val="14"/>
                <w:b w:val="1"/>
                <w:bCs w:val="1"/>
                <w:color w:val="FFFFFF"/>
              </w:rPr>
              <w:t>Governance</w:t>
            </w:r>
          </w:p>
        </w:tc>
      </w:tr>
      <w:tr>
        <w:trPr>
          <w:trHeight w:val="177"/>
        </w:trPr>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FFFFFF"/>
              </w:rPr>
              <w:t>Committee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Committee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FFFFF"/>
              </w:rPr>
              <w:t>Committee</w:t>
            </w:r>
          </w:p>
        </w:tc>
        <w:tc>
          <w:tcPr>
            <w:tcW w:w="1200" w:type="dxa"/>
            <w:vAlign w:val="bottom"/>
          </w:tcPr>
          <w:p>
            <w:pPr>
              <w:jc w:val="center"/>
              <w:ind w:left="146"/>
              <w:spacing w:after="0"/>
              <w:rPr>
                <w:sz w:val="20"/>
                <w:szCs w:val="20"/>
                <w:color w:val="auto"/>
              </w:rPr>
            </w:pPr>
            <w:r>
              <w:rPr>
                <w:rFonts w:ascii="Arial" w:cs="Arial" w:eastAsia="Arial" w:hAnsi="Arial"/>
                <w:sz w:val="14"/>
                <w:szCs w:val="14"/>
                <w:b w:val="1"/>
                <w:bCs w:val="1"/>
                <w:color w:val="FFFFFF"/>
              </w:rPr>
              <w:t>Committee</w:t>
            </w:r>
          </w:p>
        </w:tc>
      </w:tr>
      <w:tr>
        <w:trPr>
          <w:trHeight w:val="195"/>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jc w:val="center"/>
              <w:ind w:left="146"/>
              <w:spacing w:after="0"/>
              <w:rPr>
                <w:sz w:val="20"/>
                <w:szCs w:val="20"/>
                <w:color w:val="auto"/>
              </w:rPr>
            </w:pPr>
            <w:r>
              <w:rPr>
                <w:rFonts w:ascii="Arial" w:cs="Arial" w:eastAsia="Arial" w:hAnsi="Arial"/>
                <w:sz w:val="16"/>
                <w:szCs w:val="16"/>
                <w:color w:val="auto"/>
                <w:w w:val="99"/>
              </w:rPr>
              <w:t>Chair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Chair</w:t>
      </w:r>
    </w:p>
    <w:p>
      <w:pPr>
        <w:spacing w:after="0" w:line="200" w:lineRule="exact"/>
        <w:rPr>
          <w:sz w:val="20"/>
          <w:szCs w:val="20"/>
          <w:color w:val="auto"/>
        </w:rPr>
      </w:pPr>
    </w:p>
    <w:p>
      <w:pPr>
        <w:spacing w:after="0" w:line="210"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Chair</w:t>
      </w:r>
    </w:p>
    <w:p>
      <w:pPr>
        <w:spacing w:after="0" w:line="80" w:lineRule="exact"/>
        <w:rPr>
          <w:sz w:val="20"/>
          <w:szCs w:val="20"/>
          <w:color w:val="auto"/>
        </w:rPr>
      </w:pPr>
    </w:p>
    <w:p>
      <w:pPr>
        <w:ind w:left="340"/>
        <w:spacing w:after="0"/>
        <w:tabs>
          <w:tab w:leader="none" w:pos="1460" w:val="left"/>
          <w:tab w:leader="none" w:pos="2840" w:val="left"/>
          <w:tab w:leader="none" w:pos="4340" w:val="left"/>
        </w:tabs>
        <w:rPr>
          <w:sz w:val="20"/>
          <w:szCs w:val="20"/>
          <w:color w:val="auto"/>
        </w:rPr>
      </w:pPr>
      <w:r>
        <w:rPr>
          <w:rFonts w:ascii="Arial" w:cs="Arial" w:eastAsia="Arial" w:hAnsi="Arial"/>
          <w:sz w:val="16"/>
          <w:szCs w:val="16"/>
          <w:b w:val="1"/>
          <w:bCs w:val="1"/>
          <w:color w:val="FFFFFF"/>
        </w:rPr>
        <w:t>0</w:t>
      </w:r>
      <w:r>
        <w:rPr>
          <w:sz w:val="20"/>
          <w:szCs w:val="20"/>
          <w:color w:val="auto"/>
        </w:rPr>
        <w:tab/>
      </w:r>
      <w:r>
        <w:rPr>
          <w:rFonts w:ascii="Arial" w:cs="Arial" w:eastAsia="Arial" w:hAnsi="Arial"/>
          <w:sz w:val="16"/>
          <w:szCs w:val="16"/>
          <w:b w:val="1"/>
          <w:bCs w:val="1"/>
          <w:color w:val="FFFFFF"/>
        </w:rPr>
        <w:t>5</w:t>
      </w:r>
      <w:r>
        <w:rPr>
          <w:sz w:val="20"/>
          <w:szCs w:val="20"/>
          <w:color w:val="auto"/>
        </w:rPr>
        <w:tab/>
      </w:r>
      <w:r>
        <w:rPr>
          <w:rFonts w:ascii="Arial" w:cs="Arial" w:eastAsia="Arial" w:hAnsi="Arial"/>
          <w:sz w:val="16"/>
          <w:szCs w:val="16"/>
          <w:b w:val="1"/>
          <w:bCs w:val="1"/>
          <w:color w:val="FFFFFF"/>
        </w:rPr>
        <w:t>5</w:t>
      </w:r>
      <w:r>
        <w:rPr>
          <w:sz w:val="20"/>
          <w:szCs w:val="20"/>
          <w:color w:val="auto"/>
        </w:rPr>
        <w:tab/>
      </w:r>
      <w:r>
        <w:rPr>
          <w:rFonts w:ascii="Arial" w:cs="Arial" w:eastAsia="Arial" w:hAnsi="Arial"/>
          <w:sz w:val="16"/>
          <w:szCs w:val="16"/>
          <w:b w:val="1"/>
          <w:bCs w:val="1"/>
          <w:color w:val="FFFFFF"/>
        </w:rPr>
        <w:t>2</w:t>
      </w:r>
    </w:p>
    <w:p>
      <w:pPr>
        <w:spacing w:after="0" w:line="325" w:lineRule="exact"/>
        <w:rPr>
          <w:sz w:val="20"/>
          <w:szCs w:val="20"/>
          <w:color w:val="auto"/>
        </w:rPr>
      </w:pPr>
    </w:p>
    <w:p>
      <w:pPr>
        <w:sectPr>
          <w:pgSz w:w="11900" w:h="16838" w:orient="portrait"/>
          <w:cols w:equalWidth="0" w:num="2">
            <w:col w:w="6080" w:space="280"/>
            <w:col w:w="5060"/>
          </w:cols>
          <w:pgMar w:left="240" w:top="459" w:right="239" w:bottom="1440" w:gutter="0" w:footer="0" w:header="0"/>
          <w:type w:val="continuous"/>
        </w:sectPr>
      </w:pP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Executive Committee</w:t>
      </w:r>
      <w:r>
        <w:rPr>
          <w:rFonts w:ascii="Arial" w:cs="Arial" w:eastAsia="Arial" w:hAnsi="Arial"/>
          <w:sz w:val="16"/>
          <w:szCs w:val="16"/>
          <w:color w:val="auto"/>
        </w:rPr>
        <w:t xml:space="preserve"> held no meetings during 2016. It has the authority to act during the intervals between the meetings of the Board of Directors and may exercise the powers of the Board in the management of the business and affairs of Martin Marietta as may be authorized by the Board of Directors,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except to the extent such powers are by statute, the Articles of Incorporation or Bylaws reserved to the full Board. The Committee’s current members are Directors Nye (Chair), Koraleski, and Quillen.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418465</wp:posOffset>
            </wp:positionV>
            <wp:extent cx="41148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7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98"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bl>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Board Committees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membership and meeting information for our other standing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314960</wp:posOffset>
            </wp:positionV>
            <wp:extent cx="5977255" cy="51625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77255" cy="516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020" w:type="dxa"/>
        <w:tblCellMar>
          <w:top w:w="0" w:type="dxa"/>
          <w:left w:w="0" w:type="dxa"/>
          <w:bottom w:w="0" w:type="dxa"/>
          <w:right w:w="0" w:type="dxa"/>
        </w:tblCellMar>
      </w:tblPr>
      <w:tr>
        <w:trPr>
          <w:trHeight w:val="191"/>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David G. Maffucci (Chair)</w:t>
            </w:r>
          </w:p>
        </w:tc>
        <w:tc>
          <w:tcPr>
            <w:tcW w:w="310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i w:val="1"/>
                <w:iCs w:val="1"/>
                <w:color w:val="007CBA"/>
              </w:rPr>
              <w:t>Meetings in 2016:</w:t>
            </w:r>
          </w:p>
        </w:tc>
        <w:tc>
          <w:tcPr>
            <w:tcW w:w="30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2016:</w:t>
            </w: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John J. Koraleski</w:t>
            </w:r>
          </w:p>
        </w:tc>
        <w:tc>
          <w:tcPr>
            <w:tcW w:w="3100" w:type="dxa"/>
            <w:vAlign w:val="bottom"/>
            <w:tcBorders>
              <w:right w:val="single" w:sz="8" w:color="007CBA"/>
            </w:tcBorders>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continue"/>
          </w:tcPr>
          <w:p>
            <w:pPr>
              <w:spacing w:after="0"/>
              <w:rPr>
                <w:sz w:val="8"/>
                <w:szCs w:val="8"/>
                <w:color w:val="auto"/>
              </w:rPr>
            </w:pPr>
          </w:p>
        </w:tc>
        <w:tc>
          <w:tcPr>
            <w:tcW w:w="3100" w:type="dxa"/>
            <w:vAlign w:val="bottom"/>
            <w:tcBorders>
              <w:right w:val="single" w:sz="8" w:color="007CBA"/>
            </w:tcBorders>
            <w:vMerge w:val="restart"/>
          </w:tcPr>
          <w:p>
            <w:pPr>
              <w:jc w:val="right"/>
              <w:ind w:right="1339"/>
              <w:spacing w:after="0"/>
              <w:rPr>
                <w:sz w:val="20"/>
                <w:szCs w:val="20"/>
                <w:color w:val="auto"/>
              </w:rPr>
            </w:pPr>
            <w:r>
              <w:rPr>
                <w:rFonts w:ascii="Arial" w:cs="Arial" w:eastAsia="Arial" w:hAnsi="Arial"/>
                <w:sz w:val="16"/>
                <w:szCs w:val="16"/>
                <w:color w:val="auto"/>
              </w:rPr>
              <w:t>11</w:t>
            </w:r>
          </w:p>
        </w:tc>
        <w:tc>
          <w:tcPr>
            <w:tcW w:w="3020" w:type="dxa"/>
            <w:vAlign w:val="bottom"/>
            <w:vMerge w:val="restart"/>
          </w:tcPr>
          <w:p>
            <w:pPr>
              <w:jc w:val="right"/>
              <w:ind w:right="119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00"/>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Laree E. Perez</w:t>
            </w:r>
          </w:p>
        </w:tc>
        <w:tc>
          <w:tcPr>
            <w:tcW w:w="3100" w:type="dxa"/>
            <w:vAlign w:val="bottom"/>
            <w:tcBorders>
              <w:right w:val="single" w:sz="8" w:color="007CBA"/>
            </w:tcBorders>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300" w:type="dxa"/>
            <w:vAlign w:val="bottom"/>
            <w:tcBorders>
              <w:right w:val="single" w:sz="8" w:color="007CBA"/>
            </w:tcBorders>
            <w:vMerge w:val="continue"/>
          </w:tcPr>
          <w:p>
            <w:pPr>
              <w:spacing w:after="0"/>
              <w:rPr>
                <w:sz w:val="7"/>
                <w:szCs w:val="7"/>
                <w:color w:val="auto"/>
              </w:rPr>
            </w:pPr>
          </w:p>
        </w:tc>
        <w:tc>
          <w:tcPr>
            <w:tcW w:w="3100" w:type="dxa"/>
            <w:vAlign w:val="bottom"/>
            <w:tcBorders>
              <w:right w:val="single" w:sz="8" w:color="007CBA"/>
            </w:tcBorders>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Dennis L. Rediker</w:t>
            </w:r>
          </w:p>
        </w:tc>
        <w:tc>
          <w:tcPr>
            <w:tcW w:w="3100" w:type="dxa"/>
            <w:vAlign w:val="bottom"/>
            <w:tcBorders>
              <w:bottom w:val="single" w:sz="8" w:color="007CBA"/>
              <w:right w:val="single" w:sz="8" w:color="007CBA"/>
            </w:tcBorders>
          </w:tcPr>
          <w:p>
            <w:pPr>
              <w:spacing w:after="0"/>
              <w:rPr>
                <w:sz w:val="17"/>
                <w:szCs w:val="17"/>
                <w:color w:val="auto"/>
              </w:rPr>
            </w:pPr>
          </w:p>
        </w:tc>
        <w:tc>
          <w:tcPr>
            <w:tcW w:w="3020" w:type="dxa"/>
            <w:vAlign w:val="bottom"/>
            <w:tcBorders>
              <w:bottom w:val="single" w:sz="8" w:color="007CBA"/>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500" w:right="700" w:hanging="247"/>
        <w:spacing w:after="0" w:line="260" w:lineRule="auto"/>
        <w:tabs>
          <w:tab w:leader="none" w:pos="1494"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our significant accounting principles, policies and practices in reporting our financial results under generally accepted accounting principles;</w:t>
      </w:r>
    </w:p>
    <w:p>
      <w:pPr>
        <w:spacing w:after="0" w:line="60"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our annual audited financial statements and related disclosures;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management letters or internal control reports, and reviews our system of internal control over financial reporting;</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appoints, retains and oversees the work of the independent accountants;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the effectiveness of the independent audit effort;</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pre-approves audit and permissible non-audit services provided by the independent registered public accounting firm;</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our interim financial results for each of the first three fiscal quarters;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the qualifications and the plan and scope of work of the corporate internal audit function;</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and discusses the reports of our internal audit group;</w:t>
      </w:r>
    </w:p>
    <w:p>
      <w:pPr>
        <w:spacing w:after="0" w:line="86" w:lineRule="exact"/>
        <w:rPr>
          <w:rFonts w:ascii="Arial" w:cs="Arial" w:eastAsia="Arial" w:hAnsi="Arial"/>
          <w:sz w:val="16"/>
          <w:szCs w:val="16"/>
          <w:color w:val="007CBA"/>
        </w:rPr>
      </w:pPr>
    </w:p>
    <w:p>
      <w:pPr>
        <w:ind w:left="1500" w:right="240" w:hanging="247"/>
        <w:spacing w:after="0" w:line="260" w:lineRule="auto"/>
        <w:tabs>
          <w:tab w:leader="none" w:pos="1494"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and discusses management’s assessment of the effectiveness of Martin Marietta’s system of internal control over financial reporting;</w:t>
      </w:r>
    </w:p>
    <w:p>
      <w:pPr>
        <w:spacing w:after="0" w:line="60" w:lineRule="exact"/>
        <w:rPr>
          <w:rFonts w:ascii="Arial" w:cs="Arial" w:eastAsia="Arial" w:hAnsi="Arial"/>
          <w:sz w:val="16"/>
          <w:szCs w:val="16"/>
          <w:color w:val="007CBA"/>
        </w:rPr>
      </w:pPr>
    </w:p>
    <w:p>
      <w:pPr>
        <w:ind w:left="1500" w:right="420" w:hanging="247"/>
        <w:spacing w:after="0" w:line="260" w:lineRule="auto"/>
        <w:tabs>
          <w:tab w:leader="none" w:pos="1494"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discusses Martin Marietta’s earnings press releases, as well as financial information and earnings guidance provided to analysts and rating agencies;</w:t>
      </w:r>
    </w:p>
    <w:p>
      <w:pPr>
        <w:spacing w:after="0" w:line="60"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discusses matters related to risk assessment and risk management and how the process is handled by management;</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and oversees related party transactions;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complaints regarding accounting, internal controls or auditing matters;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considers allegations of possible financial fraud or other financial improprieties;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 and</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48"/>
        </w:numPr>
        <w:rPr>
          <w:rFonts w:ascii="Arial" w:cs="Arial" w:eastAsia="Arial" w:hAnsi="Arial"/>
          <w:sz w:val="16"/>
          <w:szCs w:val="16"/>
          <w:color w:val="007CBA"/>
        </w:rPr>
      </w:pPr>
      <w:r>
        <w:rPr>
          <w:rFonts w:ascii="Arial" w:cs="Arial" w:eastAsia="Arial" w:hAnsi="Arial"/>
          <w:sz w:val="16"/>
          <w:szCs w:val="16"/>
          <w:color w:val="auto"/>
        </w:rPr>
        <w:t>prepares the annual Audit Committee Report to be included in the proxy statement.</w:t>
      </w:r>
    </w:p>
    <w:p>
      <w:pPr>
        <w:spacing w:after="0" w:line="80" w:lineRule="exact"/>
        <w:rPr>
          <w:sz w:val="20"/>
          <w:szCs w:val="20"/>
          <w:color w:val="auto"/>
        </w:rPr>
      </w:pPr>
    </w:p>
    <w:p>
      <w:pPr>
        <w:ind w:left="1240"/>
        <w:spacing w:after="0"/>
        <w:rPr>
          <w:sz w:val="20"/>
          <w:szCs w:val="20"/>
          <w:color w:val="auto"/>
        </w:rPr>
      </w:pPr>
      <w:r>
        <w:rPr>
          <w:rFonts w:ascii="Arial" w:cs="Arial" w:eastAsia="Arial" w:hAnsi="Arial"/>
          <w:sz w:val="16"/>
          <w:szCs w:val="16"/>
          <w:b w:val="1"/>
          <w:bCs w:val="1"/>
          <w:i w:val="1"/>
          <w:iCs w:val="1"/>
          <w:color w:val="007CBA"/>
        </w:rPr>
        <w:t>Other Governance Matters:</w:t>
      </w:r>
    </w:p>
    <w:p>
      <w:pPr>
        <w:spacing w:after="0" w:line="25" w:lineRule="exact"/>
        <w:rPr>
          <w:sz w:val="20"/>
          <w:szCs w:val="20"/>
          <w:color w:val="auto"/>
        </w:rPr>
      </w:pPr>
    </w:p>
    <w:p>
      <w:pPr>
        <w:ind w:left="1240" w:right="860"/>
        <w:spacing w:after="0" w:line="260" w:lineRule="auto"/>
        <w:rPr>
          <w:sz w:val="20"/>
          <w:szCs w:val="20"/>
          <w:color w:val="auto"/>
        </w:rPr>
      </w:pPr>
      <w:r>
        <w:rPr>
          <w:rFonts w:ascii="Arial" w:cs="Arial" w:eastAsia="Arial" w:hAnsi="Arial"/>
          <w:sz w:val="16"/>
          <w:szCs w:val="16"/>
          <w:color w:val="auto"/>
        </w:rPr>
        <w:t>All members satisfy the audit committee experience and independence standards required by NYSE, and have been determined to be financially literate.</w:t>
      </w:r>
    </w:p>
    <w:p>
      <w:pPr>
        <w:spacing w:after="0" w:line="61" w:lineRule="exact"/>
        <w:rPr>
          <w:sz w:val="20"/>
          <w:szCs w:val="20"/>
          <w:color w:val="auto"/>
        </w:rPr>
      </w:pPr>
    </w:p>
    <w:p>
      <w:pPr>
        <w:ind w:left="1240" w:right="220"/>
        <w:spacing w:after="0" w:line="260" w:lineRule="auto"/>
        <w:rPr>
          <w:sz w:val="20"/>
          <w:szCs w:val="20"/>
          <w:color w:val="auto"/>
        </w:rPr>
      </w:pPr>
      <w:r>
        <w:rPr>
          <w:rFonts w:ascii="Arial" w:cs="Arial" w:eastAsia="Arial" w:hAnsi="Arial"/>
          <w:sz w:val="16"/>
          <w:szCs w:val="16"/>
          <w:color w:val="auto"/>
        </w:rPr>
        <w:t>Each member of the Audit Committee has been determined to be an ‘‘audit committee financial expert’’ under applicable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97155</wp:posOffset>
            </wp:positionV>
            <wp:extent cx="411480"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0440"/>
          </w:cols>
          <w:pgMar w:left="240" w:top="459" w:right="1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Committees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020" w:type="dxa"/>
        <w:tblCellMar>
          <w:top w:w="0" w:type="dxa"/>
          <w:left w:w="0" w:type="dxa"/>
          <w:bottom w:w="0" w:type="dxa"/>
          <w:right w:w="0" w:type="dxa"/>
        </w:tblCellMar>
      </w:tblPr>
      <w:tr>
        <w:trPr>
          <w:trHeight w:val="837"/>
        </w:trPr>
        <w:tc>
          <w:tcPr>
            <w:tcW w:w="3300" w:type="dxa"/>
            <w:vAlign w:val="bottom"/>
            <w:tcBorders>
              <w:right w:val="single" w:sz="8" w:color="007CBA"/>
            </w:tcBorders>
            <w:shd w:val="clear" w:color="auto" w:fill="007CBA"/>
          </w:tcPr>
          <w:p>
            <w:pPr>
              <w:spacing w:after="0"/>
              <w:rPr>
                <w:sz w:val="24"/>
                <w:szCs w:val="24"/>
                <w:color w:val="auto"/>
              </w:rPr>
            </w:pPr>
          </w:p>
        </w:tc>
        <w:tc>
          <w:tcPr>
            <w:tcW w:w="3100" w:type="dxa"/>
            <w:vAlign w:val="bottom"/>
            <w:tcBorders>
              <w:right w:val="single" w:sz="8" w:color="007CBA"/>
            </w:tcBorders>
            <w:shd w:val="clear" w:color="auto" w:fill="007CBA"/>
          </w:tcPr>
          <w:p>
            <w:pPr>
              <w:spacing w:after="0"/>
              <w:rPr>
                <w:sz w:val="24"/>
                <w:szCs w:val="24"/>
                <w:color w:val="auto"/>
              </w:rPr>
            </w:pPr>
          </w:p>
        </w:tc>
        <w:tc>
          <w:tcPr>
            <w:tcW w:w="3000" w:type="dxa"/>
            <w:vAlign w:val="bottom"/>
            <w:shd w:val="clear" w:color="auto" w:fill="007CB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Laree E. Perez (Chair)</w:t>
            </w:r>
          </w:p>
        </w:tc>
        <w:tc>
          <w:tcPr>
            <w:tcW w:w="310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i w:val="1"/>
                <w:iCs w:val="1"/>
                <w:color w:val="007CBA"/>
              </w:rPr>
              <w:t>Meetings in 2016:</w:t>
            </w:r>
          </w:p>
        </w:tc>
        <w:tc>
          <w:tcPr>
            <w:tcW w:w="300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David G. Maffucci</w:t>
            </w:r>
          </w:p>
        </w:tc>
        <w:tc>
          <w:tcPr>
            <w:tcW w:w="3100" w:type="dxa"/>
            <w:vAlign w:val="bottom"/>
            <w:tcBorders>
              <w:right w:val="single" w:sz="8" w:color="007CBA"/>
            </w:tcBorders>
            <w:vMerge w:val="continue"/>
          </w:tcPr>
          <w:p>
            <w:pPr>
              <w:spacing w:after="0"/>
              <w:rPr>
                <w:sz w:val="8"/>
                <w:szCs w:val="8"/>
                <w:color w:val="auto"/>
              </w:rPr>
            </w:pPr>
          </w:p>
        </w:tc>
        <w:tc>
          <w:tcPr>
            <w:tcW w:w="3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continue"/>
          </w:tcPr>
          <w:p>
            <w:pPr>
              <w:spacing w:after="0"/>
              <w:rPr>
                <w:sz w:val="8"/>
                <w:szCs w:val="8"/>
                <w:color w:val="auto"/>
              </w:rPr>
            </w:pPr>
          </w:p>
        </w:tc>
        <w:tc>
          <w:tcPr>
            <w:tcW w:w="3100" w:type="dxa"/>
            <w:vAlign w:val="bottom"/>
            <w:tcBorders>
              <w:right w:val="single" w:sz="8" w:color="007CBA"/>
            </w:tcBorders>
            <w:vMerge w:val="restart"/>
          </w:tcPr>
          <w:p>
            <w:pPr>
              <w:jc w:val="right"/>
              <w:ind w:right="1399"/>
              <w:spacing w:after="0"/>
              <w:rPr>
                <w:sz w:val="20"/>
                <w:szCs w:val="20"/>
                <w:color w:val="auto"/>
              </w:rPr>
            </w:pPr>
            <w:r>
              <w:rPr>
                <w:rFonts w:ascii="Arial" w:cs="Arial" w:eastAsia="Arial" w:hAnsi="Arial"/>
                <w:sz w:val="16"/>
                <w:szCs w:val="16"/>
                <w:color w:val="auto"/>
              </w:rPr>
              <w:t>2</w:t>
            </w:r>
          </w:p>
        </w:tc>
        <w:tc>
          <w:tcPr>
            <w:tcW w:w="3000" w:type="dxa"/>
            <w:vAlign w:val="bottom"/>
            <w:vMerge w:val="restart"/>
          </w:tcPr>
          <w:p>
            <w:pPr>
              <w:jc w:val="right"/>
              <w:ind w:right="11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Donald W. Slager</w:t>
            </w:r>
          </w:p>
        </w:tc>
        <w:tc>
          <w:tcPr>
            <w:tcW w:w="3100" w:type="dxa"/>
            <w:vAlign w:val="bottom"/>
            <w:tcBorders>
              <w:right w:val="single" w:sz="8" w:color="007CBA"/>
            </w:tcBorders>
            <w:vMerge w:val="continue"/>
          </w:tcPr>
          <w:p>
            <w:pPr>
              <w:spacing w:after="0"/>
              <w:rPr>
                <w:sz w:val="8"/>
                <w:szCs w:val="8"/>
                <w:color w:val="auto"/>
              </w:rPr>
            </w:pPr>
          </w:p>
        </w:tc>
        <w:tc>
          <w:tcPr>
            <w:tcW w:w="3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300" w:type="dxa"/>
            <w:vAlign w:val="bottom"/>
            <w:tcBorders>
              <w:right w:val="single" w:sz="8" w:color="007CBA"/>
            </w:tcBorders>
            <w:vMerge w:val="continue"/>
          </w:tcPr>
          <w:p>
            <w:pPr>
              <w:spacing w:after="0"/>
              <w:rPr>
                <w:sz w:val="7"/>
                <w:szCs w:val="7"/>
                <w:color w:val="auto"/>
              </w:rPr>
            </w:pPr>
          </w:p>
        </w:tc>
        <w:tc>
          <w:tcPr>
            <w:tcW w:w="3100" w:type="dxa"/>
            <w:vAlign w:val="bottom"/>
            <w:tcBorders>
              <w:right w:val="single" w:sz="8" w:color="007CBA"/>
            </w:tcBorders>
          </w:tcPr>
          <w:p>
            <w:pPr>
              <w:spacing w:after="0"/>
              <w:rPr>
                <w:sz w:val="7"/>
                <w:szCs w:val="7"/>
                <w:color w:val="auto"/>
              </w:rPr>
            </w:pPr>
          </w:p>
        </w:tc>
        <w:tc>
          <w:tcPr>
            <w:tcW w:w="3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Stephen P. Zelnak, Jr.</w:t>
            </w:r>
          </w:p>
        </w:tc>
        <w:tc>
          <w:tcPr>
            <w:tcW w:w="3100" w:type="dxa"/>
            <w:vAlign w:val="bottom"/>
            <w:tcBorders>
              <w:bottom w:val="single" w:sz="8" w:color="007CBA"/>
              <w:right w:val="single" w:sz="8" w:color="007CBA"/>
            </w:tcBorders>
          </w:tcPr>
          <w:p>
            <w:pPr>
              <w:spacing w:after="0"/>
              <w:rPr>
                <w:sz w:val="17"/>
                <w:szCs w:val="17"/>
                <w:color w:val="auto"/>
              </w:rPr>
            </w:pPr>
          </w:p>
        </w:tc>
        <w:tc>
          <w:tcPr>
            <w:tcW w:w="3000" w:type="dxa"/>
            <w:vAlign w:val="bottom"/>
            <w:tcBorders>
              <w:bottom w:val="single" w:sz="8" w:color="007CBA"/>
            </w:tcBorders>
          </w:tcPr>
          <w:p>
            <w:pPr>
              <w:spacing w:after="0"/>
              <w:rPr>
                <w:sz w:val="17"/>
                <w:szCs w:val="17"/>
                <w:color w:val="auto"/>
              </w:rPr>
            </w:pPr>
          </w:p>
        </w:tc>
        <w:tc>
          <w:tcPr>
            <w:tcW w:w="20" w:type="dxa"/>
            <w:vAlign w:val="bottom"/>
            <w:tcBorders>
              <w:bottom w:val="single" w:sz="8" w:color="007CBA"/>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-1284605</wp:posOffset>
            </wp:positionV>
            <wp:extent cx="5977255" cy="2366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77255" cy="2366645"/>
                    </a:xfrm>
                    <a:prstGeom prst="rect">
                      <a:avLst/>
                    </a:prstGeom>
                    <a:noFill/>
                  </pic:spPr>
                </pic:pic>
              </a:graphicData>
            </a:graphic>
          </wp:anchor>
        </w:drawing>
      </w:r>
    </w:p>
    <w:p>
      <w:pPr>
        <w:spacing w:after="0" w:line="8" w:lineRule="exact"/>
        <w:rPr>
          <w:sz w:val="20"/>
          <w:szCs w:val="20"/>
          <w:color w:val="auto"/>
        </w:rPr>
      </w:pPr>
    </w:p>
    <w:p>
      <w:pPr>
        <w:ind w:left="1500" w:right="1320" w:hanging="247"/>
        <w:spacing w:after="0" w:line="264" w:lineRule="auto"/>
        <w:tabs>
          <w:tab w:leader="none" w:pos="1494"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 xml:space="preserve">monitors compliance with our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and reviews all matters presented to it by the Corporate Ethics Officer concerning the ethical practices of Martin Marietta and its Directors, officers, and employees, including conflicts or potential conflicts of interest between Martin Marietta and any of its Directors, officers, and employees;</w:t>
      </w:r>
    </w:p>
    <w:p>
      <w:pPr>
        <w:spacing w:after="0" w:line="57" w:lineRule="exact"/>
        <w:rPr>
          <w:rFonts w:ascii="Arial" w:cs="Arial" w:eastAsia="Arial" w:hAnsi="Arial"/>
          <w:sz w:val="16"/>
          <w:szCs w:val="16"/>
          <w:color w:val="007CBA"/>
        </w:rPr>
      </w:pPr>
    </w:p>
    <w:p>
      <w:pPr>
        <w:ind w:left="1500" w:right="1360" w:hanging="247"/>
        <w:spacing w:after="0" w:line="260" w:lineRule="auto"/>
        <w:tabs>
          <w:tab w:leader="none" w:pos="1494"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reviews and monitors the adequacy of our policies and procedures and organizational structure for ensuring compliance with environmental laws and regulations;</w:t>
      </w:r>
    </w:p>
    <w:p>
      <w:pPr>
        <w:spacing w:after="0" w:line="60" w:lineRule="exact"/>
        <w:rPr>
          <w:rFonts w:ascii="Arial" w:cs="Arial" w:eastAsia="Arial" w:hAnsi="Arial"/>
          <w:sz w:val="16"/>
          <w:szCs w:val="16"/>
          <w:color w:val="007CBA"/>
        </w:rPr>
      </w:pPr>
    </w:p>
    <w:p>
      <w:pPr>
        <w:ind w:left="1480" w:hanging="227"/>
        <w:spacing w:after="0"/>
        <w:tabs>
          <w:tab w:leader="none" w:pos="148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reviews matters relating to our health and safety programs and performance; and</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0"/>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20" w:type="dxa"/>
        <w:tblCellMar>
          <w:top w:w="0" w:type="dxa"/>
          <w:left w:w="0" w:type="dxa"/>
          <w:bottom w:w="0" w:type="dxa"/>
          <w:right w:w="0" w:type="dxa"/>
        </w:tblCellMar>
      </w:tblPr>
      <w:tr>
        <w:trPr>
          <w:trHeight w:val="999"/>
        </w:trPr>
        <w:tc>
          <w:tcPr>
            <w:tcW w:w="3300" w:type="dxa"/>
            <w:vAlign w:val="bottom"/>
            <w:tcBorders>
              <w:right w:val="single" w:sz="8" w:color="007CBA"/>
            </w:tcBorders>
            <w:shd w:val="clear" w:color="auto" w:fill="007CBA"/>
          </w:tcPr>
          <w:p>
            <w:pPr>
              <w:spacing w:after="0"/>
              <w:rPr>
                <w:sz w:val="24"/>
                <w:szCs w:val="24"/>
                <w:color w:val="auto"/>
              </w:rPr>
            </w:pPr>
          </w:p>
        </w:tc>
        <w:tc>
          <w:tcPr>
            <w:tcW w:w="3100" w:type="dxa"/>
            <w:vAlign w:val="bottom"/>
            <w:tcBorders>
              <w:right w:val="single" w:sz="8" w:color="007CBA"/>
            </w:tcBorders>
            <w:shd w:val="clear" w:color="auto" w:fill="007CBA"/>
          </w:tcPr>
          <w:p>
            <w:pPr>
              <w:spacing w:after="0"/>
              <w:rPr>
                <w:sz w:val="24"/>
                <w:szCs w:val="24"/>
                <w:color w:val="auto"/>
              </w:rPr>
            </w:pPr>
          </w:p>
        </w:tc>
        <w:tc>
          <w:tcPr>
            <w:tcW w:w="3000" w:type="dxa"/>
            <w:vAlign w:val="bottom"/>
            <w:shd w:val="clear" w:color="auto" w:fill="007CB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i w:val="1"/>
                <w:iCs w:val="1"/>
                <w:color w:val="007CBA"/>
              </w:rPr>
              <w:t>Meetings in 2016:</w:t>
            </w:r>
          </w:p>
        </w:tc>
        <w:tc>
          <w:tcPr>
            <w:tcW w:w="300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Stephen P. Zelnak, Jr. (Chair)</w:t>
            </w:r>
          </w:p>
        </w:tc>
        <w:tc>
          <w:tcPr>
            <w:tcW w:w="3100" w:type="dxa"/>
            <w:vAlign w:val="bottom"/>
            <w:tcBorders>
              <w:right w:val="single" w:sz="8" w:color="007CBA"/>
            </w:tcBorders>
            <w:vMerge w:val="continue"/>
          </w:tcPr>
          <w:p>
            <w:pPr>
              <w:spacing w:after="0"/>
              <w:rPr>
                <w:sz w:val="16"/>
                <w:szCs w:val="16"/>
                <w:color w:val="auto"/>
              </w:rPr>
            </w:pPr>
          </w:p>
        </w:tc>
        <w:tc>
          <w:tcPr>
            <w:tcW w:w="3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Dennis L. Rediker</w:t>
            </w:r>
          </w:p>
        </w:tc>
        <w:tc>
          <w:tcPr>
            <w:tcW w:w="3100" w:type="dxa"/>
            <w:vAlign w:val="bottom"/>
            <w:tcBorders>
              <w:right w:val="single" w:sz="8" w:color="007CBA"/>
            </w:tcBorders>
          </w:tcPr>
          <w:p>
            <w:pPr>
              <w:jc w:val="right"/>
              <w:ind w:right="1399"/>
              <w:spacing w:after="0"/>
              <w:rPr>
                <w:sz w:val="20"/>
                <w:szCs w:val="20"/>
                <w:color w:val="auto"/>
              </w:rPr>
            </w:pPr>
            <w:r>
              <w:rPr>
                <w:rFonts w:ascii="Arial" w:cs="Arial" w:eastAsia="Arial" w:hAnsi="Arial"/>
                <w:sz w:val="16"/>
                <w:szCs w:val="16"/>
                <w:color w:val="auto"/>
              </w:rPr>
              <w:t>5</w:t>
            </w:r>
          </w:p>
        </w:tc>
        <w:tc>
          <w:tcPr>
            <w:tcW w:w="3000" w:type="dxa"/>
            <w:vAlign w:val="bottom"/>
          </w:tcPr>
          <w:p>
            <w:pPr>
              <w:jc w:val="right"/>
              <w:ind w:right="11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Donald W. Slager</w:t>
            </w:r>
          </w:p>
        </w:tc>
        <w:tc>
          <w:tcPr>
            <w:tcW w:w="3100" w:type="dxa"/>
            <w:vAlign w:val="bottom"/>
            <w:tcBorders>
              <w:bottom w:val="single" w:sz="8" w:color="007CBA"/>
              <w:right w:val="single" w:sz="8" w:color="007CBA"/>
            </w:tcBorders>
          </w:tcPr>
          <w:p>
            <w:pPr>
              <w:spacing w:after="0"/>
              <w:rPr>
                <w:sz w:val="17"/>
                <w:szCs w:val="17"/>
                <w:color w:val="auto"/>
              </w:rPr>
            </w:pPr>
          </w:p>
        </w:tc>
        <w:tc>
          <w:tcPr>
            <w:tcW w:w="3000" w:type="dxa"/>
            <w:vAlign w:val="bottom"/>
            <w:tcBorders>
              <w:bottom w:val="single" w:sz="8" w:color="007CBA"/>
            </w:tcBorders>
          </w:tcPr>
          <w:p>
            <w:pPr>
              <w:spacing w:after="0"/>
              <w:rPr>
                <w:sz w:val="17"/>
                <w:szCs w:val="17"/>
                <w:color w:val="auto"/>
              </w:rPr>
            </w:pPr>
          </w:p>
        </w:tc>
        <w:tc>
          <w:tcPr>
            <w:tcW w:w="20" w:type="dxa"/>
            <w:vAlign w:val="bottom"/>
            <w:tcBorders>
              <w:bottom w:val="single" w:sz="8" w:color="007CBA"/>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-1267460</wp:posOffset>
            </wp:positionV>
            <wp:extent cx="5977255" cy="25215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77255" cy="2521585"/>
                    </a:xfrm>
                    <a:prstGeom prst="rect">
                      <a:avLst/>
                    </a:prstGeom>
                    <a:noFill/>
                  </pic:spPr>
                </pic:pic>
              </a:graphicData>
            </a:graphic>
          </wp:anchor>
        </w:drawing>
      </w:r>
    </w:p>
    <w:p>
      <w:pPr>
        <w:spacing w:after="0" w:line="24" w:lineRule="exact"/>
        <w:rPr>
          <w:sz w:val="20"/>
          <w:szCs w:val="20"/>
          <w:color w:val="auto"/>
        </w:rPr>
      </w:pPr>
    </w:p>
    <w:p>
      <w:pPr>
        <w:ind w:left="1480" w:hanging="227"/>
        <w:spacing w:after="0"/>
        <w:tabs>
          <w:tab w:leader="none" w:pos="148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provides general oversight relating to the management of our financial affairs;</w:t>
      </w:r>
    </w:p>
    <w:p>
      <w:pPr>
        <w:spacing w:after="0" w:line="86" w:lineRule="exact"/>
        <w:rPr>
          <w:rFonts w:ascii="Arial" w:cs="Arial" w:eastAsia="Arial" w:hAnsi="Arial"/>
          <w:sz w:val="16"/>
          <w:szCs w:val="16"/>
          <w:color w:val="007CBA"/>
        </w:rPr>
      </w:pPr>
    </w:p>
    <w:p>
      <w:pPr>
        <w:ind w:left="1500" w:right="1400" w:hanging="247"/>
        <w:spacing w:after="0" w:line="260" w:lineRule="auto"/>
        <w:tabs>
          <w:tab w:leader="none" w:pos="1494"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reviews and approves establishment of lines of credit or other short-term borrowing arrangements and investing excess working capital funds on a short-term basis;</w:t>
      </w:r>
    </w:p>
    <w:p>
      <w:pPr>
        <w:spacing w:after="0" w:line="60" w:lineRule="exact"/>
        <w:rPr>
          <w:rFonts w:ascii="Arial" w:cs="Arial" w:eastAsia="Arial" w:hAnsi="Arial"/>
          <w:sz w:val="16"/>
          <w:szCs w:val="16"/>
          <w:color w:val="007CBA"/>
        </w:rPr>
      </w:pPr>
    </w:p>
    <w:p>
      <w:pPr>
        <w:ind w:left="1500" w:right="1440" w:hanging="247"/>
        <w:spacing w:after="0" w:line="253" w:lineRule="auto"/>
        <w:tabs>
          <w:tab w:leader="none" w:pos="1494"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reviews and makes recommendations to the Board concerning changes to capital structure, including the incurrence of long-term debt, issuance of equity securities, share repurchases, and the payment of dividends, as well as capital expenditures;</w:t>
      </w:r>
    </w:p>
    <w:p>
      <w:pPr>
        <w:spacing w:after="0" w:line="66" w:lineRule="exact"/>
        <w:rPr>
          <w:rFonts w:ascii="Arial" w:cs="Arial" w:eastAsia="Arial" w:hAnsi="Arial"/>
          <w:sz w:val="16"/>
          <w:szCs w:val="16"/>
          <w:color w:val="007CBA"/>
        </w:rPr>
      </w:pPr>
    </w:p>
    <w:p>
      <w:pPr>
        <w:ind w:left="1480" w:hanging="227"/>
        <w:spacing w:after="0"/>
        <w:tabs>
          <w:tab w:leader="none" w:pos="148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approves our contributions budget; and</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1"/>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156210</wp:posOffset>
            </wp:positionV>
            <wp:extent cx="41148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45"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Corporate Governance Matters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295910</wp:posOffset>
            </wp:positionV>
            <wp:extent cx="5977255" cy="37649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77255"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020" w:type="dxa"/>
        <w:tblCellMar>
          <w:top w:w="0" w:type="dxa"/>
          <w:left w:w="0" w:type="dxa"/>
          <w:bottom w:w="0" w:type="dxa"/>
          <w:right w:w="0" w:type="dxa"/>
        </w:tblCellMar>
      </w:tblPr>
      <w:tr>
        <w:trPr>
          <w:trHeight w:val="191"/>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Michael J. Quillen (Chair)</w:t>
            </w:r>
          </w:p>
        </w:tc>
        <w:tc>
          <w:tcPr>
            <w:tcW w:w="310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i w:val="1"/>
                <w:iCs w:val="1"/>
                <w:color w:val="007CBA"/>
              </w:rPr>
              <w:t>Meetings in 2016:</w:t>
            </w:r>
          </w:p>
        </w:tc>
        <w:tc>
          <w:tcPr>
            <w:tcW w:w="30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2016:</w:t>
            </w: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Sue Cole</w:t>
            </w:r>
          </w:p>
        </w:tc>
        <w:tc>
          <w:tcPr>
            <w:tcW w:w="3100" w:type="dxa"/>
            <w:vAlign w:val="bottom"/>
            <w:tcBorders>
              <w:right w:val="single" w:sz="8" w:color="007CBA"/>
            </w:tcBorders>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tcBorders>
              <w:right w:val="single" w:sz="8" w:color="007CBA"/>
            </w:tcBorders>
            <w:vMerge w:val="continue"/>
          </w:tcPr>
          <w:p>
            <w:pPr>
              <w:spacing w:after="0"/>
              <w:rPr>
                <w:sz w:val="8"/>
                <w:szCs w:val="8"/>
                <w:color w:val="auto"/>
              </w:rPr>
            </w:pPr>
          </w:p>
        </w:tc>
        <w:tc>
          <w:tcPr>
            <w:tcW w:w="3100" w:type="dxa"/>
            <w:vAlign w:val="bottom"/>
            <w:tcBorders>
              <w:right w:val="single" w:sz="8" w:color="007CBA"/>
            </w:tcBorders>
            <w:vMerge w:val="restart"/>
          </w:tcPr>
          <w:p>
            <w:pPr>
              <w:jc w:val="right"/>
              <w:ind w:right="1399"/>
              <w:spacing w:after="0"/>
              <w:rPr>
                <w:sz w:val="20"/>
                <w:szCs w:val="20"/>
                <w:color w:val="auto"/>
              </w:rPr>
            </w:pPr>
            <w:r>
              <w:rPr>
                <w:rFonts w:ascii="Arial" w:cs="Arial" w:eastAsia="Arial" w:hAnsi="Arial"/>
                <w:sz w:val="16"/>
                <w:szCs w:val="16"/>
                <w:color w:val="auto"/>
              </w:rPr>
              <w:t>5</w:t>
            </w:r>
          </w:p>
        </w:tc>
        <w:tc>
          <w:tcPr>
            <w:tcW w:w="3020" w:type="dxa"/>
            <w:vAlign w:val="bottom"/>
            <w:vMerge w:val="restart"/>
          </w:tcPr>
          <w:p>
            <w:pPr>
              <w:jc w:val="right"/>
              <w:ind w:right="119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00"/>
        </w:trPr>
        <w:tc>
          <w:tcPr>
            <w:tcW w:w="3300" w:type="dxa"/>
            <w:vAlign w:val="bottom"/>
            <w:tcBorders>
              <w:right w:val="single" w:sz="8" w:color="007CBA"/>
            </w:tcBorders>
            <w:vMerge w:val="restart"/>
          </w:tcPr>
          <w:p>
            <w:pPr>
              <w:ind w:left="220"/>
              <w:spacing w:after="0"/>
              <w:rPr>
                <w:sz w:val="20"/>
                <w:szCs w:val="20"/>
                <w:color w:val="auto"/>
              </w:rPr>
            </w:pPr>
            <w:r>
              <w:rPr>
                <w:rFonts w:ascii="Arial" w:cs="Arial" w:eastAsia="Arial" w:hAnsi="Arial"/>
                <w:sz w:val="16"/>
                <w:szCs w:val="16"/>
                <w:color w:val="auto"/>
              </w:rPr>
              <w:t>John J. Koraleski</w:t>
            </w:r>
          </w:p>
        </w:tc>
        <w:tc>
          <w:tcPr>
            <w:tcW w:w="3100" w:type="dxa"/>
            <w:vAlign w:val="bottom"/>
            <w:tcBorders>
              <w:right w:val="single" w:sz="8" w:color="007CBA"/>
            </w:tcBorders>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300" w:type="dxa"/>
            <w:vAlign w:val="bottom"/>
            <w:tcBorders>
              <w:right w:val="single" w:sz="8" w:color="007CBA"/>
            </w:tcBorders>
            <w:vMerge w:val="continue"/>
          </w:tcPr>
          <w:p>
            <w:pPr>
              <w:spacing w:after="0"/>
              <w:rPr>
                <w:sz w:val="7"/>
                <w:szCs w:val="7"/>
                <w:color w:val="auto"/>
              </w:rPr>
            </w:pPr>
          </w:p>
        </w:tc>
        <w:tc>
          <w:tcPr>
            <w:tcW w:w="3100" w:type="dxa"/>
            <w:vAlign w:val="bottom"/>
            <w:tcBorders>
              <w:right w:val="single" w:sz="8" w:color="007CBA"/>
            </w:tcBorders>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William E. McDonald</w:t>
            </w:r>
          </w:p>
        </w:tc>
        <w:tc>
          <w:tcPr>
            <w:tcW w:w="3100" w:type="dxa"/>
            <w:vAlign w:val="bottom"/>
            <w:tcBorders>
              <w:bottom w:val="single" w:sz="8" w:color="007CBA"/>
              <w:right w:val="single" w:sz="8" w:color="007CBA"/>
            </w:tcBorders>
          </w:tcPr>
          <w:p>
            <w:pPr>
              <w:spacing w:after="0"/>
              <w:rPr>
                <w:sz w:val="17"/>
                <w:szCs w:val="17"/>
                <w:color w:val="auto"/>
              </w:rPr>
            </w:pPr>
          </w:p>
        </w:tc>
        <w:tc>
          <w:tcPr>
            <w:tcW w:w="3020" w:type="dxa"/>
            <w:vAlign w:val="bottom"/>
            <w:tcBorders>
              <w:bottom w:val="single" w:sz="8" w:color="007CBA"/>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500" w:right="50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establishes an overall strategy with respect to compensation for officers and management to enable Martin Marietta to attract and retain qualified employees;</w:t>
      </w:r>
    </w:p>
    <w:p>
      <w:pPr>
        <w:spacing w:after="0" w:line="60" w:lineRule="exact"/>
        <w:rPr>
          <w:rFonts w:ascii="Arial" w:cs="Arial" w:eastAsia="Arial" w:hAnsi="Arial"/>
          <w:sz w:val="16"/>
          <w:szCs w:val="16"/>
          <w:color w:val="007CBA"/>
        </w:rPr>
      </w:pPr>
    </w:p>
    <w:p>
      <w:pPr>
        <w:ind w:left="1480" w:hanging="227"/>
        <w:spacing w:after="0"/>
        <w:tabs>
          <w:tab w:leader="none" w:pos="1480"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and oversees executive succession and management development plans;</w:t>
      </w:r>
    </w:p>
    <w:p>
      <w:pPr>
        <w:spacing w:after="0" w:line="86" w:lineRule="exact"/>
        <w:rPr>
          <w:rFonts w:ascii="Arial" w:cs="Arial" w:eastAsia="Arial" w:hAnsi="Arial"/>
          <w:sz w:val="16"/>
          <w:szCs w:val="16"/>
          <w:color w:val="007CBA"/>
        </w:rPr>
      </w:pPr>
    </w:p>
    <w:p>
      <w:pPr>
        <w:ind w:left="1500" w:right="22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and approves management’s assessment of the performance of executive officers, and reviews and approves the salary, bonus, and other compensation of such officers;</w:t>
      </w:r>
    </w:p>
    <w:p>
      <w:pPr>
        <w:spacing w:after="0" w:line="60" w:lineRule="exact"/>
        <w:rPr>
          <w:rFonts w:ascii="Arial" w:cs="Arial" w:eastAsia="Arial" w:hAnsi="Arial"/>
          <w:sz w:val="16"/>
          <w:szCs w:val="16"/>
          <w:color w:val="007CBA"/>
        </w:rPr>
      </w:pPr>
    </w:p>
    <w:p>
      <w:pPr>
        <w:ind w:left="1500" w:right="40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approves and administers our equity and other plans relating to compensation of Martin Marietta’s directors and elected officers;</w:t>
      </w:r>
    </w:p>
    <w:p>
      <w:pPr>
        <w:spacing w:after="0" w:line="60" w:lineRule="exact"/>
        <w:rPr>
          <w:rFonts w:ascii="Arial" w:cs="Arial" w:eastAsia="Arial" w:hAnsi="Arial"/>
          <w:sz w:val="16"/>
          <w:szCs w:val="16"/>
          <w:color w:val="007CBA"/>
        </w:rPr>
      </w:pPr>
    </w:p>
    <w:p>
      <w:pPr>
        <w:ind w:left="1500" w:right="48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and discusses the Compensation Discussion and Analysis and produces a compensation committee report as required by the SEC to be included in this proxy statement;</w:t>
      </w:r>
    </w:p>
    <w:p>
      <w:pPr>
        <w:spacing w:after="0" w:line="60" w:lineRule="exact"/>
        <w:rPr>
          <w:rFonts w:ascii="Arial" w:cs="Arial" w:eastAsia="Arial" w:hAnsi="Arial"/>
          <w:sz w:val="16"/>
          <w:szCs w:val="16"/>
          <w:color w:val="007CBA"/>
        </w:rPr>
      </w:pPr>
    </w:p>
    <w:p>
      <w:pPr>
        <w:ind w:left="1500" w:right="50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provides oversight of our Benefit Plan Committee, which administers Martin Marietta’s defined benefit and contribution plans;</w:t>
      </w:r>
    </w:p>
    <w:p>
      <w:pPr>
        <w:spacing w:after="0" w:line="60" w:lineRule="exact"/>
        <w:rPr>
          <w:rFonts w:ascii="Arial" w:cs="Arial" w:eastAsia="Arial" w:hAnsi="Arial"/>
          <w:sz w:val="16"/>
          <w:szCs w:val="16"/>
          <w:color w:val="007CBA"/>
        </w:rPr>
      </w:pPr>
    </w:p>
    <w:p>
      <w:pPr>
        <w:ind w:left="1500" w:right="30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and approves the goals and objectives for the CEO’s compensation, evaluates the CEO’s performance in light of those goals and objectives, and determines and approves the CEO’s compensation;</w:t>
      </w:r>
    </w:p>
    <w:p>
      <w:pPr>
        <w:spacing w:after="0" w:line="60" w:lineRule="exact"/>
        <w:rPr>
          <w:rFonts w:ascii="Arial" w:cs="Arial" w:eastAsia="Arial" w:hAnsi="Arial"/>
          <w:sz w:val="16"/>
          <w:szCs w:val="16"/>
          <w:color w:val="007CBA"/>
        </w:rPr>
      </w:pPr>
    </w:p>
    <w:p>
      <w:pPr>
        <w:ind w:left="1480" w:hanging="227"/>
        <w:spacing w:after="0"/>
        <w:tabs>
          <w:tab w:leader="none" w:pos="1480"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makes recommendations to the Board on changes in the compensation of non-employee directors;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 and</w:t>
      </w:r>
    </w:p>
    <w:p>
      <w:pPr>
        <w:spacing w:after="0" w:line="86" w:lineRule="exact"/>
        <w:rPr>
          <w:rFonts w:ascii="Arial" w:cs="Arial" w:eastAsia="Arial" w:hAnsi="Arial"/>
          <w:sz w:val="16"/>
          <w:szCs w:val="16"/>
          <w:color w:val="007CBA"/>
        </w:rPr>
      </w:pPr>
    </w:p>
    <w:p>
      <w:pPr>
        <w:ind w:left="1500" w:right="260" w:hanging="247"/>
        <w:spacing w:after="0" w:line="260" w:lineRule="auto"/>
        <w:tabs>
          <w:tab w:leader="none" w:pos="1494" w:val="left"/>
        </w:tabs>
        <w:numPr>
          <w:ilvl w:val="0"/>
          <w:numId w:val="52"/>
        </w:numPr>
        <w:rPr>
          <w:rFonts w:ascii="Arial" w:cs="Arial" w:eastAsia="Arial" w:hAnsi="Arial"/>
          <w:sz w:val="16"/>
          <w:szCs w:val="16"/>
          <w:color w:val="007CBA"/>
        </w:rPr>
      </w:pPr>
      <w:r>
        <w:rPr>
          <w:rFonts w:ascii="Arial" w:cs="Arial" w:eastAsia="Arial" w:hAnsi="Arial"/>
          <w:sz w:val="16"/>
          <w:szCs w:val="16"/>
          <w:color w:val="auto"/>
        </w:rPr>
        <w:t>has the authority, in its sole discretion, to retain, pay, and terminate any consulting firm, if any, used to assist in evaluating director, chief executive officer, or senior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363220</wp:posOffset>
            </wp:positionV>
            <wp:extent cx="5977255" cy="2941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7725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20" w:type="dxa"/>
        <w:tblCellMar>
          <w:top w:w="0" w:type="dxa"/>
          <w:left w:w="0" w:type="dxa"/>
          <w:bottom w:w="0" w:type="dxa"/>
          <w:right w:w="0" w:type="dxa"/>
        </w:tblCellMar>
      </w:tblPr>
      <w:tr>
        <w:trPr>
          <w:trHeight w:val="191"/>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b w:val="1"/>
                <w:bCs w:val="1"/>
                <w:i w:val="1"/>
                <w:iCs w:val="1"/>
                <w:color w:val="007CBA"/>
              </w:rPr>
              <w:t>Current Members:</w:t>
            </w:r>
          </w:p>
        </w:tc>
        <w:tc>
          <w:tcPr>
            <w:tcW w:w="3100" w:type="dxa"/>
            <w:vAlign w:val="bottom"/>
            <w:tcBorders>
              <w:right w:val="single" w:sz="8" w:color="007CBA"/>
            </w:tcBorders>
            <w:vMerge w:val="restart"/>
          </w:tcPr>
          <w:p>
            <w:pPr>
              <w:jc w:val="center"/>
              <w:spacing w:after="0"/>
              <w:rPr>
                <w:sz w:val="20"/>
                <w:szCs w:val="20"/>
                <w:color w:val="auto"/>
              </w:rPr>
            </w:pPr>
            <w:r>
              <w:rPr>
                <w:rFonts w:ascii="Arial" w:cs="Arial" w:eastAsia="Arial" w:hAnsi="Arial"/>
                <w:sz w:val="16"/>
                <w:szCs w:val="16"/>
                <w:b w:val="1"/>
                <w:bCs w:val="1"/>
                <w:i w:val="1"/>
                <w:iCs w:val="1"/>
                <w:color w:val="007CBA"/>
              </w:rPr>
              <w:t>Meetings in 2016:</w:t>
            </w:r>
          </w:p>
        </w:tc>
        <w:tc>
          <w:tcPr>
            <w:tcW w:w="30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007CBA"/>
              </w:rPr>
              <w:t>Average Attendance in 2016:</w:t>
            </w: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Sue W. Cole (Chair)</w:t>
            </w:r>
          </w:p>
        </w:tc>
        <w:tc>
          <w:tcPr>
            <w:tcW w:w="3100" w:type="dxa"/>
            <w:vAlign w:val="bottom"/>
            <w:tcBorders>
              <w:right w:val="single" w:sz="8" w:color="007CBA"/>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007CBA"/>
            </w:tcBorders>
          </w:tcPr>
          <w:p>
            <w:pPr>
              <w:ind w:left="220"/>
              <w:spacing w:after="0"/>
              <w:rPr>
                <w:sz w:val="20"/>
                <w:szCs w:val="20"/>
                <w:color w:val="auto"/>
              </w:rPr>
            </w:pPr>
            <w:r>
              <w:rPr>
                <w:rFonts w:ascii="Arial" w:cs="Arial" w:eastAsia="Arial" w:hAnsi="Arial"/>
                <w:sz w:val="16"/>
                <w:szCs w:val="16"/>
                <w:color w:val="auto"/>
              </w:rPr>
              <w:t>William E. McDonald</w:t>
            </w:r>
          </w:p>
        </w:tc>
        <w:tc>
          <w:tcPr>
            <w:tcW w:w="3100" w:type="dxa"/>
            <w:vAlign w:val="bottom"/>
            <w:tcBorders>
              <w:right w:val="single" w:sz="8" w:color="007CBA"/>
            </w:tcBorders>
          </w:tcPr>
          <w:p>
            <w:pPr>
              <w:jc w:val="right"/>
              <w:ind w:right="1399"/>
              <w:spacing w:after="0"/>
              <w:rPr>
                <w:sz w:val="20"/>
                <w:szCs w:val="20"/>
                <w:color w:val="auto"/>
              </w:rPr>
            </w:pPr>
            <w:r>
              <w:rPr>
                <w:rFonts w:ascii="Arial" w:cs="Arial" w:eastAsia="Arial" w:hAnsi="Arial"/>
                <w:sz w:val="16"/>
                <w:szCs w:val="16"/>
                <w:color w:val="auto"/>
              </w:rPr>
              <w:t>2</w:t>
            </w:r>
          </w:p>
        </w:tc>
        <w:tc>
          <w:tcPr>
            <w:tcW w:w="3020" w:type="dxa"/>
            <w:vAlign w:val="bottom"/>
          </w:tcPr>
          <w:p>
            <w:pPr>
              <w:jc w:val="right"/>
              <w:ind w:right="119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8"/>
        </w:trPr>
        <w:tc>
          <w:tcPr>
            <w:tcW w:w="3300" w:type="dxa"/>
            <w:vAlign w:val="bottom"/>
            <w:tcBorders>
              <w:bottom w:val="single" w:sz="8" w:color="007CBA"/>
              <w:right w:val="single" w:sz="8" w:color="007CBA"/>
            </w:tcBorders>
          </w:tcPr>
          <w:p>
            <w:pPr>
              <w:ind w:left="220"/>
              <w:spacing w:after="0"/>
              <w:rPr>
                <w:sz w:val="20"/>
                <w:szCs w:val="20"/>
                <w:color w:val="auto"/>
              </w:rPr>
            </w:pPr>
            <w:r>
              <w:rPr>
                <w:rFonts w:ascii="Arial" w:cs="Arial" w:eastAsia="Arial" w:hAnsi="Arial"/>
                <w:sz w:val="16"/>
                <w:szCs w:val="16"/>
                <w:color w:val="auto"/>
              </w:rPr>
              <w:t>Michael J. Quillen</w:t>
            </w:r>
          </w:p>
        </w:tc>
        <w:tc>
          <w:tcPr>
            <w:tcW w:w="3100" w:type="dxa"/>
            <w:vAlign w:val="bottom"/>
            <w:tcBorders>
              <w:bottom w:val="single" w:sz="8" w:color="007CBA"/>
              <w:right w:val="single" w:sz="8" w:color="007CBA"/>
            </w:tcBorders>
          </w:tcPr>
          <w:p>
            <w:pPr>
              <w:spacing w:after="0"/>
              <w:rPr>
                <w:sz w:val="17"/>
                <w:szCs w:val="17"/>
                <w:color w:val="auto"/>
              </w:rPr>
            </w:pPr>
          </w:p>
        </w:tc>
        <w:tc>
          <w:tcPr>
            <w:tcW w:w="3020" w:type="dxa"/>
            <w:vAlign w:val="bottom"/>
            <w:tcBorders>
              <w:bottom w:val="single" w:sz="8" w:color="007CBA"/>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20"/>
              <w:spacing w:after="0"/>
              <w:rPr>
                <w:sz w:val="20"/>
                <w:szCs w:val="20"/>
                <w:color w:val="auto"/>
              </w:rPr>
            </w:pPr>
            <w:r>
              <w:rPr>
                <w:rFonts w:ascii="Arial" w:cs="Arial" w:eastAsia="Arial" w:hAnsi="Arial"/>
                <w:sz w:val="16"/>
                <w:szCs w:val="16"/>
                <w:b w:val="1"/>
                <w:bCs w:val="1"/>
                <w:i w:val="1"/>
                <w:iCs w:val="1"/>
                <w:color w:val="007CBA"/>
              </w:rPr>
              <w:t>Primary Responsibilities:</w:t>
            </w:r>
          </w:p>
        </w:tc>
        <w:tc>
          <w:tcPr>
            <w:tcW w:w="3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500" w:right="500" w:hanging="247"/>
        <w:spacing w:after="0" w:line="260" w:lineRule="auto"/>
        <w:tabs>
          <w:tab w:leader="none" w:pos="1494"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develops criteria for nominating and appointing directors, including Board size and composition, corporate governance policies, and individual director expertise, attributes and skills;</w:t>
      </w:r>
    </w:p>
    <w:p>
      <w:pPr>
        <w:spacing w:after="0" w:line="60" w:lineRule="exact"/>
        <w:rPr>
          <w:rFonts w:ascii="Arial" w:cs="Arial" w:eastAsia="Arial" w:hAnsi="Arial"/>
          <w:sz w:val="16"/>
          <w:szCs w:val="16"/>
          <w:color w:val="007CBA"/>
        </w:rPr>
      </w:pPr>
    </w:p>
    <w:p>
      <w:pPr>
        <w:ind w:left="1480" w:hanging="227"/>
        <w:spacing w:after="0"/>
        <w:tabs>
          <w:tab w:leader="none" w:pos="148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recommends to the Board the individuals to be nominated as directors;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recommends to the Board the appointees to be selected for service on the Board committees;</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oversees an annual review of the performance of the Board and each committee;</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reviews annually the adequacy of the committee charter and recommends proposed changes to the Board; and</w:t>
      </w:r>
    </w:p>
    <w:p>
      <w:pPr>
        <w:spacing w:after="0" w:line="86" w:lineRule="exact"/>
        <w:rPr>
          <w:rFonts w:ascii="Arial" w:cs="Arial" w:eastAsia="Arial" w:hAnsi="Arial"/>
          <w:sz w:val="16"/>
          <w:szCs w:val="16"/>
          <w:color w:val="007CBA"/>
        </w:rPr>
      </w:pPr>
    </w:p>
    <w:p>
      <w:pPr>
        <w:ind w:left="1480" w:hanging="227"/>
        <w:spacing w:after="0"/>
        <w:tabs>
          <w:tab w:leader="none" w:pos="1480" w:val="left"/>
        </w:tabs>
        <w:numPr>
          <w:ilvl w:val="0"/>
          <w:numId w:val="53"/>
        </w:numPr>
        <w:rPr>
          <w:rFonts w:ascii="Arial" w:cs="Arial" w:eastAsia="Arial" w:hAnsi="Arial"/>
          <w:sz w:val="16"/>
          <w:szCs w:val="16"/>
          <w:color w:val="007CBA"/>
        </w:rPr>
      </w:pPr>
      <w:r>
        <w:rPr>
          <w:rFonts w:ascii="Arial" w:cs="Arial" w:eastAsia="Arial" w:hAnsi="Arial"/>
          <w:sz w:val="16"/>
          <w:szCs w:val="16"/>
          <w:color w:val="auto"/>
        </w:rPr>
        <w:t>oversees the development and implementation of a set of corporate governance principles applicable to Martin Marietta.</w:t>
      </w:r>
    </w:p>
    <w:p>
      <w:pPr>
        <w:spacing w:after="0" w:line="80" w:lineRule="exact"/>
        <w:rPr>
          <w:sz w:val="20"/>
          <w:szCs w:val="20"/>
          <w:color w:val="auto"/>
        </w:rPr>
      </w:pPr>
    </w:p>
    <w:p>
      <w:pPr>
        <w:ind w:left="1240"/>
        <w:spacing w:after="0"/>
        <w:rPr>
          <w:sz w:val="20"/>
          <w:szCs w:val="20"/>
          <w:color w:val="auto"/>
        </w:rPr>
      </w:pPr>
      <w:r>
        <w:rPr>
          <w:rFonts w:ascii="Arial" w:cs="Arial" w:eastAsia="Arial" w:hAnsi="Arial"/>
          <w:sz w:val="16"/>
          <w:szCs w:val="16"/>
          <w:b w:val="1"/>
          <w:bCs w:val="1"/>
          <w:i w:val="1"/>
          <w:iCs w:val="1"/>
          <w:color w:val="007CBA"/>
        </w:rPr>
        <w:t>Other Governance Matters:</w:t>
      </w:r>
    </w:p>
    <w:p>
      <w:pPr>
        <w:spacing w:after="0" w:line="2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All members are non-employee, independent Directors, as required by the rules of the NYSE.</w:t>
      </w:r>
    </w:p>
    <w:p>
      <w:pPr>
        <w:spacing w:after="0" w:line="70" w:lineRule="exact"/>
        <w:rPr>
          <w:sz w:val="20"/>
          <w:szCs w:val="20"/>
          <w:color w:val="auto"/>
        </w:rPr>
      </w:pPr>
    </w:p>
    <w:p>
      <w:pPr>
        <w:ind w:left="1240" w:right="160"/>
        <w:spacing w:after="0" w:line="264" w:lineRule="auto"/>
        <w:rPr>
          <w:sz w:val="20"/>
          <w:szCs w:val="20"/>
          <w:color w:val="auto"/>
        </w:rPr>
      </w:pPr>
      <w:r>
        <w:rPr>
          <w:rFonts w:ascii="Arial" w:cs="Arial" w:eastAsia="Arial" w:hAnsi="Arial"/>
          <w:sz w:val="16"/>
          <w:szCs w:val="16"/>
          <w:color w:val="auto"/>
        </w:rPr>
        <w:t xml:space="preserve">Upon recommendation of this Committee, the Board of Directors has adopted a set of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for Martin Marietta. The Guidelines are posted and available for public viewing on our website at www.martinmarietta.com. A copy may also be obtained upon request from Martin Marietta’s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95250</wp:posOffset>
            </wp:positionV>
            <wp:extent cx="41148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0440"/>
          </w:cols>
          <w:pgMar w:left="240" w:top="459" w:right="1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Committees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Corporate Governance Matters</w:t>
      </w:r>
    </w:p>
    <w:p>
      <w:pPr>
        <w:sectPr>
          <w:pgSz w:w="11900" w:h="16838" w:orient="portrait"/>
          <w:cols w:equalWidth="0" w:num="1">
            <w:col w:w="11420"/>
          </w:cols>
          <w:pgMar w:left="240" w:top="459" w:right="239" w:bottom="1440" w:gutter="0" w:footer="0" w:header="0"/>
        </w:sectPr>
      </w:pPr>
    </w:p>
    <w:p>
      <w:pPr>
        <w:spacing w:after="0" w:line="25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i w:val="1"/>
          <w:iCs w:val="1"/>
          <w:color w:val="007CBA"/>
        </w:rPr>
        <w:t>Will the Nominating and Corporate Governance Committee consider any Director candidates recommended by shareholders?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2016 Annual Meeting, Martin Marietta has not made any material changes to the procedures by which shareholders may recommend nominees to Martin Marietta’s Board of Directors. Additional information is contained in the section entitled “SHAREHOLDERS’ PROPOSALS FOR 2018 ANNUAL MEETING”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does the Board select nominees for the Board?</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Potential New Board Members </w:t>
      </w:r>
      <w:r>
        <w:rPr>
          <w:rFonts w:ascii="Arial" w:cs="Arial" w:eastAsia="Arial" w:hAnsi="Arial"/>
          <w:sz w:val="16"/>
          <w:szCs w:val="16"/>
          <w:color w:val="auto"/>
        </w:rPr>
        <w:t>adopted by the Committee, and takes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all</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 xml:space="preserve">other factors it considers appropriate. A copy of these </w:t>
      </w:r>
      <w:r>
        <w:rPr>
          <w:rFonts w:ascii="Arial" w:cs="Arial" w:eastAsia="Arial" w:hAnsi="Arial"/>
          <w:sz w:val="16"/>
          <w:szCs w:val="16"/>
          <w:i w:val="1"/>
          <w:iCs w:val="1"/>
          <w:color w:val="auto"/>
        </w:rPr>
        <w:t>Guidelines</w:t>
      </w:r>
      <w:r>
        <w:rPr>
          <w:rFonts w:ascii="Arial" w:cs="Arial" w:eastAsia="Arial" w:hAnsi="Arial"/>
          <w:sz w:val="16"/>
          <w:szCs w:val="16"/>
          <w:color w:val="auto"/>
        </w:rPr>
        <w:t xml:space="preserve"> is attached to this proxy statement as Appendix A.</w:t>
      </w:r>
    </w:p>
    <w:p>
      <w:pPr>
        <w:spacing w:after="0" w:line="132"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b w:val="1"/>
          <w:bCs w:val="1"/>
          <w:i w:val="1"/>
          <w:iCs w:val="1"/>
          <w:color w:val="007CBA"/>
        </w:rPr>
        <w:t>Do the Board Committees have charters? How can shareholders obtain them?</w:t>
      </w:r>
    </w:p>
    <w:p>
      <w:pPr>
        <w:spacing w:after="0" w:line="1"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and the charters of the other committees of the Board, are posted on Martin 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along with copies of Martin Marietta’s </w:t>
      </w:r>
      <w:r>
        <w:rPr>
          <w:rFonts w:ascii="Arial" w:cs="Arial" w:eastAsia="Arial" w:hAnsi="Arial"/>
          <w:sz w:val="16"/>
          <w:szCs w:val="16"/>
          <w:i w:val="1"/>
          <w:iCs w:val="1"/>
          <w:color w:val="auto"/>
        </w:rPr>
        <w:t>Corporate Governance Guidelines, 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Conduct</w:t>
      </w:r>
      <w:r>
        <w:rPr>
          <w:rFonts w:ascii="Arial" w:cs="Arial" w:eastAsia="Arial" w:hAnsi="Arial"/>
          <w:sz w:val="16"/>
          <w:szCs w:val="16"/>
          <w:color w:val="auto"/>
        </w:rPr>
        <w:t>, and</w:t>
      </w:r>
      <w:r>
        <w:rPr>
          <w:rFonts w:ascii="Arial" w:cs="Arial" w:eastAsia="Arial" w:hAnsi="Arial"/>
          <w:sz w:val="16"/>
          <w:szCs w:val="16"/>
          <w:i w:val="1"/>
          <w:iCs w:val="1"/>
          <w:color w:val="auto"/>
        </w:rPr>
        <w:t xml:space="preserve"> Guidelines for Director’s Independence</w:t>
      </w:r>
      <w:r>
        <w:rPr>
          <w:rFonts w:ascii="Arial" w:cs="Arial" w:eastAsia="Arial" w:hAnsi="Arial"/>
          <w:sz w:val="16"/>
          <w:szCs w:val="16"/>
          <w:color w:val="auto"/>
        </w:rPr>
        <w:t>.</w:t>
      </w:r>
    </w:p>
    <w:p>
      <w:pPr>
        <w:spacing w:after="0" w:line="145" w:lineRule="exact"/>
        <w:rPr>
          <w:sz w:val="20"/>
          <w:szCs w:val="20"/>
          <w:color w:val="auto"/>
        </w:rPr>
      </w:pPr>
    </w:p>
    <w:p>
      <w:pPr>
        <w:ind w:right="940"/>
        <w:spacing w:after="0" w:line="259" w:lineRule="auto"/>
        <w:rPr>
          <w:sz w:val="20"/>
          <w:szCs w:val="20"/>
          <w:color w:val="auto"/>
        </w:rPr>
      </w:pPr>
      <w:r>
        <w:rPr>
          <w:rFonts w:ascii="Arial" w:cs="Arial" w:eastAsia="Arial" w:hAnsi="Arial"/>
          <w:sz w:val="16"/>
          <w:szCs w:val="16"/>
          <w:b w:val="1"/>
          <w:bCs w:val="1"/>
          <w:i w:val="1"/>
          <w:iCs w:val="1"/>
          <w:color w:val="007CBA"/>
        </w:rPr>
        <w:t>How are transactions with persons related to Martin Marietta reviewed?</w:t>
      </w:r>
    </w:p>
    <w:p>
      <w:pPr>
        <w:spacing w:after="0" w:line="1"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 Since January 1, 2016, there have been no such transactions.</w:t>
      </w:r>
    </w:p>
    <w:p>
      <w:pPr>
        <w:spacing w:after="0" w:line="16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Each Director, executive officer, and nominee for Director of Martin Marietta receives and agrees to abide by Martin Marietta’s </w:t>
      </w:r>
      <w:r>
        <w:rPr>
          <w:rFonts w:ascii="Arial" w:cs="Arial" w:eastAsia="Arial" w:hAnsi="Arial"/>
          <w:sz w:val="16"/>
          <w:szCs w:val="16"/>
          <w:i w:val="1"/>
          <w:iCs w:val="1"/>
          <w:color w:val="auto"/>
        </w:rPr>
        <w:t>Code of Ethical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Conduct</w:t>
      </w:r>
      <w:r>
        <w:rPr>
          <w:rFonts w:ascii="Arial" w:cs="Arial" w:eastAsia="Arial" w:hAnsi="Arial"/>
          <w:sz w:val="16"/>
          <w:szCs w:val="16"/>
          <w:color w:val="auto"/>
        </w:rPr>
        <w:t>. Martin Marietta considers that any transaction in which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 participates and in which any related person of Martin Marietta has a direct or indirect material interest will be subject to Martin Marietta’s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Ethical Business Conduct </w:t>
      </w:r>
      <w:r>
        <w:rPr>
          <w:rFonts w:ascii="Arial" w:cs="Arial" w:eastAsia="Arial" w:hAnsi="Arial"/>
          <w:sz w:val="16"/>
          <w:szCs w:val="16"/>
          <w:color w:val="auto"/>
        </w:rPr>
        <w:t>and subject to review, approval or ratification,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appropriate under the circumstances, by Martin Marietta under the standards enumerated in Martin Marietta’s </w:t>
      </w:r>
      <w:r>
        <w:rPr>
          <w:rFonts w:ascii="Arial" w:cs="Arial" w:eastAsia="Arial" w:hAnsi="Arial"/>
          <w:sz w:val="16"/>
          <w:szCs w:val="16"/>
          <w:i w:val="1"/>
          <w:iCs w:val="1"/>
          <w:color w:val="auto"/>
        </w:rPr>
        <w:t>Code of Ethical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If a proposed transaction is one in which a Director of Martin</w:t>
      </w:r>
      <w:r>
        <w:rPr>
          <w:rFonts w:ascii="Arial" w:cs="Arial" w:eastAsia="Arial" w:hAnsi="Arial"/>
          <w:sz w:val="16"/>
          <w:szCs w:val="16"/>
          <w:i w:val="1"/>
          <w:iCs w:val="1"/>
          <w:color w:val="auto"/>
        </w:rPr>
        <w:t xml:space="preserve"> </w:t>
      </w:r>
      <w:r>
        <w:rPr>
          <w:rFonts w:ascii="Arial" w:cs="Arial" w:eastAsia="Arial" w:hAnsi="Arial"/>
          <w:sz w:val="16"/>
          <w:szCs w:val="16"/>
          <w:color w:val="auto"/>
        </w:rPr>
        <w:t>Marietta has an actual or potential conflict of interest, it will be subject to review by the Chairman of the Board of Directors and the Chairman of the Nominating and Corporate Governance Committee.</w:t>
      </w:r>
    </w:p>
    <w:p>
      <w:pPr>
        <w:spacing w:after="0" w:line="170"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 xml:space="preserve">Any waivers of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6"/>
          <w:szCs w:val="16"/>
          <w:i w:val="1"/>
          <w:iCs w:val="1"/>
          <w:color w:val="auto"/>
        </w:rPr>
        <w:t>Code of Ethical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Conduct </w:t>
      </w:r>
      <w:r>
        <w:rPr>
          <w:rFonts w:ascii="Arial" w:cs="Arial" w:eastAsia="Arial" w:hAnsi="Arial"/>
          <w:sz w:val="16"/>
          <w:szCs w:val="16"/>
          <w:color w:val="auto"/>
        </w:rPr>
        <w:t>will be promptly disclosed to Martin Marietta’s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shareholders by posting on our website,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162"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300990</wp:posOffset>
            </wp:positionV>
            <wp:extent cx="411480" cy="2489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62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bl>
    <w:p>
      <w:pPr>
        <w:sectPr>
          <w:pgSz w:w="11900" w:h="16838" w:orient="portrait"/>
          <w:cols w:equalWidth="0" w:num="2">
            <w:col w:w="5480" w:space="340"/>
            <w:col w:w="560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color w:val="auto"/>
        </w:rPr>
        <w:t>Proposal 2</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Independent Auditors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i w:val="1"/>
          <w:iCs w:val="1"/>
          <w:color w:val="007CBA"/>
        </w:rPr>
        <w:t>(Item 2 on Proxy Card)</w:t>
      </w:r>
    </w:p>
    <w:p>
      <w:pPr>
        <w:spacing w:after="0" w:line="31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of Directors recommends that the shareholders ratify the appointment of PricewaterhouseCoopers LLP (“PwC”), an independent registered public accounting firm, to audit the consolidated financial statements of Martin Marietta and the effectiveness of Martin Marietta’s internal control over financial reporting for the 2017 fiscal year. The ratification of the appointment of PricewaterhouseCoopers LLP is being submitted to the shareholders because management believes this to be good corporate practice. Should the shareholders fail to ratify this appointment, the Audit Committee will review the matter and determine, in its sole discretion, whether PwC or another independent registered public accounting firm should be retained.</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PwC served as Martin Marietta’s independent auditors for 2016 and audited the consolidated financial statements of Martin Marietta for the year ended December 31, 2016 and the effectiveness of Martin Marietta’s internal control over financial reporting as of December 31, 2016. In connection with the audit of Martin Marietta’s 2016 consolidated financial statements, Martin Marietta entered into an engagement letter with PwC that sets forth the terms by which PwC would perform audit services for Martin Marietta in 2016.</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conducted a competitive process with multiple firms to determine the Company’s independent registered public accounting firm for the fiscal year ending December 31, 2016. The Audit Committee invited several firms to participate in this process, including its then-incumbent independent auditor, Ernst &amp; Young LLP (“EY”). As a result of this process, on March 14, 2016, the Audit Committee dismissed EY as its independent registered public accounting firm for the fiscal year ending December 31, 2016. During the fiscal years ended December 31, 2015 and 2014 and in the subsequent interim period through March 14, 2016, there were no “disagreements” (as that term is described in Item 304(a)(1)(iv) of Regulation S-K of the rules and regulations of the SEC and the related instructions) with EY on any matters of accounting principles or practices, financial statement disclosure, or auditing scope or procedure which, if not resolved to the satisfaction of EY, would have caused EY to make reference to the subject matter of such disagreements in their reports on the consolidated financial statements.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audit reports of EY on the Company’s consolidated financial statements as of and for the fiscal years ended December 31, 2015 and 2014 did not contain an adverse opinion or a disclaimer of opinion, and were not qualified or modified as to uncertainty, audit scope or accounting principles. During the fiscal years ended December 31, 2015 and 2014 and in the subsequent interim period through March 14, 2016 there were no “reportable events” as that term is described in Item 304(a)(1)(v) of Regulation S-K of the rules and regulations of the SEC.</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March 14, 2016, the Audit Committee approved the appointment of PwC as the Company’s new independent registered public accounting firm for the year ending December 31, 2016. During the fiscal years ended December 31, 2015 and 2014 and in the subsequent interim period through March 14, 2016, neither the Company nor anyone acting on its behalf consulted with PwC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PwC concluded was an important factor considered by the Company in reaching a decision as to any accounting, auditing, or financial reporting issue, (ii) any matter that was the subject of a disagreement as defined in Item 304(a)(1)(iv) of Regulation S-K, or (iii) any reportable event as defined in Item 304(a)(1)(v) of Regulation S-K of the rules and regulations of the SEC.</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Audit Committee is solely responsible for retaining or terminating Martin Marietta’s independent auditors. Representatives of PwC are expected to attend the Annual Meeting, will have the opportunity to make a statement if they so desire, and will be available to respond to questions from shareholders.</w:t>
      </w:r>
    </w:p>
    <w:p>
      <w:pPr>
        <w:spacing w:after="0" w:line="222" w:lineRule="exact"/>
        <w:rPr>
          <w:sz w:val="20"/>
          <w:szCs w:val="20"/>
          <w:color w:val="auto"/>
        </w:rPr>
      </w:pPr>
    </w:p>
    <w:p>
      <w:pPr>
        <w:ind w:left="4180"/>
        <w:spacing w:after="0"/>
        <w:rPr>
          <w:sz w:val="20"/>
          <w:szCs w:val="20"/>
          <w:color w:val="auto"/>
        </w:rPr>
      </w:pPr>
      <w:r>
        <w:rPr>
          <w:rFonts w:ascii="Arial" w:cs="Arial" w:eastAsia="Arial" w:hAnsi="Arial"/>
          <w:sz w:val="25"/>
          <w:szCs w:val="25"/>
          <w:color w:val="007CBA"/>
        </w:rPr>
        <w:t>The Board Unanimously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-80010</wp:posOffset>
            </wp:positionV>
            <wp:extent cx="325755"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4180"/>
        <w:spacing w:after="0"/>
        <w:rPr>
          <w:sz w:val="20"/>
          <w:szCs w:val="20"/>
          <w:color w:val="auto"/>
        </w:rPr>
      </w:pPr>
      <w:r>
        <w:rPr>
          <w:rFonts w:ascii="Arial" w:cs="Arial" w:eastAsia="Arial" w:hAnsi="Arial"/>
          <w:sz w:val="25"/>
          <w:szCs w:val="25"/>
          <w:color w:val="007CBA"/>
        </w:rPr>
        <w:t>Recommends a Vote “</w:t>
      </w:r>
      <w:r>
        <w:rPr>
          <w:rFonts w:ascii="Arial" w:cs="Arial" w:eastAsia="Arial" w:hAnsi="Arial"/>
          <w:sz w:val="25"/>
          <w:szCs w:val="25"/>
          <w:b w:val="1"/>
          <w:bCs w:val="1"/>
          <w:color w:val="007CBA"/>
        </w:rPr>
        <w:t>FOR</w:t>
      </w:r>
      <w:r>
        <w:rPr>
          <w:rFonts w:ascii="Arial" w:cs="Arial" w:eastAsia="Arial" w:hAnsi="Arial"/>
          <w:sz w:val="25"/>
          <w:szCs w:val="25"/>
          <w:color w:val="007CBA"/>
        </w:rPr>
        <w:t>”</w:t>
      </w:r>
    </w:p>
    <w:p>
      <w:pPr>
        <w:spacing w:after="0" w:line="10" w:lineRule="exact"/>
        <w:rPr>
          <w:sz w:val="20"/>
          <w:szCs w:val="20"/>
          <w:color w:val="auto"/>
        </w:rPr>
      </w:pPr>
    </w:p>
    <w:p>
      <w:pPr>
        <w:ind w:left="4180"/>
        <w:spacing w:after="0"/>
        <w:rPr>
          <w:sz w:val="20"/>
          <w:szCs w:val="20"/>
          <w:color w:val="auto"/>
        </w:rPr>
      </w:pPr>
      <w:r>
        <w:rPr>
          <w:rFonts w:ascii="Arial" w:cs="Arial" w:eastAsia="Arial" w:hAnsi="Arial"/>
          <w:sz w:val="25"/>
          <w:szCs w:val="25"/>
          <w:color w:val="007CBA"/>
        </w:rPr>
        <w:t>on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262255</wp:posOffset>
            </wp:positionV>
            <wp:extent cx="411480" cy="2489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Summary of Fees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Proposal 2: Independent Auditors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Summary of Fees</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summarizes the aggregate fees billed for professional services rendered to Martin Marietta by PwC in 2016 and EY in 2015. A description of these various fees and services follows the table.</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189"/>
        </w:trPr>
        <w:tc>
          <w:tcPr>
            <w:tcW w:w="5300" w:type="dxa"/>
            <w:vAlign w:val="bottom"/>
            <w:tcBorders>
              <w:right w:val="single" w:sz="8" w:color="007CBA"/>
            </w:tcBorders>
            <w:shd w:val="clear" w:color="auto" w:fill="007CBA"/>
          </w:tcPr>
          <w:p>
            <w:pPr>
              <w:spacing w:after="0"/>
              <w:rPr>
                <w:sz w:val="16"/>
                <w:szCs w:val="16"/>
                <w:color w:val="auto"/>
              </w:rPr>
            </w:pPr>
          </w:p>
        </w:tc>
        <w:tc>
          <w:tcPr>
            <w:tcW w:w="1340" w:type="dxa"/>
            <w:vAlign w:val="bottom"/>
            <w:tcBorders>
              <w:right w:val="single" w:sz="8" w:color="007CBA"/>
            </w:tcBorders>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2016</w:t>
            </w:r>
          </w:p>
        </w:tc>
        <w:tc>
          <w:tcPr>
            <w:tcW w:w="1340" w:type="dxa"/>
            <w:vAlign w:val="bottom"/>
            <w:shd w:val="clear" w:color="auto" w:fill="007CBA"/>
          </w:tcPr>
          <w:p>
            <w:pPr>
              <w:jc w:val="right"/>
              <w:ind w:right="299"/>
              <w:spacing w:after="0"/>
              <w:rPr>
                <w:sz w:val="20"/>
                <w:szCs w:val="20"/>
                <w:color w:val="auto"/>
              </w:rPr>
            </w:pPr>
            <w:r>
              <w:rPr>
                <w:rFonts w:ascii="Arial" w:cs="Arial" w:eastAsia="Arial" w:hAnsi="Arial"/>
                <w:sz w:val="16"/>
                <w:szCs w:val="16"/>
                <w:b w:val="1"/>
                <w:bCs w:val="1"/>
                <w:color w:val="FFFFFF"/>
              </w:rPr>
              <w:t>2015</w:t>
            </w:r>
          </w:p>
        </w:tc>
      </w:tr>
      <w:tr>
        <w:trPr>
          <w:trHeight w:val="189"/>
        </w:trPr>
        <w:tc>
          <w:tcPr>
            <w:tcW w:w="53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Audit Fees</w:t>
            </w:r>
          </w:p>
        </w:tc>
        <w:tc>
          <w:tcPr>
            <w:tcW w:w="1340" w:type="dxa"/>
            <w:vAlign w:val="bottom"/>
            <w:tcBorders>
              <w:right w:val="single" w:sz="8" w:color="007CBA"/>
            </w:tcBorders>
          </w:tcPr>
          <w:p>
            <w:pPr>
              <w:jc w:val="right"/>
              <w:ind w:right="179"/>
              <w:spacing w:after="0"/>
              <w:rPr>
                <w:sz w:val="20"/>
                <w:szCs w:val="20"/>
                <w:color w:val="auto"/>
              </w:rPr>
            </w:pPr>
            <w:r>
              <w:rPr>
                <w:rFonts w:ascii="Arial" w:cs="Arial" w:eastAsia="Arial" w:hAnsi="Arial"/>
                <w:sz w:val="16"/>
                <w:szCs w:val="16"/>
                <w:color w:val="auto"/>
              </w:rPr>
              <w:t>$2,473,000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$2,825,000</w:t>
            </w:r>
          </w:p>
        </w:tc>
      </w:tr>
      <w:tr>
        <w:trPr>
          <w:trHeight w:val="189"/>
        </w:trPr>
        <w:tc>
          <w:tcPr>
            <w:tcW w:w="5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Audit-Related Fees</w:t>
            </w:r>
          </w:p>
        </w:tc>
        <w:tc>
          <w:tcPr>
            <w:tcW w:w="1340" w:type="dxa"/>
            <w:vAlign w:val="bottom"/>
            <w:tcBorders>
              <w:right w:val="single" w:sz="8" w:color="007CBA"/>
            </w:tcBorders>
            <w:shd w:val="clear" w:color="auto" w:fill="E5F1F8"/>
          </w:tcPr>
          <w:p>
            <w:pPr>
              <w:jc w:val="right"/>
              <w:ind w:right="179"/>
              <w:spacing w:after="0"/>
              <w:rPr>
                <w:sz w:val="20"/>
                <w:szCs w:val="20"/>
                <w:color w:val="auto"/>
              </w:rPr>
            </w:pPr>
            <w:r>
              <w:rPr>
                <w:rFonts w:ascii="Arial" w:cs="Arial" w:eastAsia="Arial" w:hAnsi="Arial"/>
                <w:sz w:val="16"/>
                <w:szCs w:val="16"/>
                <w:color w:val="auto"/>
              </w:rPr>
              <w:t>103,000</w:t>
            </w:r>
          </w:p>
        </w:tc>
        <w:tc>
          <w:tcPr>
            <w:tcW w:w="1340" w:type="dxa"/>
            <w:vAlign w:val="bottom"/>
            <w:shd w:val="clear" w:color="auto" w:fill="E5F1F8"/>
          </w:tcPr>
          <w:p>
            <w:pPr>
              <w:jc w:val="right"/>
              <w:ind w:right="159"/>
              <w:spacing w:after="0"/>
              <w:rPr>
                <w:sz w:val="20"/>
                <w:szCs w:val="20"/>
                <w:color w:val="auto"/>
              </w:rPr>
            </w:pPr>
            <w:r>
              <w:rPr>
                <w:rFonts w:ascii="Arial" w:cs="Arial" w:eastAsia="Arial" w:hAnsi="Arial"/>
                <w:sz w:val="16"/>
                <w:szCs w:val="16"/>
                <w:color w:val="auto"/>
              </w:rPr>
              <w:t>90,000</w:t>
            </w:r>
          </w:p>
        </w:tc>
      </w:tr>
      <w:tr>
        <w:trPr>
          <w:trHeight w:val="189"/>
        </w:trPr>
        <w:tc>
          <w:tcPr>
            <w:tcW w:w="53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Tax Fees</w:t>
            </w:r>
          </w:p>
        </w:tc>
        <w:tc>
          <w:tcPr>
            <w:tcW w:w="1340" w:type="dxa"/>
            <w:vAlign w:val="bottom"/>
            <w:tcBorders>
              <w:right w:val="single" w:sz="8" w:color="007CBA"/>
            </w:tcBorders>
          </w:tcPr>
          <w:p>
            <w:pPr>
              <w:jc w:val="right"/>
              <w:ind w:right="179"/>
              <w:spacing w:after="0"/>
              <w:rPr>
                <w:sz w:val="20"/>
                <w:szCs w:val="20"/>
                <w:color w:val="auto"/>
              </w:rPr>
            </w:pPr>
            <w:r>
              <w:rPr>
                <w:rFonts w:ascii="Arial" w:cs="Arial" w:eastAsia="Arial" w:hAnsi="Arial"/>
                <w:sz w:val="16"/>
                <w:szCs w:val="16"/>
                <w:color w:val="auto"/>
              </w:rPr>
              <w:t>40,000</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853,000</w:t>
            </w:r>
          </w:p>
        </w:tc>
      </w:tr>
      <w:tr>
        <w:trPr>
          <w:trHeight w:val="189"/>
        </w:trPr>
        <w:tc>
          <w:tcPr>
            <w:tcW w:w="530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All Other Fees</w:t>
            </w:r>
          </w:p>
        </w:tc>
        <w:tc>
          <w:tcPr>
            <w:tcW w:w="1340" w:type="dxa"/>
            <w:vAlign w:val="bottom"/>
            <w:tcBorders>
              <w:bottom w:val="single" w:sz="8" w:color="007CBA"/>
              <w:right w:val="single" w:sz="8" w:color="007CBA"/>
            </w:tcBorders>
            <w:shd w:val="clear" w:color="auto" w:fill="E5F1F8"/>
          </w:tcPr>
          <w:p>
            <w:pPr>
              <w:jc w:val="right"/>
              <w:ind w:right="179"/>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007CBA"/>
            </w:tcBorders>
            <w:shd w:val="clear" w:color="auto" w:fill="E5F1F8"/>
          </w:tcPr>
          <w:p>
            <w:pPr>
              <w:jc w:val="right"/>
              <w:ind w:right="159"/>
              <w:spacing w:after="0"/>
              <w:rPr>
                <w:sz w:val="20"/>
                <w:szCs w:val="20"/>
                <w:color w:val="auto"/>
              </w:rPr>
            </w:pPr>
            <w:r>
              <w:rPr>
                <w:rFonts w:ascii="Arial" w:cs="Arial" w:eastAsia="Arial" w:hAnsi="Arial"/>
                <w:sz w:val="16"/>
                <w:szCs w:val="16"/>
                <w:color w:val="auto"/>
              </w:rPr>
              <w:t>0</w:t>
            </w:r>
          </w:p>
        </w:tc>
      </w:tr>
      <w:tr>
        <w:trPr>
          <w:trHeight w:val="183"/>
        </w:trPr>
        <w:tc>
          <w:tcPr>
            <w:tcW w:w="5300" w:type="dxa"/>
            <w:vAlign w:val="bottom"/>
            <w:tcBorders>
              <w:bottom w:val="single" w:sz="8" w:color="007CBA"/>
              <w:right w:val="single" w:sz="8" w:color="007CBA"/>
            </w:tcBorders>
          </w:tcPr>
          <w:p>
            <w:pPr>
              <w:ind w:left="80"/>
              <w:spacing w:after="0" w:line="183" w:lineRule="exact"/>
              <w:rPr>
                <w:sz w:val="20"/>
                <w:szCs w:val="20"/>
                <w:color w:val="auto"/>
              </w:rPr>
            </w:pPr>
            <w:r>
              <w:rPr>
                <w:rFonts w:ascii="Arial" w:cs="Arial" w:eastAsia="Arial" w:hAnsi="Arial"/>
                <w:sz w:val="16"/>
                <w:szCs w:val="16"/>
                <w:color w:val="auto"/>
              </w:rPr>
              <w:t>TOTAL</w:t>
            </w:r>
          </w:p>
        </w:tc>
        <w:tc>
          <w:tcPr>
            <w:tcW w:w="1340" w:type="dxa"/>
            <w:vAlign w:val="bottom"/>
            <w:tcBorders>
              <w:bottom w:val="single" w:sz="8" w:color="007CBA"/>
              <w:right w:val="single" w:sz="8" w:color="007CBA"/>
            </w:tcBorders>
          </w:tcPr>
          <w:p>
            <w:pPr>
              <w:jc w:val="right"/>
              <w:ind w:right="179"/>
              <w:spacing w:after="0" w:line="183" w:lineRule="exact"/>
              <w:rPr>
                <w:sz w:val="20"/>
                <w:szCs w:val="20"/>
                <w:color w:val="auto"/>
              </w:rPr>
            </w:pPr>
            <w:r>
              <w:rPr>
                <w:rFonts w:ascii="Arial" w:cs="Arial" w:eastAsia="Arial" w:hAnsi="Arial"/>
                <w:sz w:val="16"/>
                <w:szCs w:val="16"/>
                <w:color w:val="auto"/>
              </w:rPr>
              <w:t>$2,616,000</w:t>
            </w:r>
          </w:p>
        </w:tc>
        <w:tc>
          <w:tcPr>
            <w:tcW w:w="1340" w:type="dxa"/>
            <w:vAlign w:val="bottom"/>
            <w:tcBorders>
              <w:bottom w:val="single" w:sz="8" w:color="007CBA"/>
            </w:tcBorders>
          </w:tcPr>
          <w:p>
            <w:pPr>
              <w:jc w:val="right"/>
              <w:ind w:right="159"/>
              <w:spacing w:after="0" w:line="183" w:lineRule="exact"/>
              <w:rPr>
                <w:sz w:val="20"/>
                <w:szCs w:val="20"/>
                <w:color w:val="auto"/>
              </w:rPr>
            </w:pPr>
            <w:r>
              <w:rPr>
                <w:rFonts w:ascii="Arial" w:cs="Arial" w:eastAsia="Arial" w:hAnsi="Arial"/>
                <w:sz w:val="16"/>
                <w:szCs w:val="16"/>
                <w:color w:val="auto"/>
              </w:rPr>
              <w:t>$3,768,000</w:t>
            </w:r>
          </w:p>
        </w:tc>
      </w:tr>
      <w:tr>
        <w:trPr>
          <w:trHeight w:val="183"/>
        </w:trPr>
        <w:tc>
          <w:tcPr>
            <w:tcW w:w="5300" w:type="dxa"/>
            <w:vAlign w:val="bottom"/>
            <w:tcBorders>
              <w:bottom w:val="single" w:sz="8" w:color="007CBA"/>
              <w:right w:val="single" w:sz="8" w:color="007CBA"/>
            </w:tcBorders>
            <w:shd w:val="clear" w:color="auto" w:fill="E5F1F8"/>
          </w:tcPr>
          <w:p>
            <w:pPr>
              <w:ind w:left="80"/>
              <w:spacing w:after="0" w:line="183" w:lineRule="exact"/>
              <w:rPr>
                <w:sz w:val="20"/>
                <w:szCs w:val="20"/>
                <w:color w:val="auto"/>
              </w:rPr>
            </w:pPr>
            <w:r>
              <w:rPr>
                <w:rFonts w:ascii="Arial" w:cs="Arial" w:eastAsia="Arial" w:hAnsi="Arial"/>
                <w:sz w:val="16"/>
                <w:szCs w:val="16"/>
                <w:color w:val="auto"/>
              </w:rPr>
              <w:t>Percentage of Audit &amp; Audit-Related Fees to Total Fees</w:t>
            </w:r>
          </w:p>
        </w:tc>
        <w:tc>
          <w:tcPr>
            <w:tcW w:w="1340" w:type="dxa"/>
            <w:vAlign w:val="bottom"/>
            <w:tcBorders>
              <w:bottom w:val="single" w:sz="8" w:color="007CBA"/>
              <w:right w:val="single" w:sz="8" w:color="007CBA"/>
            </w:tcBorders>
            <w:shd w:val="clear" w:color="auto" w:fill="E5F1F8"/>
          </w:tcPr>
          <w:p>
            <w:pPr>
              <w:jc w:val="right"/>
              <w:ind w:right="139"/>
              <w:spacing w:after="0" w:line="183" w:lineRule="exact"/>
              <w:rPr>
                <w:sz w:val="20"/>
                <w:szCs w:val="20"/>
                <w:color w:val="auto"/>
              </w:rPr>
            </w:pPr>
            <w:r>
              <w:rPr>
                <w:rFonts w:ascii="Arial" w:cs="Arial" w:eastAsia="Arial" w:hAnsi="Arial"/>
                <w:sz w:val="16"/>
                <w:szCs w:val="16"/>
                <w:color w:val="auto"/>
              </w:rPr>
              <w:t>98.5%</w:t>
            </w:r>
          </w:p>
        </w:tc>
        <w:tc>
          <w:tcPr>
            <w:tcW w:w="1340" w:type="dxa"/>
            <w:vAlign w:val="bottom"/>
            <w:tcBorders>
              <w:bottom w:val="single" w:sz="8" w:color="007CBA"/>
            </w:tcBorders>
            <w:shd w:val="clear" w:color="auto" w:fill="E5F1F8"/>
          </w:tcPr>
          <w:p>
            <w:pPr>
              <w:jc w:val="right"/>
              <w:ind w:right="119"/>
              <w:spacing w:after="0" w:line="183" w:lineRule="exact"/>
              <w:rPr>
                <w:sz w:val="20"/>
                <w:szCs w:val="20"/>
                <w:color w:val="auto"/>
              </w:rPr>
            </w:pPr>
            <w:r>
              <w:rPr>
                <w:rFonts w:ascii="Arial" w:cs="Arial" w:eastAsia="Arial" w:hAnsi="Arial"/>
                <w:sz w:val="16"/>
                <w:szCs w:val="16"/>
                <w:color w:val="auto"/>
              </w:rPr>
              <w:t>77.4%</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Audit Fees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aggregate fees billed for professional services rendered by PwC to Martin Marietta for 2016 in connection with the annual consolidated financial statement audit, the annual internal controls audit, and reviews of Martin Marietta’s consolidated financial consolidated statements included in the quarterly reports on Form 10-Q was $2,473,000.</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aggregate fees billed for professional services rendered by EY to Martin Marietta for 2015 in connection with the annual consolidated financial statement audit, the annual internal controls audit, and reviews of Martin Marietta’s consolidated financial consolidated statements included in the quarterly reports on Form 10-Q was $2,825,000.</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Audit-Related Fees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aggregate fees billed for professional services rendered by PwC to Martin Marietta for 2016 in connection with audit-related services, including agreed-upon procedures reports, subsidiary audits and continuing education, was $103,000.</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aggregate fees billed for professional services rendered by EY to Martin Marietta for 2015 in connection with audit-related services, including agreed-upon procedures reports, subsidiary audits and continuing education, was $90,000.</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Tax Fees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aggregate fees billed for professional services rendered by PwC to Martin Marietta for 2016 in connection with tax advice related to transfer pricing issues was $40,000.</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aggregate fees billed for professional services rendered by EY to Martin Marietta for 2015 in connection with tax advice, including consultation on tax audits, transaction issues, transfer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pricing issues and other tax-related activities and tax compliance was $853,000.</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All Other Fees</w:t>
      </w:r>
    </w:p>
    <w:p>
      <w:pPr>
        <w:spacing w:after="0" w:line="150"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There were no other fees billed for other professional services rendered or products provided by PwC to Martin Marietta for 2016.</w:t>
      </w:r>
    </w:p>
    <w:p>
      <w:pPr>
        <w:spacing w:after="0" w:line="155"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There were no other fees billed for other professional services rendered or products provided by EY to Martin Marietta for 2015.</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Pre-Approval Policies and Procedures</w:t>
      </w:r>
    </w:p>
    <w:p>
      <w:pPr>
        <w:spacing w:after="0" w:line="150"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its independent auditor. The policy provides for pre-approval by the Audit Committee of specifically defined audit and non-audit services. Unless the specific service has been previously pre-approved with respect to that year, the Audit Committee must approve the permitted service before the independent auditor is engaged to perform it. The Audit Committee has delegated to the Chair of the Audit Committee authority to approve permitted services, provided that the Chair reports any decision to the Committee at its next scheduled meeting.</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Audit Committee Review</w:t>
      </w:r>
    </w:p>
    <w:p>
      <w:pPr>
        <w:spacing w:after="0" w:line="150"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In connection with the Audit Committee’s review of services rendered and fees billed by the independent auditor, the Audit Committee has considered whether the provision of the non-audit related services described above is compatible with maintaining the independent auditors’ independence and has concluded that the provision of these services did not compromise such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532130</wp:posOffset>
            </wp:positionV>
            <wp:extent cx="411480" cy="2489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757"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99"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bl>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Audit Committee Report</w:t>
      </w:r>
    </w:p>
    <w:p>
      <w:pPr>
        <w:spacing w:after="0" w:line="3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can be viewed on Martin Marietta’s website at </w:t>
      </w:r>
      <w:r>
        <w:rPr>
          <w:rFonts w:ascii="Arial" w:cs="Arial" w:eastAsia="Arial" w:hAnsi="Arial"/>
          <w:sz w:val="16"/>
          <w:szCs w:val="16"/>
          <w:i w:val="1"/>
          <w:iCs w:val="1"/>
          <w:color w:val="auto"/>
        </w:rPr>
        <w:t>www.martinmarietta.com.</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discharge of its responsibilities, the Audit Committee has reviewed and discussed with management and the independent auditors Martin Marietta’s audited consolidated financial statements for fiscal year 2016. In addition, the Committee has discussed with the independent auditors matters such as the quality (in addition to acceptability), clarity, consistency, and completeness of Martin Marietta’s financial reporting, as required by Auditing Standard No. 1301, Communications with Audit Committees, as adopted by the Public Company Accounting Oversight Board.</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6"/>
          <w:szCs w:val="16"/>
          <w:i w:val="1"/>
          <w:iCs w:val="1"/>
          <w:color w:val="auto"/>
        </w:rPr>
        <w:t>Communication with Audit Committees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and has discussed with the independent auditors the independent auditors’ independence. These disclosures have been reviewed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discussed with the independent auditors.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on these reviews and discussions, the Audit Committee has recommended to the Board of Directors that the audited financial statements be included in Martin Marietta’s 2016 Annual Report on Form 10-K for filing with the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2017</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AUDIT COMMITTEE</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David G. Maffucci,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 J. Koraleski</w:t>
      </w:r>
    </w:p>
    <w:p>
      <w:pPr>
        <w:ind w:left="6060"/>
        <w:spacing w:after="0" w:line="232" w:lineRule="auto"/>
        <w:rPr>
          <w:sz w:val="20"/>
          <w:szCs w:val="20"/>
          <w:color w:val="auto"/>
        </w:rPr>
      </w:pPr>
      <w:r>
        <w:rPr>
          <w:rFonts w:ascii="Arial" w:cs="Arial" w:eastAsia="Arial" w:hAnsi="Arial"/>
          <w:sz w:val="17"/>
          <w:szCs w:val="17"/>
          <w:color w:val="auto"/>
        </w:rPr>
        <w:t>Laree E. Perez</w:t>
      </w:r>
    </w:p>
    <w:p>
      <w:pPr>
        <w:ind w:left="6060"/>
        <w:spacing w:after="0"/>
        <w:rPr>
          <w:sz w:val="20"/>
          <w:szCs w:val="20"/>
          <w:color w:val="auto"/>
        </w:rPr>
      </w:pPr>
      <w:r>
        <w:rPr>
          <w:rFonts w:ascii="Arial" w:cs="Arial" w:eastAsia="Arial" w:hAnsi="Arial"/>
          <w:sz w:val="17"/>
          <w:szCs w:val="17"/>
          <w:color w:val="auto"/>
        </w:rPr>
        <w:t>Dennis L. Rediker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93980</wp:posOffset>
            </wp:positionV>
            <wp:extent cx="411480"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line="256" w:lineRule="auto"/>
        <w:rPr>
          <w:sz w:val="20"/>
          <w:szCs w:val="20"/>
          <w:color w:val="auto"/>
        </w:rPr>
      </w:pPr>
      <w:r>
        <w:rPr>
          <w:rFonts w:ascii="Arial" w:cs="Arial" w:eastAsia="Arial" w:hAnsi="Arial"/>
          <w:sz w:val="43"/>
          <w:szCs w:val="43"/>
          <w:color w:val="auto"/>
        </w:rPr>
        <w:t>Management Development and Compensation Committee Report</w:t>
      </w:r>
    </w:p>
    <w:p>
      <w:pPr>
        <w:spacing w:after="0" w:line="25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The Management Development and Compensation Committee has reviewed and discussed with management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28 of this Proxy Statement. Based on this review and discussion, the Management Development and Compensation Committee recommended to the Board of Directors that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 included in Martin Marietta’s Annual Report on Form 10-K and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2017</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MANAGEMENT DEVELOPMENT AND</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COMPENSATION COMMITTEE</w:t>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 xml:space="preserve">Michael J. Quillen, </w:t>
      </w:r>
      <w:r>
        <w:rPr>
          <w:rFonts w:ascii="Arial" w:cs="Arial" w:eastAsia="Arial" w:hAnsi="Arial"/>
          <w:sz w:val="17"/>
          <w:szCs w:val="17"/>
          <w:i w:val="1"/>
          <w:iCs w:val="1"/>
          <w:color w:val="auto"/>
        </w:rPr>
        <w:t>Chair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Sue W. Cole</w:t>
      </w:r>
    </w:p>
    <w:p>
      <w:pPr>
        <w:ind w:left="6060"/>
        <w:spacing w:after="0" w:line="232" w:lineRule="auto"/>
        <w:rPr>
          <w:sz w:val="20"/>
          <w:szCs w:val="20"/>
          <w:color w:val="auto"/>
        </w:rPr>
      </w:pPr>
      <w:r>
        <w:rPr>
          <w:rFonts w:ascii="Arial" w:cs="Arial" w:eastAsia="Arial" w:hAnsi="Arial"/>
          <w:sz w:val="17"/>
          <w:szCs w:val="17"/>
          <w:color w:val="auto"/>
        </w:rPr>
        <w:t>John J. Koraleski</w:t>
      </w:r>
    </w:p>
    <w:p>
      <w:pPr>
        <w:ind w:left="6060"/>
        <w:spacing w:after="0"/>
        <w:rPr>
          <w:sz w:val="20"/>
          <w:szCs w:val="20"/>
          <w:color w:val="auto"/>
        </w:rPr>
      </w:pPr>
      <w:r>
        <w:rPr>
          <w:rFonts w:ascii="Arial" w:cs="Arial" w:eastAsia="Arial" w:hAnsi="Arial"/>
          <w:sz w:val="17"/>
          <w:szCs w:val="17"/>
          <w:color w:val="auto"/>
        </w:rPr>
        <w:t>William E. McDonald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line="256" w:lineRule="auto"/>
        <w:rPr>
          <w:sz w:val="20"/>
          <w:szCs w:val="20"/>
          <w:color w:val="auto"/>
        </w:rPr>
      </w:pPr>
      <w:r>
        <w:rPr>
          <w:rFonts w:ascii="Arial" w:cs="Arial" w:eastAsia="Arial" w:hAnsi="Arial"/>
          <w:sz w:val="43"/>
          <w:szCs w:val="43"/>
          <w:color w:val="auto"/>
        </w:rPr>
        <w:t>Compensation Committee Interlocks and Insider Participation in Compensation Decisions</w:t>
      </w:r>
    </w:p>
    <w:p>
      <w:pPr>
        <w:spacing w:after="0" w:line="2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members of Martin Marietta’s Management Development and Compensation Committee are Directors Cole, Koraleski, McDonald and Quillen, none of whom has ever been an officer or employee of Martin Marietta or any of its subsidiaries, or had any relationship requiring disclosure by Martin Marietta under Item 404 of Regulation S-K. There are no executive officer-Director interlocks where an executive of Martin Marietta serves on the compensation committee of another corporation that has an executive officer serving on Martin Marietta’s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84455</wp:posOffset>
            </wp:positionV>
            <wp:extent cx="411480" cy="248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2"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27</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43"/>
          <w:szCs w:val="43"/>
          <w:color w:val="auto"/>
        </w:rPr>
        <w:t>Compensation Discussion and Analysis</w:t>
      </w:r>
    </w:p>
    <w:p>
      <w:pPr>
        <w:sectPr>
          <w:pgSz w:w="11900" w:h="16838" w:orient="portrait"/>
          <w:cols w:equalWidth="0" w:num="1">
            <w:col w:w="11300"/>
          </w:cols>
          <w:pgMar w:left="240" w:top="459" w:right="359" w:bottom="1440"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Introduction</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Compensation Discussion and Analysis, or CD&amp;A, describes our 2016 executive compensation program and the attendant oversight provided by the Management Development and Compensation Committee of the Board of Directors (the “Committee”). It also summarizes our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structure and discusses the compensation earned by Martin Marietta’s named executive officers (the CEO, the CFO, and the three other most highly compensated executive officers in 2016) as presented below in the tables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following this CD&amp;A, which contain detailed compensation information quantifying and further explaining our named executive officers’ compensation.</w:t>
      </w:r>
    </w:p>
    <w:p>
      <w:pPr>
        <w:spacing w:after="0" w:line="226"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gridSpan w:val="3"/>
          </w:tcPr>
          <w:p>
            <w:pPr>
              <w:spacing w:after="0"/>
              <w:rPr>
                <w:sz w:val="20"/>
                <w:szCs w:val="20"/>
                <w:color w:val="auto"/>
              </w:rPr>
            </w:pPr>
            <w:r>
              <w:rPr>
                <w:rFonts w:ascii="Arial" w:cs="Arial" w:eastAsia="Arial" w:hAnsi="Arial"/>
                <w:sz w:val="16"/>
                <w:szCs w:val="16"/>
                <w:color w:val="auto"/>
              </w:rPr>
              <w:t>For 2016, our named executive officers (“NEOs”) were:</w:t>
            </w:r>
          </w:p>
        </w:tc>
        <w:tc>
          <w:tcPr>
            <w:tcW w:w="506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780" w:type="dxa"/>
            <w:vAlign w:val="bottom"/>
            <w:gridSpan w:val="2"/>
            <w:shd w:val="clear" w:color="auto" w:fill="007CBA"/>
          </w:tcPr>
          <w:p>
            <w:pPr>
              <w:ind w:left="60"/>
              <w:spacing w:after="0"/>
              <w:rPr>
                <w:sz w:val="20"/>
                <w:szCs w:val="20"/>
                <w:color w:val="auto"/>
              </w:rPr>
            </w:pPr>
            <w:r>
              <w:rPr>
                <w:rFonts w:ascii="Arial" w:cs="Arial" w:eastAsia="Arial" w:hAnsi="Arial"/>
                <w:sz w:val="16"/>
                <w:szCs w:val="16"/>
                <w:b w:val="1"/>
                <w:bCs w:val="1"/>
                <w:color w:val="FFFFFF"/>
              </w:rPr>
              <w:t>NEO</w:t>
            </w:r>
          </w:p>
        </w:tc>
        <w:tc>
          <w:tcPr>
            <w:tcW w:w="5060" w:type="dxa"/>
            <w:vAlign w:val="bottom"/>
            <w:shd w:val="clear" w:color="auto" w:fill="007CBA"/>
          </w:tcPr>
          <w:p>
            <w:pPr>
              <w:ind w:left="120"/>
              <w:spacing w:after="0"/>
              <w:rPr>
                <w:sz w:val="20"/>
                <w:szCs w:val="20"/>
                <w:color w:val="auto"/>
              </w:rPr>
            </w:pPr>
            <w:r>
              <w:rPr>
                <w:rFonts w:ascii="Arial" w:cs="Arial" w:eastAsia="Arial" w:hAnsi="Arial"/>
                <w:sz w:val="16"/>
                <w:szCs w:val="16"/>
                <w:b w:val="1"/>
                <w:bCs w:val="1"/>
                <w:color w:val="FFFFFF"/>
              </w:rPr>
              <w:t>Title</w:t>
            </w:r>
          </w:p>
        </w:tc>
      </w:tr>
      <w:tr>
        <w:trPr>
          <w:trHeight w:val="189"/>
        </w:trPr>
        <w:tc>
          <w:tcPr>
            <w:tcW w:w="2300" w:type="dxa"/>
            <w:vAlign w:val="bottom"/>
          </w:tcPr>
          <w:p>
            <w:pPr>
              <w:spacing w:after="0"/>
              <w:rPr>
                <w:sz w:val="16"/>
                <w:szCs w:val="16"/>
                <w:color w:val="auto"/>
              </w:rPr>
            </w:pPr>
          </w:p>
        </w:tc>
        <w:tc>
          <w:tcPr>
            <w:tcW w:w="16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 Howard Nye</w:t>
            </w:r>
          </w:p>
        </w:tc>
        <w:tc>
          <w:tcPr>
            <w:tcW w:w="180" w:type="dxa"/>
            <w:vAlign w:val="bottom"/>
            <w:shd w:val="clear" w:color="auto" w:fill="E5F1F8"/>
          </w:tcPr>
          <w:p>
            <w:pPr>
              <w:spacing w:after="0"/>
              <w:rPr>
                <w:sz w:val="16"/>
                <w:szCs w:val="16"/>
                <w:color w:val="auto"/>
              </w:rPr>
            </w:pPr>
          </w:p>
        </w:tc>
        <w:tc>
          <w:tcPr>
            <w:tcW w:w="5060" w:type="dxa"/>
            <w:vAlign w:val="bottom"/>
            <w:shd w:val="clear" w:color="auto" w:fill="E5F1F8"/>
          </w:tcPr>
          <w:p>
            <w:pPr>
              <w:ind w:left="12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189"/>
        </w:trPr>
        <w:tc>
          <w:tcPr>
            <w:tcW w:w="2300" w:type="dxa"/>
            <w:vAlign w:val="bottom"/>
          </w:tcPr>
          <w:p>
            <w:pPr>
              <w:spacing w:after="0"/>
              <w:rPr>
                <w:sz w:val="16"/>
                <w:szCs w:val="16"/>
                <w:color w:val="auto"/>
              </w:rPr>
            </w:pPr>
          </w:p>
        </w:tc>
        <w:tc>
          <w:tcPr>
            <w:tcW w:w="16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Anne H. Lloyd</w:t>
            </w:r>
          </w:p>
        </w:tc>
        <w:tc>
          <w:tcPr>
            <w:tcW w:w="18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189"/>
        </w:trPr>
        <w:tc>
          <w:tcPr>
            <w:tcW w:w="2300" w:type="dxa"/>
            <w:vAlign w:val="bottom"/>
          </w:tcPr>
          <w:p>
            <w:pPr>
              <w:spacing w:after="0"/>
              <w:rPr>
                <w:sz w:val="16"/>
                <w:szCs w:val="16"/>
                <w:color w:val="auto"/>
              </w:rPr>
            </w:pPr>
          </w:p>
        </w:tc>
        <w:tc>
          <w:tcPr>
            <w:tcW w:w="160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Roselyn R. Bar</w:t>
            </w:r>
          </w:p>
        </w:tc>
        <w:tc>
          <w:tcPr>
            <w:tcW w:w="180" w:type="dxa"/>
            <w:vAlign w:val="bottom"/>
            <w:shd w:val="clear" w:color="auto" w:fill="E5F1F8"/>
          </w:tcPr>
          <w:p>
            <w:pPr>
              <w:spacing w:after="0"/>
              <w:rPr>
                <w:sz w:val="16"/>
                <w:szCs w:val="16"/>
                <w:color w:val="auto"/>
              </w:rPr>
            </w:pPr>
          </w:p>
        </w:tc>
        <w:tc>
          <w:tcPr>
            <w:tcW w:w="5060" w:type="dxa"/>
            <w:vAlign w:val="bottom"/>
            <w:shd w:val="clear" w:color="auto" w:fill="E5F1F8"/>
          </w:tcPr>
          <w:p>
            <w:pPr>
              <w:ind w:left="120"/>
              <w:spacing w:after="0"/>
              <w:rPr>
                <w:sz w:val="20"/>
                <w:szCs w:val="20"/>
                <w:color w:val="auto"/>
              </w:rPr>
            </w:pPr>
            <w:r>
              <w:rPr>
                <w:rFonts w:ascii="Arial" w:cs="Arial" w:eastAsia="Arial" w:hAnsi="Arial"/>
                <w:sz w:val="16"/>
                <w:szCs w:val="16"/>
                <w:color w:val="auto"/>
              </w:rPr>
              <w:t>Executive Vice President, General Counsel and Corporate Secretary</w:t>
            </w:r>
          </w:p>
        </w:tc>
      </w:tr>
      <w:tr>
        <w:trPr>
          <w:trHeight w:val="189"/>
        </w:trPr>
        <w:tc>
          <w:tcPr>
            <w:tcW w:w="2300" w:type="dxa"/>
            <w:vAlign w:val="bottom"/>
          </w:tcPr>
          <w:p>
            <w:pPr>
              <w:spacing w:after="0"/>
              <w:rPr>
                <w:sz w:val="16"/>
                <w:szCs w:val="16"/>
                <w:color w:val="auto"/>
              </w:rPr>
            </w:pPr>
          </w:p>
        </w:tc>
        <w:tc>
          <w:tcPr>
            <w:tcW w:w="160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Donald A. McCunniff</w:t>
            </w:r>
          </w:p>
        </w:tc>
        <w:tc>
          <w:tcPr>
            <w:tcW w:w="18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6"/>
                <w:szCs w:val="16"/>
                <w:color w:val="auto"/>
              </w:rPr>
              <w:t>Senior Vice President – Human Resources</w:t>
            </w:r>
          </w:p>
        </w:tc>
      </w:tr>
      <w:tr>
        <w:trPr>
          <w:trHeight w:val="189"/>
        </w:trPr>
        <w:tc>
          <w:tcPr>
            <w:tcW w:w="2300" w:type="dxa"/>
            <w:vAlign w:val="bottom"/>
          </w:tcPr>
          <w:p>
            <w:pPr>
              <w:spacing w:after="0"/>
              <w:rPr>
                <w:sz w:val="16"/>
                <w:szCs w:val="16"/>
                <w:color w:val="auto"/>
              </w:rPr>
            </w:pPr>
          </w:p>
        </w:tc>
        <w:tc>
          <w:tcPr>
            <w:tcW w:w="1600" w:type="dxa"/>
            <w:vAlign w:val="bottom"/>
            <w:tcBorders>
              <w:bottom w:val="single" w:sz="8" w:color="007CBA"/>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Daniel L. Grant</w:t>
            </w:r>
          </w:p>
        </w:tc>
        <w:tc>
          <w:tcPr>
            <w:tcW w:w="180" w:type="dxa"/>
            <w:vAlign w:val="bottom"/>
            <w:tcBorders>
              <w:bottom w:val="single" w:sz="8" w:color="007CBA"/>
            </w:tcBorders>
            <w:shd w:val="clear" w:color="auto" w:fill="E5F1F8"/>
          </w:tcPr>
          <w:p>
            <w:pPr>
              <w:spacing w:after="0"/>
              <w:rPr>
                <w:sz w:val="16"/>
                <w:szCs w:val="16"/>
                <w:color w:val="auto"/>
              </w:rPr>
            </w:pPr>
          </w:p>
        </w:tc>
        <w:tc>
          <w:tcPr>
            <w:tcW w:w="5060" w:type="dxa"/>
            <w:vAlign w:val="bottom"/>
            <w:tcBorders>
              <w:bottom w:val="single" w:sz="8" w:color="007CBA"/>
            </w:tcBorders>
            <w:shd w:val="clear" w:color="auto" w:fill="E5F1F8"/>
          </w:tcPr>
          <w:p>
            <w:pPr>
              <w:ind w:left="120"/>
              <w:spacing w:after="0"/>
              <w:rPr>
                <w:sz w:val="20"/>
                <w:szCs w:val="20"/>
                <w:color w:val="auto"/>
              </w:rPr>
            </w:pPr>
            <w:r>
              <w:rPr>
                <w:rFonts w:ascii="Arial" w:cs="Arial" w:eastAsia="Arial" w:hAnsi="Arial"/>
                <w:sz w:val="16"/>
                <w:szCs w:val="16"/>
                <w:color w:val="auto"/>
              </w:rPr>
              <w:t>Senior Vice President – Strategy &amp; Development</w:t>
            </w:r>
          </w:p>
        </w:tc>
      </w:tr>
    </w:tbl>
    <w:p>
      <w:pPr>
        <w:spacing w:after="0" w:line="200" w:lineRule="exact"/>
        <w:rPr>
          <w:sz w:val="20"/>
          <w:szCs w:val="20"/>
          <w:color w:val="auto"/>
        </w:rPr>
      </w:pPr>
    </w:p>
    <w:p>
      <w:pPr>
        <w:sectPr>
          <w:pgSz w:w="11900" w:h="16838" w:orient="portrait"/>
          <w:cols w:equalWidth="0" w:num="1">
            <w:col w:w="11300"/>
          </w:cols>
          <w:pgMar w:left="240" w:top="459" w:right="3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Executive Summary</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By almost any meaningful measure, 2016 was a remarkable year. Record financial performance </w:t>
      </w:r>
      <w:r>
        <w:rPr>
          <w:rFonts w:ascii="Arial" w:cs="Arial" w:eastAsia="Arial" w:hAnsi="Arial"/>
          <w:sz w:val="16"/>
          <w:szCs w:val="16"/>
          <w:b w:val="1"/>
          <w:bCs w:val="1"/>
          <w:color w:val="auto"/>
        </w:rPr>
        <w:t>delivered a 64 percent total shareholder return</w:t>
      </w:r>
      <w:r>
        <w:rPr>
          <w:rFonts w:ascii="Arial" w:cs="Arial" w:eastAsia="Arial" w:hAnsi="Arial"/>
          <w:sz w:val="16"/>
          <w:szCs w:val="16"/>
          <w:color w:val="auto"/>
        </w:rPr>
        <w:t xml:space="preserve"> </w:t>
      </w:r>
      <w:r>
        <w:rPr>
          <w:rFonts w:ascii="Arial" w:cs="Arial" w:eastAsia="Arial" w:hAnsi="Arial"/>
          <w:sz w:val="16"/>
          <w:szCs w:val="16"/>
          <w:b w:val="1"/>
          <w:bCs w:val="1"/>
          <w:color w:val="auto"/>
        </w:rPr>
        <w:t>(“TSR”)</w:t>
      </w:r>
      <w:r>
        <w:rPr>
          <w:rFonts w:ascii="Arial" w:cs="Arial" w:eastAsia="Arial" w:hAnsi="Arial"/>
          <w:sz w:val="16"/>
          <w:szCs w:val="16"/>
          <w:color w:val="auto"/>
        </w:rPr>
        <w:t>, the 9th best in the S&amp;P 500. We continue to focus not only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of the Company, but on the best practices needed to make Martin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Marietta not just the best aggregates company, but rather one of the world’s best companies. Our Company performance, coupled with the achievement of key strategic goals, delivered excellent results in 2016, and established an enhanced solid foundation for continued performance and delivery of shareholder value.</w:t>
      </w:r>
    </w:p>
    <w:p>
      <w:pPr>
        <w:spacing w:after="0" w:line="413"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Another Record Year: Performance Through Transformation</w:t>
      </w:r>
    </w:p>
    <w:p>
      <w:pPr>
        <w:spacing w:after="0" w:line="103" w:lineRule="exact"/>
        <w:rPr>
          <w:sz w:val="20"/>
          <w:szCs w:val="20"/>
          <w:color w:val="auto"/>
        </w:rPr>
      </w:pPr>
    </w:p>
    <w:p>
      <w:pPr>
        <w:ind w:left="4220" w:hanging="336"/>
        <w:spacing w:after="0"/>
        <w:tabs>
          <w:tab w:leader="none" w:pos="4220" w:val="left"/>
        </w:tabs>
        <w:numPr>
          <w:ilvl w:val="0"/>
          <w:numId w:val="57"/>
        </w:numPr>
        <w:rPr>
          <w:rFonts w:ascii="MS PGothic" w:cs="MS PGothic" w:eastAsia="MS PGothic" w:hAnsi="MS PGothic"/>
          <w:sz w:val="16"/>
          <w:szCs w:val="16"/>
          <w:color w:val="auto"/>
        </w:rPr>
      </w:pPr>
      <w:r>
        <w:rPr>
          <w:rFonts w:ascii="Arial" w:cs="Arial" w:eastAsia="Arial" w:hAnsi="Arial"/>
          <w:sz w:val="16"/>
          <w:szCs w:val="16"/>
          <w:color w:val="auto"/>
        </w:rPr>
        <w:t>Record net sales of $3.6 billion</w:t>
      </w:r>
    </w:p>
    <w:p>
      <w:pPr>
        <w:spacing w:after="0" w:line="99" w:lineRule="exact"/>
        <w:rPr>
          <w:rFonts w:ascii="MS PGothic" w:cs="MS PGothic" w:eastAsia="MS PGothic" w:hAnsi="MS PGothic"/>
          <w:sz w:val="16"/>
          <w:szCs w:val="16"/>
          <w:color w:val="auto"/>
        </w:rPr>
      </w:pPr>
    </w:p>
    <w:p>
      <w:pPr>
        <w:ind w:left="4220" w:hanging="336"/>
        <w:spacing w:after="0"/>
        <w:tabs>
          <w:tab w:leader="none" w:pos="4220" w:val="left"/>
        </w:tabs>
        <w:numPr>
          <w:ilvl w:val="0"/>
          <w:numId w:val="57"/>
        </w:numPr>
        <w:rPr>
          <w:rFonts w:ascii="MS PGothic" w:cs="MS PGothic" w:eastAsia="MS PGothic" w:hAnsi="MS PGothic"/>
          <w:sz w:val="16"/>
          <w:szCs w:val="16"/>
          <w:color w:val="auto"/>
        </w:rPr>
      </w:pPr>
      <w:r>
        <w:rPr>
          <w:rFonts w:ascii="Arial" w:cs="Arial" w:eastAsia="Arial" w:hAnsi="Arial"/>
          <w:sz w:val="16"/>
          <w:szCs w:val="16"/>
          <w:color w:val="auto"/>
        </w:rPr>
        <w:t>Record gross profit of $908.9 million</w:t>
      </w:r>
    </w:p>
    <w:p>
      <w:pPr>
        <w:spacing w:after="0" w:line="99" w:lineRule="exact"/>
        <w:rPr>
          <w:rFonts w:ascii="MS PGothic" w:cs="MS PGothic" w:eastAsia="MS PGothic" w:hAnsi="MS PGothic"/>
          <w:sz w:val="16"/>
          <w:szCs w:val="16"/>
          <w:color w:val="auto"/>
        </w:rPr>
      </w:pPr>
    </w:p>
    <w:p>
      <w:pPr>
        <w:ind w:left="4220" w:hanging="336"/>
        <w:spacing w:after="0"/>
        <w:tabs>
          <w:tab w:leader="none" w:pos="4220" w:val="left"/>
        </w:tabs>
        <w:numPr>
          <w:ilvl w:val="0"/>
          <w:numId w:val="57"/>
        </w:numPr>
        <w:rPr>
          <w:rFonts w:ascii="MS PGothic" w:cs="MS PGothic" w:eastAsia="MS PGothic" w:hAnsi="MS PGothic"/>
          <w:sz w:val="16"/>
          <w:szCs w:val="16"/>
          <w:color w:val="auto"/>
        </w:rPr>
      </w:pPr>
      <w:r>
        <w:rPr>
          <w:rFonts w:ascii="Arial" w:cs="Arial" w:eastAsia="Arial" w:hAnsi="Arial"/>
          <w:sz w:val="16"/>
          <w:szCs w:val="16"/>
          <w:color w:val="auto"/>
        </w:rPr>
        <w:t>Record net sales and gross margin with 80% of peak shipment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147955</wp:posOffset>
            </wp:positionV>
            <wp:extent cx="5848985" cy="129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8985" cy="129476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performance earned us recognition, including being </w:t>
      </w:r>
      <w:r>
        <w:rPr>
          <w:rFonts w:ascii="Arial" w:cs="Arial" w:eastAsia="Arial" w:hAnsi="Arial"/>
          <w:sz w:val="16"/>
          <w:szCs w:val="16"/>
          <w:b w:val="1"/>
          <w:bCs w:val="1"/>
          <w:color w:val="auto"/>
        </w:rPr>
        <w:t>ranked #57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Fortune’s 100 fastest growing companies in the world </w:t>
      </w:r>
      <w:r>
        <w:rPr>
          <w:rFonts w:ascii="Arial" w:cs="Arial" w:eastAsia="Arial" w:hAnsi="Arial"/>
          <w:sz w:val="16"/>
          <w:szCs w:val="16"/>
          <w:color w:val="auto"/>
        </w:rPr>
        <w:t>and</w:t>
      </w:r>
      <w:r>
        <w:rPr>
          <w:rFonts w:ascii="Arial" w:cs="Arial" w:eastAsia="Arial" w:hAnsi="Arial"/>
          <w:sz w:val="16"/>
          <w:szCs w:val="16"/>
          <w:b w:val="1"/>
          <w:bCs w:val="1"/>
          <w:color w:val="auto"/>
        </w:rPr>
        <w:t xml:space="preserve"> ranked #9 in the S&amp;P 500 </w:t>
      </w:r>
      <w:r>
        <w:rPr>
          <w:rFonts w:ascii="Arial" w:cs="Arial" w:eastAsia="Arial" w:hAnsi="Arial"/>
          <w:sz w:val="16"/>
          <w:szCs w:val="16"/>
          <w:color w:val="auto"/>
        </w:rPr>
        <w:t>in 2016. During the period January 1, 2006 to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2016, </w:t>
      </w:r>
      <w:r>
        <w:rPr>
          <w:rFonts w:ascii="Arial" w:cs="Arial" w:eastAsia="Arial" w:hAnsi="Arial"/>
          <w:sz w:val="16"/>
          <w:szCs w:val="16"/>
          <w:b w:val="1"/>
          <w:bCs w:val="1"/>
          <w:color w:val="auto"/>
        </w:rPr>
        <w:t>our TSR of</w:t>
      </w:r>
    </w:p>
    <w:p>
      <w:pPr>
        <w:spacing w:after="0" w:line="29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107.37% represented a 72% premium </w:t>
      </w:r>
      <w:r>
        <w:rPr>
          <w:rFonts w:ascii="Arial" w:cs="Arial" w:eastAsia="Arial" w:hAnsi="Arial"/>
          <w:sz w:val="16"/>
          <w:szCs w:val="16"/>
          <w:color w:val="auto"/>
        </w:rPr>
        <w:t>relative to the performance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S&amp;P 500 TSR of 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393700</wp:posOffset>
            </wp:positionV>
            <wp:extent cx="411480" cy="248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80"/>
          </w:cols>
          <w:pgMar w:left="240" w:top="459" w:right="3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7500"/>
        <w:spacing w:after="0" w:line="276" w:lineRule="exact"/>
        <w:rPr>
          <w:sz w:val="20"/>
          <w:szCs w:val="20"/>
          <w:color w:val="auto"/>
        </w:rPr>
      </w:pPr>
      <w:r>
        <w:rPr>
          <w:rFonts w:ascii="Arial" w:cs="Arial" w:eastAsia="Arial" w:hAnsi="Arial"/>
          <w:sz w:val="13"/>
          <w:szCs w:val="13"/>
          <w:color w:val="auto"/>
        </w:rPr>
        <w:t xml:space="preserve">Executive Summary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2016, we continued to execute on our strategic plan, following the $2.8 billion acquisition of Texas Industries, Inc. in 2014, and focused on strategically positioning ourselves in high-growth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174625</wp:posOffset>
            </wp:positionV>
            <wp:extent cx="4742180" cy="17665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4218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Despite significant precipitation in many of our key markets and modest shipment volume increases, we achieved record growth in 2016 that led to increased profits versus the prior year. Effective management provided us the ability to prudently reinvest in our business, pursue strategic opportunities, and return cash to our shareholders. Based on our strategy, we have achieved the number 1 or 2 position in 85% of the regions in which we operate, giving us a foundation for durable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179070</wp:posOffset>
            </wp:positionV>
            <wp:extent cx="4073525" cy="26327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7352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In summary, Martin Marietta continued to execute its strategic plan while delivering strong performance in 2016:</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ind w:left="380" w:hanging="291"/>
        <w:spacing w:after="0" w:line="286" w:lineRule="auto"/>
        <w:tabs>
          <w:tab w:leader="none" w:pos="380" w:val="left"/>
        </w:tabs>
        <w:numPr>
          <w:ilvl w:val="0"/>
          <w:numId w:val="59"/>
        </w:numPr>
        <w:rPr>
          <w:rFonts w:ascii="Arial" w:cs="Arial" w:eastAsia="Arial" w:hAnsi="Arial"/>
          <w:sz w:val="16"/>
          <w:szCs w:val="16"/>
          <w:color w:val="007CBA"/>
        </w:rPr>
      </w:pPr>
      <w:r>
        <w:rPr>
          <w:rFonts w:ascii="Arial" w:cs="Arial" w:eastAsia="Arial" w:hAnsi="Arial"/>
          <w:sz w:val="16"/>
          <w:szCs w:val="16"/>
          <w:b w:val="1"/>
          <w:bCs w:val="1"/>
          <w:color w:val="auto"/>
        </w:rPr>
        <w:t xml:space="preserve">Record net sales of $3.6 billion </w:t>
      </w:r>
      <w:r>
        <w:rPr>
          <w:rFonts w:ascii="Arial" w:cs="Arial" w:eastAsia="Arial" w:hAnsi="Arial"/>
          <w:sz w:val="16"/>
          <w:szCs w:val="16"/>
          <w:color w:val="auto"/>
        </w:rPr>
        <w:t>(compared with $3.3 billion),</w:t>
      </w:r>
      <w:r>
        <w:rPr>
          <w:rFonts w:ascii="Arial" w:cs="Arial" w:eastAsia="Arial" w:hAnsi="Arial"/>
          <w:sz w:val="16"/>
          <w:szCs w:val="16"/>
          <w:b w:val="1"/>
          <w:bCs w:val="1"/>
          <w:color w:val="auto"/>
        </w:rPr>
        <w:t xml:space="preserve"> an increase of 9.4% </w:t>
      </w:r>
      <w:r>
        <w:rPr>
          <w:rFonts w:ascii="Arial" w:cs="Arial" w:eastAsia="Arial" w:hAnsi="Arial"/>
          <w:sz w:val="16"/>
          <w:szCs w:val="16"/>
          <w:color w:val="auto"/>
        </w:rPr>
        <w:t>from 2015</w:t>
      </w:r>
    </w:p>
    <w:p>
      <w:pPr>
        <w:spacing w:after="0" w:line="20" w:lineRule="exact"/>
        <w:rPr>
          <w:rFonts w:ascii="Arial" w:cs="Arial" w:eastAsia="Arial" w:hAnsi="Arial"/>
          <w:sz w:val="16"/>
          <w:szCs w:val="16"/>
          <w:color w:val="007CBA"/>
        </w:rPr>
      </w:pPr>
    </w:p>
    <w:p>
      <w:pPr>
        <w:ind w:left="380" w:right="20" w:hanging="291"/>
        <w:spacing w:after="0" w:line="286" w:lineRule="auto"/>
        <w:tabs>
          <w:tab w:leader="none" w:pos="380" w:val="left"/>
        </w:tabs>
        <w:numPr>
          <w:ilvl w:val="0"/>
          <w:numId w:val="59"/>
        </w:numPr>
        <w:rPr>
          <w:rFonts w:ascii="Arial" w:cs="Arial" w:eastAsia="Arial" w:hAnsi="Arial"/>
          <w:sz w:val="16"/>
          <w:szCs w:val="16"/>
          <w:color w:val="007CBA"/>
        </w:rPr>
      </w:pPr>
      <w:r>
        <w:rPr>
          <w:rFonts w:ascii="Arial" w:cs="Arial" w:eastAsia="Arial" w:hAnsi="Arial"/>
          <w:sz w:val="16"/>
          <w:szCs w:val="16"/>
          <w:b w:val="1"/>
          <w:bCs w:val="1"/>
          <w:color w:val="auto"/>
        </w:rPr>
        <w:t xml:space="preserve">Record gross profit of $909 million, an increase of 25.9% </w:t>
      </w:r>
      <w:r>
        <w:rPr>
          <w:rFonts w:ascii="Arial" w:cs="Arial" w:eastAsia="Arial" w:hAnsi="Arial"/>
          <w:sz w:val="16"/>
          <w:szCs w:val="16"/>
          <w:color w:val="auto"/>
        </w:rPr>
        <w:t>from</w:t>
      </w:r>
      <w:r>
        <w:rPr>
          <w:rFonts w:ascii="Arial" w:cs="Arial" w:eastAsia="Arial" w:hAnsi="Arial"/>
          <w:sz w:val="16"/>
          <w:szCs w:val="16"/>
          <w:b w:val="1"/>
          <w:bCs w:val="1"/>
          <w:color w:val="auto"/>
        </w:rPr>
        <w:t xml:space="preserve"> </w:t>
      </w:r>
      <w:r>
        <w:rPr>
          <w:rFonts w:ascii="Arial" w:cs="Arial" w:eastAsia="Arial" w:hAnsi="Arial"/>
          <w:sz w:val="16"/>
          <w:szCs w:val="16"/>
          <w:color w:val="auto"/>
        </w:rPr>
        <w:t>$721.8 million in 2015</w:t>
      </w:r>
    </w:p>
    <w:p>
      <w:pPr>
        <w:spacing w:after="0" w:line="20" w:lineRule="exact"/>
        <w:rPr>
          <w:rFonts w:ascii="Arial" w:cs="Arial" w:eastAsia="Arial" w:hAnsi="Arial"/>
          <w:sz w:val="16"/>
          <w:szCs w:val="16"/>
          <w:color w:val="007CBA"/>
        </w:rPr>
      </w:pPr>
    </w:p>
    <w:p>
      <w:pPr>
        <w:ind w:left="380" w:right="20" w:hanging="291"/>
        <w:spacing w:after="0" w:line="286" w:lineRule="auto"/>
        <w:tabs>
          <w:tab w:leader="none" w:pos="380" w:val="left"/>
        </w:tabs>
        <w:numPr>
          <w:ilvl w:val="0"/>
          <w:numId w:val="59"/>
        </w:numPr>
        <w:rPr>
          <w:rFonts w:ascii="Arial" w:cs="Arial" w:eastAsia="Arial" w:hAnsi="Arial"/>
          <w:sz w:val="16"/>
          <w:szCs w:val="16"/>
          <w:color w:val="007CBA"/>
        </w:rPr>
      </w:pPr>
      <w:r>
        <w:rPr>
          <w:rFonts w:ascii="Arial" w:cs="Arial" w:eastAsia="Arial" w:hAnsi="Arial"/>
          <w:sz w:val="16"/>
          <w:szCs w:val="16"/>
          <w:b w:val="1"/>
          <w:bCs w:val="1"/>
          <w:color w:val="auto"/>
        </w:rPr>
        <w:t>Record operating earnings of $667.3 million</w:t>
      </w:r>
      <w:r>
        <w:rPr>
          <w:rFonts w:ascii="Arial" w:cs="Arial" w:eastAsia="Arial" w:hAnsi="Arial"/>
          <w:sz w:val="16"/>
          <w:szCs w:val="16"/>
          <w:color w:val="auto"/>
        </w:rPr>
        <w:t>,</w:t>
      </w:r>
      <w:r>
        <w:rPr>
          <w:rFonts w:ascii="Arial" w:cs="Arial" w:eastAsia="Arial" w:hAnsi="Arial"/>
          <w:sz w:val="16"/>
          <w:szCs w:val="16"/>
          <w:b w:val="1"/>
          <w:bCs w:val="1"/>
          <w:color w:val="auto"/>
        </w:rPr>
        <w:t xml:space="preserve"> an increase of 39.2% </w:t>
      </w:r>
      <w:r>
        <w:rPr>
          <w:rFonts w:ascii="Arial" w:cs="Arial" w:eastAsia="Arial" w:hAnsi="Arial"/>
          <w:sz w:val="16"/>
          <w:szCs w:val="16"/>
          <w:color w:val="auto"/>
        </w:rPr>
        <w:t>from 2015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91" w:right="140" w:hanging="291"/>
        <w:spacing w:after="0" w:line="263" w:lineRule="auto"/>
        <w:tabs>
          <w:tab w:leader="none" w:pos="291" w:val="left"/>
        </w:tabs>
        <w:numPr>
          <w:ilvl w:val="0"/>
          <w:numId w:val="60"/>
        </w:numPr>
        <w:rPr>
          <w:rFonts w:ascii="Arial" w:cs="Arial" w:eastAsia="Arial" w:hAnsi="Arial"/>
          <w:sz w:val="16"/>
          <w:szCs w:val="16"/>
          <w:color w:val="007CBA"/>
        </w:rPr>
      </w:pPr>
      <w:r>
        <w:rPr>
          <w:rFonts w:ascii="Arial" w:cs="Arial" w:eastAsia="Arial" w:hAnsi="Arial"/>
          <w:sz w:val="16"/>
          <w:szCs w:val="16"/>
          <w:b w:val="1"/>
          <w:bCs w:val="1"/>
          <w:color w:val="auto"/>
        </w:rPr>
        <w:t>Consolidated gross margin expanded by 340 basis points to 23.8%</w:t>
      </w:r>
    </w:p>
    <w:p>
      <w:pPr>
        <w:spacing w:after="0" w:line="257" w:lineRule="exact"/>
        <w:rPr>
          <w:rFonts w:ascii="Arial" w:cs="Arial" w:eastAsia="Arial" w:hAnsi="Arial"/>
          <w:sz w:val="16"/>
          <w:szCs w:val="16"/>
          <w:color w:val="007CBA"/>
        </w:rPr>
      </w:pPr>
    </w:p>
    <w:p>
      <w:pPr>
        <w:ind w:left="291" w:right="120" w:hanging="291"/>
        <w:spacing w:after="0" w:line="286" w:lineRule="auto"/>
        <w:tabs>
          <w:tab w:leader="none" w:pos="291" w:val="left"/>
        </w:tabs>
        <w:numPr>
          <w:ilvl w:val="0"/>
          <w:numId w:val="60"/>
        </w:numPr>
        <w:rPr>
          <w:rFonts w:ascii="Arial" w:cs="Arial" w:eastAsia="Arial" w:hAnsi="Arial"/>
          <w:sz w:val="16"/>
          <w:szCs w:val="16"/>
          <w:color w:val="007CBA"/>
        </w:rPr>
      </w:pPr>
      <w:r>
        <w:rPr>
          <w:rFonts w:ascii="Arial" w:cs="Arial" w:eastAsia="Arial" w:hAnsi="Arial"/>
          <w:sz w:val="16"/>
          <w:szCs w:val="16"/>
          <w:b w:val="1"/>
          <w:bCs w:val="1"/>
          <w:color w:val="auto"/>
        </w:rPr>
        <w:t>Consolidated gross margin (excluding freight and delivery revenues) expanded by 330 basis points to 25.4%</w:t>
      </w:r>
    </w:p>
    <w:p>
      <w:pPr>
        <w:spacing w:after="0" w:line="20" w:lineRule="exact"/>
        <w:rPr>
          <w:rFonts w:ascii="Arial" w:cs="Arial" w:eastAsia="Arial" w:hAnsi="Arial"/>
          <w:sz w:val="16"/>
          <w:szCs w:val="16"/>
          <w:color w:val="007CBA"/>
        </w:rPr>
      </w:pPr>
    </w:p>
    <w:p>
      <w:pPr>
        <w:ind w:left="291" w:right="140" w:hanging="291"/>
        <w:spacing w:after="0" w:line="286" w:lineRule="auto"/>
        <w:tabs>
          <w:tab w:leader="none" w:pos="291" w:val="left"/>
        </w:tabs>
        <w:numPr>
          <w:ilvl w:val="0"/>
          <w:numId w:val="60"/>
        </w:numPr>
        <w:rPr>
          <w:rFonts w:ascii="Arial" w:cs="Arial" w:eastAsia="Arial" w:hAnsi="Arial"/>
          <w:sz w:val="16"/>
          <w:szCs w:val="16"/>
          <w:color w:val="007CBA"/>
        </w:rPr>
      </w:pPr>
      <w:r>
        <w:rPr>
          <w:rFonts w:ascii="Arial" w:cs="Arial" w:eastAsia="Arial" w:hAnsi="Arial"/>
          <w:sz w:val="16"/>
          <w:szCs w:val="16"/>
          <w:b w:val="1"/>
          <w:bCs w:val="1"/>
          <w:color w:val="auto"/>
        </w:rPr>
        <w:t xml:space="preserve">Net earnings </w:t>
      </w:r>
      <w:r>
        <w:rPr>
          <w:rFonts w:ascii="Arial" w:cs="Arial" w:eastAsia="Arial" w:hAnsi="Arial"/>
          <w:sz w:val="16"/>
          <w:szCs w:val="16"/>
          <w:color w:val="auto"/>
        </w:rPr>
        <w:t>attributable to Martin Marietta</w:t>
      </w:r>
      <w:r>
        <w:rPr>
          <w:rFonts w:ascii="Arial" w:cs="Arial" w:eastAsia="Arial" w:hAnsi="Arial"/>
          <w:sz w:val="16"/>
          <w:szCs w:val="16"/>
          <w:b w:val="1"/>
          <w:bCs w:val="1"/>
          <w:color w:val="auto"/>
        </w:rPr>
        <w:t xml:space="preserve"> of $425.4 million, an increase of 47% </w:t>
      </w:r>
      <w:r>
        <w:rPr>
          <w:rFonts w:ascii="Arial" w:cs="Arial" w:eastAsia="Arial" w:hAnsi="Arial"/>
          <w:sz w:val="16"/>
          <w:szCs w:val="16"/>
          <w:color w:val="auto"/>
        </w:rPr>
        <w:t>from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161925</wp:posOffset>
            </wp:positionV>
            <wp:extent cx="411480" cy="248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29"/>
            <w:col w:w="5511"/>
          </w:cols>
          <w:pgMar w:left="240" w:top="459" w:right="239" w:bottom="1440" w:gutter="0" w:footer="0" w:header="0"/>
          <w:type w:val="continuous"/>
        </w:sectPr>
      </w:pPr>
    </w:p>
    <w:p>
      <w:pPr>
        <w:spacing w:after="0" w:line="73"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bl>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2016 Say-On-Pay Vote and Shareholder Outreach</w:t>
      </w:r>
    </w:p>
    <w:p>
      <w:pPr>
        <w:sectPr>
          <w:pgSz w:w="11900" w:h="16838" w:orient="portrait"/>
          <w:cols w:equalWidth="0" w:num="1">
            <w:col w:w="11300"/>
          </w:cols>
          <w:pgMar w:left="240" w:top="459" w:right="359" w:bottom="1440" w:gutter="0" w:footer="0" w:header="0"/>
        </w:sectPr>
      </w:pPr>
    </w:p>
    <w:p>
      <w:pPr>
        <w:spacing w:after="0" w:line="290" w:lineRule="exact"/>
        <w:rPr>
          <w:sz w:val="20"/>
          <w:szCs w:val="20"/>
          <w:color w:val="auto"/>
        </w:rPr>
      </w:pPr>
    </w:p>
    <w:p>
      <w:pPr>
        <w:ind w:left="380" w:hanging="291"/>
        <w:spacing w:after="0" w:line="260" w:lineRule="auto"/>
        <w:tabs>
          <w:tab w:leader="none" w:pos="380" w:val="left"/>
        </w:tabs>
        <w:numPr>
          <w:ilvl w:val="0"/>
          <w:numId w:val="61"/>
        </w:numPr>
        <w:rPr>
          <w:rFonts w:ascii="Arial" w:cs="Arial" w:eastAsia="Arial" w:hAnsi="Arial"/>
          <w:sz w:val="16"/>
          <w:szCs w:val="16"/>
          <w:color w:val="007CBA"/>
        </w:rPr>
      </w:pPr>
      <w:r>
        <w:rPr>
          <w:rFonts w:ascii="Arial" w:cs="Arial" w:eastAsia="Arial" w:hAnsi="Arial"/>
          <w:sz w:val="16"/>
          <w:szCs w:val="16"/>
          <w:color w:val="auto"/>
        </w:rPr>
        <w:t xml:space="preserve">Earnings before interest, taxes, depreciation and amortization </w:t>
      </w:r>
      <w:r>
        <w:rPr>
          <w:rFonts w:ascii="Arial" w:cs="Arial" w:eastAsia="Arial" w:hAnsi="Arial"/>
          <w:sz w:val="16"/>
          <w:szCs w:val="16"/>
          <w:b w:val="1"/>
          <w:bCs w:val="1"/>
          <w:color w:val="auto"/>
        </w:rPr>
        <w:t xml:space="preserve">(“EBITDA”) of $971.6 million increased 29.4% </w:t>
      </w:r>
      <w:r>
        <w:rPr>
          <w:rFonts w:ascii="Arial" w:cs="Arial" w:eastAsia="Arial" w:hAnsi="Arial"/>
          <w:sz w:val="16"/>
          <w:szCs w:val="16"/>
          <w:color w:val="auto"/>
        </w:rPr>
        <w:t>over 2015 EBITDA</w:t>
      </w:r>
    </w:p>
    <w:p>
      <w:pPr>
        <w:spacing w:after="0" w:line="40" w:lineRule="exact"/>
        <w:rPr>
          <w:rFonts w:ascii="Arial" w:cs="Arial" w:eastAsia="Arial" w:hAnsi="Arial"/>
          <w:sz w:val="16"/>
          <w:szCs w:val="16"/>
          <w:color w:val="007CBA"/>
        </w:rPr>
      </w:pPr>
    </w:p>
    <w:p>
      <w:pPr>
        <w:ind w:left="380" w:hanging="291"/>
        <w:spacing w:after="0" w:line="286" w:lineRule="auto"/>
        <w:tabs>
          <w:tab w:leader="none" w:pos="380" w:val="left"/>
        </w:tabs>
        <w:numPr>
          <w:ilvl w:val="0"/>
          <w:numId w:val="61"/>
        </w:numPr>
        <w:rPr>
          <w:rFonts w:ascii="Arial" w:cs="Arial" w:eastAsia="Arial" w:hAnsi="Arial"/>
          <w:sz w:val="16"/>
          <w:szCs w:val="16"/>
          <w:color w:val="007CBA"/>
        </w:rPr>
      </w:pPr>
      <w:r>
        <w:rPr>
          <w:rFonts w:ascii="Arial" w:cs="Arial" w:eastAsia="Arial" w:hAnsi="Arial"/>
          <w:sz w:val="16"/>
          <w:szCs w:val="16"/>
          <w:color w:val="auto"/>
        </w:rPr>
        <w:t xml:space="preserve">Earnings attributable to Martin Marietta per diluted share </w:t>
      </w:r>
      <w:r>
        <w:rPr>
          <w:rFonts w:ascii="Arial" w:cs="Arial" w:eastAsia="Arial" w:hAnsi="Arial"/>
          <w:sz w:val="16"/>
          <w:szCs w:val="16"/>
          <w:b w:val="1"/>
          <w:bCs w:val="1"/>
          <w:color w:val="auto"/>
        </w:rPr>
        <w:t>(“EPS”)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$6.63 increased 54.5% </w:t>
      </w:r>
      <w:r>
        <w:rPr>
          <w:rFonts w:ascii="Arial" w:cs="Arial" w:eastAsia="Arial" w:hAnsi="Arial"/>
          <w:sz w:val="16"/>
          <w:szCs w:val="16"/>
          <w:color w:val="auto"/>
        </w:rPr>
        <w:t>from $4.29 in 2015</w:t>
      </w:r>
    </w:p>
    <w:p>
      <w:pPr>
        <w:spacing w:after="0" w:line="20" w:lineRule="exact"/>
        <w:rPr>
          <w:rFonts w:ascii="Arial" w:cs="Arial" w:eastAsia="Arial" w:hAnsi="Arial"/>
          <w:sz w:val="16"/>
          <w:szCs w:val="16"/>
          <w:color w:val="007CBA"/>
        </w:rPr>
      </w:pPr>
    </w:p>
    <w:p>
      <w:pPr>
        <w:ind w:left="380" w:hanging="291"/>
        <w:spacing w:after="0" w:line="286" w:lineRule="auto"/>
        <w:tabs>
          <w:tab w:leader="none" w:pos="380" w:val="left"/>
        </w:tabs>
        <w:numPr>
          <w:ilvl w:val="0"/>
          <w:numId w:val="61"/>
        </w:numPr>
        <w:rPr>
          <w:rFonts w:ascii="Arial" w:cs="Arial" w:eastAsia="Arial" w:hAnsi="Arial"/>
          <w:sz w:val="16"/>
          <w:szCs w:val="16"/>
          <w:color w:val="007CBA"/>
        </w:rPr>
      </w:pPr>
      <w:r>
        <w:rPr>
          <w:rFonts w:ascii="Arial" w:cs="Arial" w:eastAsia="Arial" w:hAnsi="Arial"/>
          <w:sz w:val="16"/>
          <w:szCs w:val="16"/>
          <w:color w:val="auto"/>
        </w:rPr>
        <w:t xml:space="preserve">Aggregates product line </w:t>
      </w:r>
      <w:r>
        <w:rPr>
          <w:rFonts w:ascii="Arial" w:cs="Arial" w:eastAsia="Arial" w:hAnsi="Arial"/>
          <w:sz w:val="16"/>
          <w:szCs w:val="16"/>
          <w:b w:val="1"/>
          <w:bCs w:val="1"/>
          <w:color w:val="auto"/>
        </w:rPr>
        <w:t>pricing up 7.3%</w:t>
      </w:r>
      <w:r>
        <w:rPr>
          <w:rFonts w:ascii="Arial" w:cs="Arial" w:eastAsia="Arial" w:hAnsi="Arial"/>
          <w:sz w:val="16"/>
          <w:szCs w:val="16"/>
          <w:color w:val="auto"/>
        </w:rPr>
        <w:t xml:space="preserve"> with shipment </w:t>
      </w:r>
      <w:r>
        <w:rPr>
          <w:rFonts w:ascii="Arial" w:cs="Arial" w:eastAsia="Arial" w:hAnsi="Arial"/>
          <w:sz w:val="16"/>
          <w:szCs w:val="16"/>
          <w:b w:val="1"/>
          <w:bCs w:val="1"/>
          <w:color w:val="auto"/>
        </w:rPr>
        <w:t>volume</w:t>
      </w:r>
      <w:r>
        <w:rPr>
          <w:rFonts w:ascii="Arial" w:cs="Arial" w:eastAsia="Arial" w:hAnsi="Arial"/>
          <w:sz w:val="16"/>
          <w:szCs w:val="16"/>
          <w:color w:val="auto"/>
        </w:rPr>
        <w:t xml:space="preserve"> </w:t>
      </w:r>
      <w:r>
        <w:rPr>
          <w:rFonts w:ascii="Arial" w:cs="Arial" w:eastAsia="Arial" w:hAnsi="Arial"/>
          <w:sz w:val="16"/>
          <w:szCs w:val="16"/>
          <w:b w:val="1"/>
          <w:bCs w:val="1"/>
          <w:color w:val="auto"/>
        </w:rPr>
        <w:t>growth of 1.4%</w:t>
      </w:r>
    </w:p>
    <w:p>
      <w:pPr>
        <w:spacing w:after="0" w:line="20" w:lineRule="exact"/>
        <w:rPr>
          <w:rFonts w:ascii="Arial" w:cs="Arial" w:eastAsia="Arial" w:hAnsi="Arial"/>
          <w:sz w:val="16"/>
          <w:szCs w:val="16"/>
          <w:color w:val="007CBA"/>
        </w:rPr>
      </w:pPr>
    </w:p>
    <w:p>
      <w:pPr>
        <w:jc w:val="both"/>
        <w:ind w:left="380" w:hanging="291"/>
        <w:spacing w:after="0" w:line="256" w:lineRule="auto"/>
        <w:tabs>
          <w:tab w:leader="none" w:pos="380" w:val="left"/>
        </w:tabs>
        <w:numPr>
          <w:ilvl w:val="0"/>
          <w:numId w:val="61"/>
        </w:numPr>
        <w:rPr>
          <w:rFonts w:ascii="Arial" w:cs="Arial" w:eastAsia="Arial" w:hAnsi="Arial"/>
          <w:sz w:val="16"/>
          <w:szCs w:val="16"/>
          <w:color w:val="007CBA"/>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Return on Invested Capital (“ROIC”) of 8.42% increased 254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basis points </w:t>
      </w:r>
      <w:r>
        <w:rPr>
          <w:rFonts w:ascii="Arial" w:cs="Arial" w:eastAsia="Arial" w:hAnsi="Arial"/>
          <w:sz w:val="16"/>
          <w:szCs w:val="16"/>
          <w:color w:val="auto"/>
        </w:rPr>
        <w:t>from 5.88% in the prior year. For the first time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2008, ROIC exceeded the Weighted Average Cost of Capital (WACC) of 7.87%. Our ROIC and invested capital growth also drove shareholder value in 2016.</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financial performance allowed us to achieve our additional strategic objectives, including:</w:t>
      </w:r>
    </w:p>
    <w:p>
      <w:pPr>
        <w:spacing w:after="0" w:line="41" w:lineRule="exact"/>
        <w:rPr>
          <w:sz w:val="20"/>
          <w:szCs w:val="20"/>
          <w:color w:val="auto"/>
        </w:rPr>
      </w:pPr>
    </w:p>
    <w:p>
      <w:pPr>
        <w:jc w:val="both"/>
        <w:ind w:left="380" w:hanging="291"/>
        <w:spacing w:after="0" w:line="259" w:lineRule="auto"/>
        <w:tabs>
          <w:tab w:leader="none" w:pos="380" w:val="left"/>
        </w:tabs>
        <w:numPr>
          <w:ilvl w:val="0"/>
          <w:numId w:val="62"/>
        </w:numPr>
        <w:rPr>
          <w:rFonts w:ascii="Arial" w:cs="Arial" w:eastAsia="Arial" w:hAnsi="Arial"/>
          <w:sz w:val="16"/>
          <w:szCs w:val="16"/>
          <w:color w:val="007CBA"/>
        </w:rPr>
      </w:pPr>
      <w:r>
        <w:rPr>
          <w:rFonts w:ascii="Arial" w:cs="Arial" w:eastAsia="Arial" w:hAnsi="Arial"/>
          <w:sz w:val="16"/>
          <w:szCs w:val="16"/>
          <w:color w:val="auto"/>
        </w:rPr>
        <w:t xml:space="preserve">Pursuing </w:t>
      </w:r>
      <w:r>
        <w:rPr>
          <w:rFonts w:ascii="Arial" w:cs="Arial" w:eastAsia="Arial" w:hAnsi="Arial"/>
          <w:sz w:val="16"/>
          <w:szCs w:val="16"/>
          <w:b w:val="1"/>
          <w:bCs w:val="1"/>
          <w:color w:val="auto"/>
        </w:rPr>
        <w:t>aggregates-led expansion through</w:t>
      </w:r>
      <w:r>
        <w:rPr>
          <w:rFonts w:ascii="Arial" w:cs="Arial" w:eastAsia="Arial" w:hAnsi="Arial"/>
          <w:sz w:val="16"/>
          <w:szCs w:val="16"/>
          <w:color w:val="auto"/>
        </w:rPr>
        <w:t xml:space="preserve"> acquisitions that complement existing operations (i.e., bolt-on acquisitions) and acquisitions that provide leadership entry into new markets or similar product lines (i.e., platform acquisitions)</w:t>
      </w:r>
    </w:p>
    <w:p>
      <w:pPr>
        <w:spacing w:after="0" w:line="43" w:lineRule="exact"/>
        <w:rPr>
          <w:rFonts w:ascii="Arial" w:cs="Arial" w:eastAsia="Arial" w:hAnsi="Arial"/>
          <w:sz w:val="16"/>
          <w:szCs w:val="16"/>
          <w:color w:val="007CBA"/>
        </w:rPr>
      </w:pPr>
    </w:p>
    <w:p>
      <w:pPr>
        <w:jc w:val="both"/>
        <w:ind w:left="380" w:hanging="291"/>
        <w:spacing w:after="0" w:line="259" w:lineRule="auto"/>
        <w:tabs>
          <w:tab w:leader="none" w:pos="380" w:val="left"/>
        </w:tabs>
        <w:numPr>
          <w:ilvl w:val="0"/>
          <w:numId w:val="62"/>
        </w:numPr>
        <w:rPr>
          <w:rFonts w:ascii="Arial" w:cs="Arial" w:eastAsia="Arial" w:hAnsi="Arial"/>
          <w:sz w:val="16"/>
          <w:szCs w:val="16"/>
          <w:color w:val="007CBA"/>
        </w:rPr>
      </w:pPr>
      <w:r>
        <w:rPr>
          <w:rFonts w:ascii="Arial" w:cs="Arial" w:eastAsia="Arial" w:hAnsi="Arial"/>
          <w:sz w:val="16"/>
          <w:szCs w:val="16"/>
          <w:b w:val="1"/>
          <w:bCs w:val="1"/>
          <w:color w:val="auto"/>
        </w:rPr>
        <w:t xml:space="preserve">Returning nearly $365 million to our shareholders in 2016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 repurchases and meaningful dividends that were recently increased, and </w:t>
      </w:r>
      <w:r>
        <w:rPr>
          <w:rFonts w:ascii="Arial" w:cs="Arial" w:eastAsia="Arial" w:hAnsi="Arial"/>
          <w:sz w:val="16"/>
          <w:szCs w:val="16"/>
          <w:b w:val="1"/>
          <w:bCs w:val="1"/>
          <w:color w:val="auto"/>
        </w:rPr>
        <w:t>almost $1 billion</w:t>
      </w:r>
      <w:r>
        <w:rPr>
          <w:rFonts w:ascii="Arial" w:cs="Arial" w:eastAsia="Arial" w:hAnsi="Arial"/>
          <w:sz w:val="16"/>
          <w:szCs w:val="16"/>
          <w:color w:val="auto"/>
        </w:rPr>
        <w:t xml:space="preserve"> since announcing our repurchase authorization in February 2015</w:t>
      </w:r>
    </w:p>
    <w:p>
      <w:pPr>
        <w:spacing w:after="0" w:line="43" w:lineRule="exact"/>
        <w:rPr>
          <w:rFonts w:ascii="Arial" w:cs="Arial" w:eastAsia="Arial" w:hAnsi="Arial"/>
          <w:sz w:val="16"/>
          <w:szCs w:val="16"/>
          <w:color w:val="007CBA"/>
        </w:rPr>
      </w:pPr>
    </w:p>
    <w:p>
      <w:pPr>
        <w:ind w:left="380" w:hanging="291"/>
        <w:spacing w:after="0"/>
        <w:tabs>
          <w:tab w:leader="none" w:pos="380" w:val="left"/>
        </w:tabs>
        <w:numPr>
          <w:ilvl w:val="0"/>
          <w:numId w:val="62"/>
        </w:numPr>
        <w:rPr>
          <w:rFonts w:ascii="Arial" w:cs="Arial" w:eastAsia="Arial" w:hAnsi="Arial"/>
          <w:sz w:val="16"/>
          <w:szCs w:val="16"/>
          <w:color w:val="007CBA"/>
        </w:rPr>
      </w:pPr>
      <w:r>
        <w:rPr>
          <w:rFonts w:ascii="Arial" w:cs="Arial" w:eastAsia="Arial" w:hAnsi="Arial"/>
          <w:sz w:val="16"/>
          <w:szCs w:val="16"/>
          <w:b w:val="1"/>
          <w:bCs w:val="1"/>
          <w:color w:val="auto"/>
        </w:rPr>
        <w:t xml:space="preserve">Increasing market capitalization 54% to $14.1 billion </w:t>
      </w:r>
      <w:r>
        <w:rPr>
          <w:rFonts w:ascii="Arial" w:cs="Arial" w:eastAsia="Arial" w:hAnsi="Arial"/>
          <w:sz w:val="16"/>
          <w:szCs w:val="16"/>
          <w:color w:val="auto"/>
        </w:rPr>
        <w:t>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246380</wp:posOffset>
            </wp:positionV>
            <wp:extent cx="3258820" cy="1792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8820" cy="179260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spacing w:after="0" w:line="288" w:lineRule="auto"/>
        <w:rPr>
          <w:sz w:val="20"/>
          <w:szCs w:val="20"/>
          <w:color w:val="auto"/>
        </w:rPr>
      </w:pPr>
      <w:r>
        <w:rPr>
          <w:rFonts w:ascii="Arial" w:cs="Arial" w:eastAsia="Arial" w:hAnsi="Arial"/>
          <w:sz w:val="25"/>
          <w:szCs w:val="25"/>
          <w:b w:val="1"/>
          <w:bCs w:val="1"/>
          <w:color w:val="007CBA"/>
        </w:rPr>
        <w:t>2016 Say-On-Pay Vote and Shareholder Outreach</w:t>
      </w:r>
    </w:p>
    <w:p>
      <w:pPr>
        <w:spacing w:after="0" w:line="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shareholders expressed their continued support of our executive compensation programs by approving our non-binding advisory vote on executive compensation at our 2016 Annual Meeting of Shareholders. More than 96% of votes cast supported our executive compensation policies and practices. Management and the Committee considered this strong support by our shareholders that our pay structure aligns our compensation programs with the interests of our shareholders.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feels strongly that our executive compensation programs should evolve and be adjusted over time to support the achievement of our business goals, to reflect our challenges, and to promote both the near- and long-term profitable growth of Martin Marietta. During 2016, the Committee reviewed and evaluated market trends and best practices in designing and implementing elements to our compensation program. The Committee continues to believe that the goals for our executive compensation programs are to incentivize and reward achievement that creates value for our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view a continuing, constructive dialogue with our long-term shareholders as critically important to ensuring that we remain aligned with their interests. With that in mind:</w:t>
      </w:r>
    </w:p>
    <w:p>
      <w:pPr>
        <w:spacing w:after="0" w:line="66" w:lineRule="exact"/>
        <w:rPr>
          <w:sz w:val="20"/>
          <w:szCs w:val="20"/>
          <w:color w:val="auto"/>
        </w:rPr>
      </w:pPr>
    </w:p>
    <w:p>
      <w:pPr>
        <w:jc w:val="both"/>
        <w:ind w:left="380" w:hanging="291"/>
        <w:spacing w:after="0" w:line="251" w:lineRule="auto"/>
        <w:tabs>
          <w:tab w:leader="none" w:pos="380" w:val="left"/>
        </w:tabs>
        <w:numPr>
          <w:ilvl w:val="0"/>
          <w:numId w:val="63"/>
        </w:numPr>
        <w:rPr>
          <w:rFonts w:ascii="Arial" w:cs="Arial" w:eastAsia="Arial" w:hAnsi="Arial"/>
          <w:sz w:val="16"/>
          <w:szCs w:val="16"/>
          <w:color w:val="007CBA"/>
        </w:rPr>
      </w:pPr>
      <w:r>
        <w:rPr>
          <w:rFonts w:ascii="Arial" w:cs="Arial" w:eastAsia="Arial" w:hAnsi="Arial"/>
          <w:sz w:val="16"/>
          <w:szCs w:val="16"/>
          <w:color w:val="auto"/>
        </w:rPr>
        <w:t>We regularly talk to long-term shareholders and appreciate the opportunity to gain further insight and understanding into their views. In 2016 our investor relations outreach extended to 127 meetings with 314 investment firms in the United States and Europe.</w:t>
      </w:r>
    </w:p>
    <w:p>
      <w:pPr>
        <w:spacing w:after="0" w:line="67" w:lineRule="exact"/>
        <w:rPr>
          <w:rFonts w:ascii="Arial" w:cs="Arial" w:eastAsia="Arial" w:hAnsi="Arial"/>
          <w:sz w:val="16"/>
          <w:szCs w:val="16"/>
          <w:color w:val="007CBA"/>
        </w:rPr>
      </w:pPr>
    </w:p>
    <w:p>
      <w:pPr>
        <w:jc w:val="both"/>
        <w:ind w:left="380" w:hanging="291"/>
        <w:spacing w:after="0" w:line="251" w:lineRule="auto"/>
        <w:tabs>
          <w:tab w:leader="none" w:pos="380" w:val="left"/>
        </w:tabs>
        <w:numPr>
          <w:ilvl w:val="0"/>
          <w:numId w:val="63"/>
        </w:numPr>
        <w:rPr>
          <w:rFonts w:ascii="Arial" w:cs="Arial" w:eastAsia="Arial" w:hAnsi="Arial"/>
          <w:sz w:val="16"/>
          <w:szCs w:val="16"/>
          <w:color w:val="007CBA"/>
        </w:rPr>
      </w:pPr>
      <w:r>
        <w:rPr>
          <w:rFonts w:ascii="Arial" w:cs="Arial" w:eastAsia="Arial" w:hAnsi="Arial"/>
          <w:sz w:val="16"/>
          <w:szCs w:val="16"/>
          <w:color w:val="auto"/>
        </w:rPr>
        <w:t>We held an Investor Day in May 2016 at which shareholders were invited to meet with the entire leadership team of Martin Marietta, including our Lead Independent Director, and visit two of our facilities in the Dallas metroplex, including a quarry and a cement plant.</w:t>
      </w:r>
    </w:p>
    <w:p>
      <w:pPr>
        <w:spacing w:after="0" w:line="67" w:lineRule="exact"/>
        <w:rPr>
          <w:rFonts w:ascii="Arial" w:cs="Arial" w:eastAsia="Arial" w:hAnsi="Arial"/>
          <w:sz w:val="16"/>
          <w:szCs w:val="16"/>
          <w:color w:val="007CBA"/>
        </w:rPr>
      </w:pPr>
    </w:p>
    <w:p>
      <w:pPr>
        <w:ind w:left="380" w:right="20" w:hanging="291"/>
        <w:spacing w:after="0" w:line="260" w:lineRule="auto"/>
        <w:tabs>
          <w:tab w:leader="none" w:pos="380" w:val="left"/>
        </w:tabs>
        <w:numPr>
          <w:ilvl w:val="0"/>
          <w:numId w:val="63"/>
        </w:numPr>
        <w:rPr>
          <w:rFonts w:ascii="Arial" w:cs="Arial" w:eastAsia="Arial" w:hAnsi="Arial"/>
          <w:sz w:val="16"/>
          <w:szCs w:val="16"/>
          <w:color w:val="007CBA"/>
        </w:rPr>
      </w:pPr>
      <w:r>
        <w:rPr>
          <w:rFonts w:ascii="Arial" w:cs="Arial" w:eastAsia="Arial" w:hAnsi="Arial"/>
          <w:sz w:val="16"/>
          <w:szCs w:val="16"/>
          <w:color w:val="auto"/>
        </w:rPr>
        <w:t>We speak to almost all of our top 25 shareholders at least annually, which represents approximately 70% of our outstanding shares.</w:t>
      </w:r>
    </w:p>
    <w:p>
      <w:pPr>
        <w:spacing w:after="0" w:line="44" w:lineRule="exact"/>
        <w:rPr>
          <w:rFonts w:ascii="Arial" w:cs="Arial" w:eastAsia="Arial" w:hAnsi="Arial"/>
          <w:sz w:val="16"/>
          <w:szCs w:val="16"/>
          <w:color w:val="007CBA"/>
        </w:rPr>
      </w:pPr>
    </w:p>
    <w:p>
      <w:pPr>
        <w:jc w:val="both"/>
        <w:ind w:left="380" w:hanging="291"/>
        <w:spacing w:after="0" w:line="258" w:lineRule="auto"/>
        <w:tabs>
          <w:tab w:leader="none" w:pos="380" w:val="left"/>
        </w:tabs>
        <w:numPr>
          <w:ilvl w:val="0"/>
          <w:numId w:val="63"/>
        </w:numPr>
        <w:rPr>
          <w:rFonts w:ascii="Arial" w:cs="Arial" w:eastAsia="Arial" w:hAnsi="Arial"/>
          <w:sz w:val="16"/>
          <w:szCs w:val="16"/>
          <w:color w:val="007CBA"/>
        </w:rPr>
      </w:pPr>
      <w:r>
        <w:rPr>
          <w:rFonts w:ascii="Arial" w:cs="Arial" w:eastAsia="Arial" w:hAnsi="Arial"/>
          <w:sz w:val="16"/>
          <w:szCs w:val="16"/>
          <w:i w:val="1"/>
          <w:iCs w:val="1"/>
          <w:color w:val="auto"/>
        </w:rPr>
        <w:t xml:space="preserve">Institutional Investor </w:t>
      </w:r>
      <w:r>
        <w:rPr>
          <w:rFonts w:ascii="Arial" w:cs="Arial" w:eastAsia="Arial" w:hAnsi="Arial"/>
          <w:sz w:val="16"/>
          <w:szCs w:val="16"/>
          <w:color w:val="auto"/>
        </w:rPr>
        <w:t xml:space="preserve">magazine named Martin Marietta to its 2017 All-America Executive Team. Martin Marietta finished second overall (in the Homebuilders &amp; Building Products category) for the </w:t>
      </w:r>
      <w:r>
        <w:rPr>
          <w:rFonts w:ascii="Arial" w:cs="Arial" w:eastAsia="Arial" w:hAnsi="Arial"/>
          <w:sz w:val="16"/>
          <w:szCs w:val="16"/>
          <w:b w:val="1"/>
          <w:bCs w:val="1"/>
          <w:i w:val="1"/>
          <w:iCs w:val="1"/>
          <w:color w:val="auto"/>
        </w:rPr>
        <w:t>Best Investor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Relations Program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Best Analyst Days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407035</wp:posOffset>
            </wp:positionV>
            <wp:extent cx="411480" cy="2489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2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300"/>
          </w:cols>
          <w:pgMar w:left="240" w:top="459" w:right="3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5420" w:type="dxa"/>
            <w:vAlign w:val="bottom"/>
          </w:tcPr>
          <w:p>
            <w:pPr>
              <w:spacing w:after="0"/>
              <w:rPr>
                <w:sz w:val="24"/>
                <w:szCs w:val="24"/>
                <w:color w:val="auto"/>
              </w:rPr>
            </w:pPr>
          </w:p>
        </w:tc>
        <w:tc>
          <w:tcPr>
            <w:tcW w:w="6000" w:type="dxa"/>
            <w:vAlign w:val="bottom"/>
          </w:tcPr>
          <w:p>
            <w:pPr>
              <w:ind w:left="140"/>
              <w:spacing w:after="0" w:line="288" w:lineRule="exact"/>
              <w:rPr>
                <w:sz w:val="20"/>
                <w:szCs w:val="20"/>
                <w:color w:val="auto"/>
              </w:rPr>
            </w:pPr>
            <w:r>
              <w:rPr>
                <w:rFonts w:ascii="Arial" w:cs="Arial" w:eastAsia="Arial" w:hAnsi="Arial"/>
                <w:sz w:val="14"/>
                <w:szCs w:val="14"/>
                <w:color w:val="auto"/>
                <w:w w:val="96"/>
              </w:rPr>
              <w:t xml:space="preserve">Pay Decisions in 2016 Made in Light of Performance </w:t>
            </w:r>
            <w:r>
              <w:rPr>
                <w:rFonts w:ascii="MS PGothic" w:cs="MS PGothic" w:eastAsia="MS PGothic" w:hAnsi="MS PGothic"/>
                <w:sz w:val="25"/>
                <w:szCs w:val="25"/>
                <w:color w:val="007CBA"/>
                <w:w w:val="96"/>
              </w:rPr>
              <w:t>◆</w:t>
            </w:r>
            <w:r>
              <w:rPr>
                <w:rFonts w:ascii="Arial" w:cs="Arial" w:eastAsia="Arial" w:hAnsi="Arial"/>
                <w:sz w:val="14"/>
                <w:szCs w:val="14"/>
                <w:color w:val="auto"/>
                <w:w w:val="96"/>
              </w:rPr>
              <w:t xml:space="preserve"> </w:t>
            </w:r>
            <w:r>
              <w:rPr>
                <w:rFonts w:ascii="Arial" w:cs="Arial" w:eastAsia="Arial" w:hAnsi="Arial"/>
                <w:sz w:val="14"/>
                <w:szCs w:val="14"/>
                <w:color w:val="007CBA"/>
                <w:w w:val="96"/>
              </w:rPr>
              <w:t>Compensation Discussion and Analysis</w:t>
            </w:r>
          </w:p>
        </w:tc>
      </w:tr>
      <w:tr>
        <w:trPr>
          <w:trHeight w:val="418"/>
        </w:trPr>
        <w:tc>
          <w:tcPr>
            <w:tcW w:w="11420" w:type="dxa"/>
            <w:vAlign w:val="bottom"/>
            <w:gridSpan w:val="2"/>
          </w:tcPr>
          <w:p>
            <w:pPr>
              <w:spacing w:after="0"/>
              <w:rPr>
                <w:sz w:val="20"/>
                <w:szCs w:val="20"/>
                <w:color w:val="auto"/>
              </w:rPr>
            </w:pPr>
            <w:r>
              <w:rPr>
                <w:rFonts w:ascii="Arial" w:cs="Arial" w:eastAsia="Arial" w:hAnsi="Arial"/>
                <w:sz w:val="25"/>
                <w:szCs w:val="25"/>
                <w:b w:val="1"/>
                <w:bCs w:val="1"/>
                <w:color w:val="007CBA"/>
              </w:rPr>
              <w:t>Pay Decisions in 2016 Made in Light of Performance</w:t>
            </w:r>
          </w:p>
        </w:tc>
      </w:tr>
      <w:tr>
        <w:trPr>
          <w:trHeight w:val="383"/>
        </w:trPr>
        <w:tc>
          <w:tcPr>
            <w:tcW w:w="5420" w:type="dxa"/>
            <w:vAlign w:val="bottom"/>
            <w:tcBorders>
              <w:bottom w:val="single" w:sz="8" w:color="007CBA"/>
            </w:tcBorders>
          </w:tcPr>
          <w:p>
            <w:pPr>
              <w:ind w:left="120"/>
              <w:spacing w:after="0"/>
              <w:rPr>
                <w:sz w:val="20"/>
                <w:szCs w:val="20"/>
                <w:color w:val="auto"/>
              </w:rPr>
            </w:pPr>
            <w:r>
              <w:rPr>
                <w:rFonts w:ascii="Arial" w:cs="Arial" w:eastAsia="Arial" w:hAnsi="Arial"/>
                <w:sz w:val="16"/>
                <w:szCs w:val="16"/>
                <w:b w:val="1"/>
                <w:bCs w:val="1"/>
                <w:color w:val="auto"/>
              </w:rPr>
              <w:t>WHAT WE DO</w:t>
            </w:r>
          </w:p>
        </w:tc>
        <w:tc>
          <w:tcPr>
            <w:tcW w:w="6000" w:type="dxa"/>
            <w:vAlign w:val="bottom"/>
            <w:tcBorders>
              <w:bottom w:val="single" w:sz="8" w:color="007CBA"/>
            </w:tcBorders>
          </w:tcPr>
          <w:p>
            <w:pPr>
              <w:ind w:left="540"/>
              <w:spacing w:after="0"/>
              <w:rPr>
                <w:sz w:val="20"/>
                <w:szCs w:val="20"/>
                <w:color w:val="auto"/>
              </w:rPr>
            </w:pPr>
            <w:r>
              <w:rPr>
                <w:rFonts w:ascii="Arial" w:cs="Arial" w:eastAsia="Arial" w:hAnsi="Arial"/>
                <w:sz w:val="16"/>
                <w:szCs w:val="16"/>
                <w:b w:val="1"/>
                <w:bCs w:val="1"/>
                <w:color w:val="auto"/>
              </w:rPr>
              <w:t>WHAT WE DON’T DO</w:t>
            </w:r>
          </w:p>
        </w:tc>
      </w:tr>
      <w:tr>
        <w:trPr>
          <w:trHeight w:val="184"/>
        </w:trPr>
        <w:tc>
          <w:tcPr>
            <w:tcW w:w="5420" w:type="dxa"/>
            <w:vAlign w:val="bottom"/>
          </w:tcPr>
          <w:p>
            <w:pPr>
              <w:ind w:left="480"/>
              <w:spacing w:after="0"/>
              <w:rPr>
                <w:sz w:val="20"/>
                <w:szCs w:val="20"/>
                <w:color w:val="auto"/>
              </w:rPr>
            </w:pPr>
            <w:r>
              <w:rPr>
                <w:rFonts w:ascii="Arial" w:cs="Arial" w:eastAsia="Arial" w:hAnsi="Arial"/>
                <w:sz w:val="16"/>
                <w:szCs w:val="16"/>
                <w:b w:val="1"/>
                <w:bCs w:val="1"/>
                <w:i w:val="1"/>
                <w:iCs w:val="1"/>
                <w:color w:val="007CBA"/>
              </w:rPr>
              <w:t xml:space="preserve">Pay for performance. </w:t>
            </w:r>
            <w:r>
              <w:rPr>
                <w:rFonts w:ascii="Arial" w:cs="Arial" w:eastAsia="Arial" w:hAnsi="Arial"/>
                <w:sz w:val="16"/>
                <w:szCs w:val="16"/>
                <w:color w:val="000000"/>
              </w:rPr>
              <w:t>Tie pay to performance by ensuring that a</w:t>
            </w:r>
          </w:p>
        </w:tc>
        <w:tc>
          <w:tcPr>
            <w:tcW w:w="6000" w:type="dxa"/>
            <w:vAlign w:val="bottom"/>
          </w:tcPr>
          <w:p>
            <w:pPr>
              <w:ind w:left="880"/>
              <w:spacing w:after="0"/>
              <w:rPr>
                <w:sz w:val="20"/>
                <w:szCs w:val="20"/>
                <w:color w:val="auto"/>
              </w:rPr>
            </w:pPr>
            <w:r>
              <w:rPr>
                <w:rFonts w:ascii="Arial" w:cs="Arial" w:eastAsia="Arial" w:hAnsi="Arial"/>
                <w:sz w:val="16"/>
                <w:szCs w:val="16"/>
                <w:b w:val="1"/>
                <w:bCs w:val="1"/>
                <w:i w:val="1"/>
                <w:iCs w:val="1"/>
                <w:color w:val="007CBA"/>
              </w:rPr>
              <w:t xml:space="preserve">No employment contracts. </w:t>
            </w:r>
            <w:r>
              <w:rPr>
                <w:rFonts w:ascii="Arial" w:cs="Arial" w:eastAsia="Arial" w:hAnsi="Arial"/>
                <w:sz w:val="16"/>
                <w:szCs w:val="16"/>
                <w:color w:val="000000"/>
              </w:rPr>
              <w:t>None of our NEOs or other executive</w:t>
            </w:r>
          </w:p>
        </w:tc>
      </w:tr>
      <w:tr>
        <w:trPr>
          <w:trHeight w:val="189"/>
        </w:trPr>
        <w:tc>
          <w:tcPr>
            <w:tcW w:w="5420" w:type="dxa"/>
            <w:vAlign w:val="bottom"/>
          </w:tcPr>
          <w:p>
            <w:pPr>
              <w:ind w:left="480"/>
              <w:spacing w:after="0"/>
              <w:rPr>
                <w:sz w:val="20"/>
                <w:szCs w:val="20"/>
                <w:color w:val="auto"/>
              </w:rPr>
            </w:pPr>
            <w:r>
              <w:rPr>
                <w:rFonts w:ascii="Arial" w:cs="Arial" w:eastAsia="Arial" w:hAnsi="Arial"/>
                <w:sz w:val="16"/>
                <w:szCs w:val="16"/>
                <w:color w:val="auto"/>
              </w:rPr>
              <w:t>significant portion of NEO compensation is performance-based and</w:t>
            </w:r>
          </w:p>
        </w:tc>
        <w:tc>
          <w:tcPr>
            <w:tcW w:w="6000" w:type="dxa"/>
            <w:vAlign w:val="bottom"/>
          </w:tcPr>
          <w:p>
            <w:pPr>
              <w:ind w:left="880"/>
              <w:spacing w:after="0"/>
              <w:rPr>
                <w:sz w:val="20"/>
                <w:szCs w:val="20"/>
                <w:color w:val="auto"/>
              </w:rPr>
            </w:pPr>
            <w:r>
              <w:rPr>
                <w:rFonts w:ascii="Arial" w:cs="Arial" w:eastAsia="Arial" w:hAnsi="Arial"/>
                <w:sz w:val="16"/>
                <w:szCs w:val="16"/>
                <w:color w:val="auto"/>
              </w:rPr>
              <w:t>officers  have  employment  contracts  that  guarantee  continued</w:t>
            </w:r>
          </w:p>
        </w:tc>
      </w:tr>
      <w:tr>
        <w:trPr>
          <w:trHeight w:val="195"/>
        </w:trPr>
        <w:tc>
          <w:tcPr>
            <w:tcW w:w="5420" w:type="dxa"/>
            <w:vAlign w:val="bottom"/>
          </w:tcPr>
          <w:p>
            <w:pPr>
              <w:ind w:left="480"/>
              <w:spacing w:after="0"/>
              <w:rPr>
                <w:sz w:val="20"/>
                <w:szCs w:val="20"/>
                <w:color w:val="auto"/>
              </w:rPr>
            </w:pPr>
            <w:r>
              <w:rPr>
                <w:rFonts w:ascii="Arial" w:cs="Arial" w:eastAsia="Arial" w:hAnsi="Arial"/>
                <w:sz w:val="16"/>
                <w:szCs w:val="16"/>
                <w:color w:val="auto"/>
              </w:rPr>
              <w:t>at-risk.</w:t>
            </w:r>
          </w:p>
        </w:tc>
        <w:tc>
          <w:tcPr>
            <w:tcW w:w="6000" w:type="dxa"/>
            <w:vAlign w:val="bottom"/>
          </w:tcPr>
          <w:p>
            <w:pPr>
              <w:ind w:left="880"/>
              <w:spacing w:after="0"/>
              <w:rPr>
                <w:sz w:val="20"/>
                <w:szCs w:val="20"/>
                <w:color w:val="auto"/>
              </w:rPr>
            </w:pPr>
            <w:r>
              <w:rPr>
                <w:rFonts w:ascii="Arial" w:cs="Arial" w:eastAsia="Arial" w:hAnsi="Arial"/>
                <w:sz w:val="16"/>
                <w:szCs w:val="16"/>
                <w:color w:val="auto"/>
              </w:rPr>
              <w:t>employment.</w:t>
            </w:r>
          </w:p>
        </w:tc>
      </w:tr>
      <w:tr>
        <w:trPr>
          <w:trHeight w:val="265"/>
        </w:trPr>
        <w:tc>
          <w:tcPr>
            <w:tcW w:w="5420" w:type="dxa"/>
            <w:vAlign w:val="bottom"/>
          </w:tcPr>
          <w:p>
            <w:pPr>
              <w:ind w:left="480"/>
              <w:spacing w:after="0"/>
              <w:rPr>
                <w:sz w:val="20"/>
                <w:szCs w:val="20"/>
                <w:color w:val="auto"/>
              </w:rPr>
            </w:pPr>
            <w:r>
              <w:rPr>
                <w:rFonts w:ascii="Arial" w:cs="Arial" w:eastAsia="Arial" w:hAnsi="Arial"/>
                <w:sz w:val="16"/>
                <w:szCs w:val="16"/>
                <w:b w:val="1"/>
                <w:bCs w:val="1"/>
                <w:i w:val="1"/>
                <w:iCs w:val="1"/>
                <w:color w:val="007CBA"/>
              </w:rPr>
              <w:t xml:space="preserve">Median compensation targets. </w:t>
            </w:r>
            <w:r>
              <w:rPr>
                <w:rFonts w:ascii="Arial" w:cs="Arial" w:eastAsia="Arial" w:hAnsi="Arial"/>
                <w:sz w:val="16"/>
                <w:szCs w:val="16"/>
                <w:color w:val="000000"/>
              </w:rPr>
              <w:t>All compensation elements of our</w:t>
            </w:r>
          </w:p>
        </w:tc>
        <w:tc>
          <w:tcPr>
            <w:tcW w:w="6000" w:type="dxa"/>
            <w:vAlign w:val="bottom"/>
          </w:tcPr>
          <w:p>
            <w:pPr>
              <w:ind w:left="880"/>
              <w:spacing w:after="0"/>
              <w:rPr>
                <w:sz w:val="20"/>
                <w:szCs w:val="20"/>
                <w:color w:val="auto"/>
              </w:rPr>
            </w:pPr>
            <w:r>
              <w:rPr>
                <w:rFonts w:ascii="Arial" w:cs="Arial" w:eastAsia="Arial" w:hAnsi="Arial"/>
                <w:sz w:val="16"/>
                <w:szCs w:val="16"/>
                <w:b w:val="1"/>
                <w:bCs w:val="1"/>
                <w:i w:val="1"/>
                <w:iCs w:val="1"/>
                <w:color w:val="007CBA"/>
              </w:rPr>
              <w:t xml:space="preserve">No dividends on unvested awards. </w:t>
            </w:r>
            <w:r>
              <w:rPr>
                <w:rFonts w:ascii="Arial" w:cs="Arial" w:eastAsia="Arial" w:hAnsi="Arial"/>
                <w:sz w:val="16"/>
                <w:szCs w:val="16"/>
                <w:color w:val="000000"/>
              </w:rPr>
              <w:t>Our 2016 RSU and PSU</w:t>
            </w:r>
          </w:p>
        </w:tc>
      </w:tr>
      <w:tr>
        <w:trPr>
          <w:trHeight w:val="189"/>
        </w:trPr>
        <w:tc>
          <w:tcPr>
            <w:tcW w:w="5420" w:type="dxa"/>
            <w:vAlign w:val="bottom"/>
          </w:tcPr>
          <w:p>
            <w:pPr>
              <w:ind w:left="480"/>
              <w:spacing w:after="0"/>
              <w:rPr>
                <w:sz w:val="20"/>
                <w:szCs w:val="20"/>
                <w:color w:val="auto"/>
              </w:rPr>
            </w:pPr>
            <w:r>
              <w:rPr>
                <w:rFonts w:ascii="Arial" w:cs="Arial" w:eastAsia="Arial" w:hAnsi="Arial"/>
                <w:sz w:val="16"/>
                <w:szCs w:val="16"/>
                <w:color w:val="auto"/>
              </w:rPr>
              <w:t>executives are generally targeted at the median of our peer group</w:t>
            </w:r>
          </w:p>
        </w:tc>
        <w:tc>
          <w:tcPr>
            <w:tcW w:w="6000" w:type="dxa"/>
            <w:vAlign w:val="bottom"/>
          </w:tcPr>
          <w:p>
            <w:pPr>
              <w:ind w:left="880"/>
              <w:spacing w:after="0"/>
              <w:rPr>
                <w:sz w:val="20"/>
                <w:szCs w:val="20"/>
                <w:color w:val="auto"/>
              </w:rPr>
            </w:pPr>
            <w:r>
              <w:rPr>
                <w:rFonts w:ascii="Arial" w:cs="Arial" w:eastAsia="Arial" w:hAnsi="Arial"/>
                <w:sz w:val="16"/>
                <w:szCs w:val="16"/>
                <w:color w:val="auto"/>
              </w:rPr>
              <w:t>awards require three years to fully vest and dividends paid on</w:t>
            </w:r>
          </w:p>
        </w:tc>
      </w:tr>
      <w:tr>
        <w:trPr>
          <w:trHeight w:val="169"/>
        </w:trPr>
        <w:tc>
          <w:tcPr>
            <w:tcW w:w="5420" w:type="dxa"/>
            <w:vAlign w:val="bottom"/>
          </w:tcPr>
          <w:p>
            <w:pPr>
              <w:ind w:left="480"/>
              <w:spacing w:after="0" w:line="169" w:lineRule="exact"/>
              <w:rPr>
                <w:sz w:val="20"/>
                <w:szCs w:val="20"/>
                <w:color w:val="auto"/>
              </w:rPr>
            </w:pPr>
            <w:r>
              <w:rPr>
                <w:rFonts w:ascii="Arial" w:cs="Arial" w:eastAsia="Arial" w:hAnsi="Arial"/>
                <w:sz w:val="16"/>
                <w:szCs w:val="16"/>
                <w:color w:val="auto"/>
              </w:rPr>
              <w:t>companies.</w:t>
            </w:r>
          </w:p>
        </w:tc>
        <w:tc>
          <w:tcPr>
            <w:tcW w:w="6000" w:type="dxa"/>
            <w:vAlign w:val="bottom"/>
          </w:tcPr>
          <w:p>
            <w:pPr>
              <w:ind w:left="880"/>
              <w:spacing w:after="0" w:line="169" w:lineRule="exact"/>
              <w:rPr>
                <w:sz w:val="20"/>
                <w:szCs w:val="20"/>
                <w:color w:val="auto"/>
              </w:rPr>
            </w:pPr>
            <w:r>
              <w:rPr>
                <w:rFonts w:ascii="Arial" w:cs="Arial" w:eastAsia="Arial" w:hAnsi="Arial"/>
                <w:sz w:val="16"/>
                <w:szCs w:val="16"/>
                <w:color w:val="auto"/>
              </w:rPr>
              <w:t>shares of common stock of Martin Marietta during the vesting period</w:t>
            </w:r>
          </w:p>
        </w:tc>
      </w:tr>
      <w:tr>
        <w:trPr>
          <w:trHeight w:val="209"/>
        </w:trPr>
        <w:tc>
          <w:tcPr>
            <w:tcW w:w="5420" w:type="dxa"/>
            <w:vAlign w:val="bottom"/>
          </w:tcPr>
          <w:p>
            <w:pPr>
              <w:ind w:left="480"/>
              <w:spacing w:after="0"/>
              <w:rPr>
                <w:sz w:val="20"/>
                <w:szCs w:val="20"/>
                <w:color w:val="auto"/>
              </w:rPr>
            </w:pPr>
            <w:r>
              <w:rPr>
                <w:rFonts w:ascii="Arial" w:cs="Arial" w:eastAsia="Arial" w:hAnsi="Arial"/>
                <w:sz w:val="16"/>
                <w:szCs w:val="16"/>
                <w:b w:val="1"/>
                <w:bCs w:val="1"/>
                <w:i w:val="1"/>
                <w:iCs w:val="1"/>
                <w:color w:val="007CBA"/>
              </w:rPr>
              <w:t xml:space="preserve">PSUs are a substantial portion of LTI. </w:t>
            </w:r>
            <w:r>
              <w:rPr>
                <w:rFonts w:ascii="Arial" w:cs="Arial" w:eastAsia="Arial" w:hAnsi="Arial"/>
                <w:sz w:val="16"/>
                <w:szCs w:val="16"/>
                <w:color w:val="000000"/>
              </w:rPr>
              <w:t>PSU grants, tied to our</w:t>
            </w:r>
          </w:p>
        </w:tc>
        <w:tc>
          <w:tcPr>
            <w:tcW w:w="6000" w:type="dxa"/>
            <w:vAlign w:val="bottom"/>
          </w:tcPr>
          <w:p>
            <w:pPr>
              <w:ind w:left="880"/>
              <w:spacing w:after="0"/>
              <w:rPr>
                <w:sz w:val="20"/>
                <w:szCs w:val="20"/>
                <w:color w:val="auto"/>
              </w:rPr>
            </w:pPr>
            <w:r>
              <w:rPr>
                <w:rFonts w:ascii="Arial" w:cs="Arial" w:eastAsia="Arial" w:hAnsi="Arial"/>
                <w:sz w:val="16"/>
                <w:szCs w:val="16"/>
                <w:color w:val="auto"/>
              </w:rPr>
              <w:t>are only paid to award holders if and when an award vests.</w:t>
            </w:r>
          </w:p>
        </w:tc>
      </w:tr>
      <w:tr>
        <w:trPr>
          <w:trHeight w:val="189"/>
        </w:trPr>
        <w:tc>
          <w:tcPr>
            <w:tcW w:w="5420" w:type="dxa"/>
            <w:vAlign w:val="bottom"/>
          </w:tcPr>
          <w:p>
            <w:pPr>
              <w:ind w:left="480"/>
              <w:spacing w:after="0"/>
              <w:rPr>
                <w:sz w:val="20"/>
                <w:szCs w:val="20"/>
                <w:color w:val="auto"/>
              </w:rPr>
            </w:pPr>
            <w:r>
              <w:rPr>
                <w:rFonts w:ascii="Arial" w:cs="Arial" w:eastAsia="Arial" w:hAnsi="Arial"/>
                <w:sz w:val="16"/>
                <w:szCs w:val="16"/>
                <w:color w:val="auto"/>
              </w:rPr>
              <w:t>achievement of specified performance measures, comprised</w:t>
            </w:r>
          </w:p>
        </w:tc>
        <w:tc>
          <w:tcPr>
            <w:tcW w:w="6000" w:type="dxa"/>
            <w:vAlign w:val="bottom"/>
          </w:tcPr>
          <w:p>
            <w:pPr>
              <w:spacing w:after="0"/>
              <w:rPr>
                <w:sz w:val="16"/>
                <w:szCs w:val="16"/>
                <w:color w:val="auto"/>
              </w:rPr>
            </w:pPr>
          </w:p>
        </w:tc>
      </w:tr>
      <w:tr>
        <w:trPr>
          <w:trHeight w:val="189"/>
        </w:trPr>
        <w:tc>
          <w:tcPr>
            <w:tcW w:w="5420" w:type="dxa"/>
            <w:vAlign w:val="bottom"/>
          </w:tcPr>
          <w:p>
            <w:pPr>
              <w:ind w:left="480"/>
              <w:spacing w:after="0"/>
              <w:rPr>
                <w:sz w:val="20"/>
                <w:szCs w:val="20"/>
                <w:color w:val="auto"/>
              </w:rPr>
            </w:pPr>
            <w:r>
              <w:rPr>
                <w:rFonts w:ascii="Arial" w:cs="Arial" w:eastAsia="Arial" w:hAnsi="Arial"/>
                <w:sz w:val="16"/>
                <w:szCs w:val="16"/>
                <w:color w:val="auto"/>
              </w:rPr>
              <w:t>approximately 67% of the total value of annual long-term incentive</w:t>
            </w:r>
          </w:p>
        </w:tc>
        <w:tc>
          <w:tcPr>
            <w:tcW w:w="6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-1132840</wp:posOffset>
            </wp:positionV>
            <wp:extent cx="111760" cy="111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-1132840</wp:posOffset>
            </wp:positionV>
            <wp:extent cx="111760" cy="11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-720725</wp:posOffset>
            </wp:positionV>
            <wp:extent cx="111760" cy="1117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-720725</wp:posOffset>
            </wp:positionV>
            <wp:extent cx="111760" cy="11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-360680</wp:posOffset>
            </wp:positionV>
            <wp:extent cx="111760" cy="111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grants made to our NEOs in 2016. RSUs comprised the remaining</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33%.</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007CBA"/>
        </w:rPr>
        <w:t xml:space="preserve">Independent compensation consultant. </w:t>
      </w:r>
      <w:r>
        <w:rPr>
          <w:rFonts w:ascii="Arial" w:cs="Arial" w:eastAsia="Arial" w:hAnsi="Arial"/>
          <w:sz w:val="16"/>
          <w:szCs w:val="16"/>
          <w:color w:val="000000"/>
        </w:rPr>
        <w:t>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-104775</wp:posOffset>
            </wp:positionV>
            <wp:extent cx="11176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Committee uses an independent compensation consultant.</w:t>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007CBA"/>
        </w:rPr>
        <w:t>Minimal executive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-104775</wp:posOffset>
            </wp:positionV>
            <wp:extent cx="11176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number of key 2016 compensation-related decisions resulted from these significant events and accomplishments, which are discussed more fully below. The Committee believes that our executive compensation program continues to reflect a strong pay-for-performance philosophy and is well-aligned with the interests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Our Compensation Strategy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specifically designed to:</w:t>
      </w:r>
    </w:p>
    <w:p>
      <w:pPr>
        <w:spacing w:after="0" w:line="107"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Attract and retain </w:t>
      </w:r>
      <w:r>
        <w:rPr>
          <w:rFonts w:ascii="Arial" w:cs="Arial" w:eastAsia="Arial" w:hAnsi="Arial"/>
          <w:sz w:val="16"/>
          <w:szCs w:val="16"/>
          <w:color w:val="auto"/>
        </w:rPr>
        <w:t>top-caliber, knowledgeable and experienced senior executives.</w:t>
      </w:r>
    </w:p>
    <w:p>
      <w:pPr>
        <w:spacing w:after="0" w:line="126" w:lineRule="exact"/>
        <w:rPr>
          <w:rFonts w:ascii="Arial" w:cs="Arial" w:eastAsia="Arial" w:hAnsi="Arial"/>
          <w:sz w:val="16"/>
          <w:szCs w:val="16"/>
          <w:color w:val="007CBA"/>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Motivate </w:t>
      </w:r>
      <w:r>
        <w:rPr>
          <w:rFonts w:ascii="Arial" w:cs="Arial" w:eastAsia="Arial" w:hAnsi="Arial"/>
          <w:sz w:val="16"/>
          <w:szCs w:val="16"/>
          <w:color w:val="auto"/>
        </w:rPr>
        <w:t>our executives to achieve superior results and build long-term value for shareholders.</w:t>
      </w:r>
    </w:p>
    <w:p>
      <w:pPr>
        <w:spacing w:after="0" w:line="126" w:lineRule="exact"/>
        <w:rPr>
          <w:rFonts w:ascii="Arial" w:cs="Arial" w:eastAsia="Arial" w:hAnsi="Arial"/>
          <w:sz w:val="16"/>
          <w:szCs w:val="16"/>
          <w:color w:val="007CBA"/>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Reward </w:t>
      </w:r>
      <w:r>
        <w:rPr>
          <w:rFonts w:ascii="Arial" w:cs="Arial" w:eastAsia="Arial" w:hAnsi="Arial"/>
          <w:sz w:val="16"/>
          <w:szCs w:val="16"/>
          <w:color w:val="auto"/>
        </w:rPr>
        <w:t>performance that meets or exceeds established goals consistent with our strategic aims and upholding integrity.</w:t>
      </w:r>
    </w:p>
    <w:p>
      <w:pPr>
        <w:spacing w:after="0" w:line="126" w:lineRule="exact"/>
        <w:rPr>
          <w:rFonts w:ascii="Arial" w:cs="Arial" w:eastAsia="Arial" w:hAnsi="Arial"/>
          <w:sz w:val="16"/>
          <w:szCs w:val="16"/>
          <w:color w:val="007CBA"/>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Align individual objectives </w:t>
      </w:r>
      <w:r>
        <w:rPr>
          <w:rFonts w:ascii="Arial" w:cs="Arial" w:eastAsia="Arial" w:hAnsi="Arial"/>
          <w:sz w:val="16"/>
          <w:szCs w:val="16"/>
          <w:color w:val="auto"/>
        </w:rPr>
        <w:t>with the Company’s objectives without fostering excessive or inappropriate risk-taking.</w:t>
      </w:r>
    </w:p>
    <w:p>
      <w:pPr>
        <w:spacing w:after="0" w:line="126" w:lineRule="exact"/>
        <w:rPr>
          <w:rFonts w:ascii="Arial" w:cs="Arial" w:eastAsia="Arial" w:hAnsi="Arial"/>
          <w:sz w:val="16"/>
          <w:szCs w:val="16"/>
          <w:color w:val="007CBA"/>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Encourage an ownership </w:t>
      </w:r>
      <w:r>
        <w:rPr>
          <w:rFonts w:ascii="Arial" w:cs="Arial" w:eastAsia="Arial" w:hAnsi="Arial"/>
          <w:sz w:val="16"/>
          <w:szCs w:val="16"/>
          <w:color w:val="auto"/>
        </w:rPr>
        <w:t>mentality and align the long-term financial interests of our executives with those of our shareholders.</w:t>
      </w:r>
    </w:p>
    <w:p>
      <w:pPr>
        <w:spacing w:after="0" w:line="126" w:lineRule="exact"/>
        <w:rPr>
          <w:rFonts w:ascii="Arial" w:cs="Arial" w:eastAsia="Arial" w:hAnsi="Arial"/>
          <w:sz w:val="16"/>
          <w:szCs w:val="16"/>
          <w:color w:val="007CBA"/>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Be market competitive </w:t>
      </w:r>
      <w:r>
        <w:rPr>
          <w:rFonts w:ascii="Arial" w:cs="Arial" w:eastAsia="Arial" w:hAnsi="Arial"/>
          <w:sz w:val="16"/>
          <w:szCs w:val="16"/>
          <w:color w:val="auto"/>
        </w:rPr>
        <w:t>with our peers.</w:t>
      </w:r>
    </w:p>
    <w:p>
      <w:pPr>
        <w:spacing w:after="0" w:line="126" w:lineRule="exact"/>
        <w:rPr>
          <w:rFonts w:ascii="Arial" w:cs="Arial" w:eastAsia="Arial" w:hAnsi="Arial"/>
          <w:sz w:val="16"/>
          <w:szCs w:val="16"/>
          <w:color w:val="007CBA"/>
        </w:rPr>
      </w:pPr>
    </w:p>
    <w:p>
      <w:pPr>
        <w:ind w:left="340" w:hanging="332"/>
        <w:spacing w:after="0"/>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Provide reward systems that are measurable and easily understood </w:t>
      </w:r>
      <w:r>
        <w:rPr>
          <w:rFonts w:ascii="Arial" w:cs="Arial" w:eastAsia="Arial" w:hAnsi="Arial"/>
          <w:sz w:val="16"/>
          <w:szCs w:val="16"/>
          <w:color w:val="auto"/>
        </w:rPr>
        <w:t>by our managers and shareholders.</w:t>
      </w:r>
    </w:p>
    <w:p>
      <w:pPr>
        <w:spacing w:after="0" w:line="126" w:lineRule="exact"/>
        <w:rPr>
          <w:rFonts w:ascii="Arial" w:cs="Arial" w:eastAsia="Arial" w:hAnsi="Arial"/>
          <w:sz w:val="16"/>
          <w:szCs w:val="16"/>
          <w:color w:val="007CBA"/>
        </w:rPr>
      </w:pPr>
    </w:p>
    <w:p>
      <w:pPr>
        <w:ind w:left="340" w:right="20" w:hanging="332"/>
        <w:spacing w:after="0" w:line="286" w:lineRule="auto"/>
        <w:tabs>
          <w:tab w:leader="none" w:pos="340" w:val="left"/>
        </w:tabs>
        <w:numPr>
          <w:ilvl w:val="0"/>
          <w:numId w:val="65"/>
        </w:numPr>
        <w:rPr>
          <w:rFonts w:ascii="Arial" w:cs="Arial" w:eastAsia="Arial" w:hAnsi="Arial"/>
          <w:sz w:val="16"/>
          <w:szCs w:val="16"/>
          <w:color w:val="007CBA"/>
        </w:rPr>
      </w:pPr>
      <w:r>
        <w:rPr>
          <w:rFonts w:ascii="Arial" w:cs="Arial" w:eastAsia="Arial" w:hAnsi="Arial"/>
          <w:sz w:val="16"/>
          <w:szCs w:val="16"/>
          <w:b w:val="1"/>
          <w:bCs w:val="1"/>
          <w:color w:val="auto"/>
        </w:rPr>
        <w:t xml:space="preserve">Reinforce the succession planning </w:t>
      </w:r>
      <w:r>
        <w:rPr>
          <w:rFonts w:ascii="Arial" w:cs="Arial" w:eastAsia="Arial" w:hAnsi="Arial"/>
          <w:sz w:val="16"/>
          <w:szCs w:val="16"/>
          <w:color w:val="auto"/>
        </w:rPr>
        <w:t>process undertaken on a company-wide basis by building bench strength and by identifying and retaining senior</w:t>
      </w:r>
      <w:r>
        <w:rPr>
          <w:rFonts w:ascii="Arial" w:cs="Arial" w:eastAsia="Arial" w:hAnsi="Arial"/>
          <w:sz w:val="16"/>
          <w:szCs w:val="16"/>
          <w:b w:val="1"/>
          <w:bCs w:val="1"/>
          <w:color w:val="auto"/>
        </w:rPr>
        <w:t xml:space="preserve"> </w:t>
      </w:r>
      <w:r>
        <w:rPr>
          <w:rFonts w:ascii="Arial" w:cs="Arial" w:eastAsia="Arial" w:hAnsi="Arial"/>
          <w:sz w:val="16"/>
          <w:szCs w:val="16"/>
          <w:color w:val="auto"/>
        </w:rPr>
        <w:t>leadership, both capable of achieving the Company’s growth, profitability and other objectives.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2016, our executive compensation structure consisted of three primary components: base salary, annual incentives, and long-term incentives. Within the long-term incentive component, we changed our program in 2016 to eliminate options and utilized a balanced portfolio of performance-based share units (“PSUs”) and restricted stock units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127000</wp:posOffset>
            </wp:positionV>
            <wp:extent cx="5728335" cy="24701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2833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Our Compensation Strategy</w:t>
      </w:r>
    </w:p>
    <w:p>
      <w:pPr>
        <w:sectPr>
          <w:pgSz w:w="11900" w:h="16838" w:orient="portrait"/>
          <w:cols w:equalWidth="0" w:num="1">
            <w:col w:w="11400"/>
          </w:cols>
          <w:pgMar w:left="240" w:top="459" w:right="259" w:bottom="1440" w:gutter="0" w:footer="0" w:header="0"/>
        </w:sectPr>
      </w:pP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Martin Marietta has a long-standing commitment to pay for performance. We fulfill that aim by providing a majority of compensation through programs in which the amounts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ultimately received vary in order to best reflect our financial, operational and strategic performance.</w:t>
      </w:r>
    </w:p>
    <w:p>
      <w:pPr>
        <w:spacing w:after="0" w:line="383" w:lineRule="exact"/>
        <w:rPr>
          <w:sz w:val="20"/>
          <w:szCs w:val="20"/>
          <w:color w:val="auto"/>
        </w:rPr>
      </w:pPr>
    </w:p>
    <w:p>
      <w:pPr>
        <w:sectPr>
          <w:pgSz w:w="11900" w:h="16838" w:orient="portrait"/>
          <w:cols w:equalWidth="0" w:num="2">
            <w:col w:w="5480" w:space="340"/>
            <w:col w:w="5580"/>
          </w:cols>
          <w:pgMar w:left="240" w:top="459" w:right="25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key elements of our 2016 executive compensation program:</w:t>
      </w:r>
    </w:p>
    <w:p>
      <w:pPr>
        <w:sectPr>
          <w:pgSz w:w="11900" w:h="16838" w:orient="portrait"/>
          <w:cols w:equalWidth="0" w:num="1">
            <w:col w:w="11400"/>
          </w:cols>
          <w:pgMar w:left="240" w:top="459" w:right="25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ind w:left="80"/>
              <w:spacing w:after="0"/>
              <w:rPr>
                <w:sz w:val="20"/>
                <w:szCs w:val="20"/>
                <w:color w:val="auto"/>
              </w:rPr>
            </w:pPr>
            <w:r>
              <w:rPr>
                <w:rFonts w:ascii="Arial" w:cs="Arial" w:eastAsia="Arial" w:hAnsi="Arial"/>
                <w:sz w:val="16"/>
                <w:szCs w:val="16"/>
                <w:b w:val="1"/>
                <w:bCs w:val="1"/>
                <w:color w:val="FFFFFF"/>
              </w:rPr>
              <w:t>Element</w:t>
            </w:r>
          </w:p>
        </w:tc>
        <w:tc>
          <w:tcPr>
            <w:tcW w:w="4380" w:type="dxa"/>
            <w:vAlign w:val="bottom"/>
          </w:tcPr>
          <w:p>
            <w:pPr>
              <w:ind w:left="1600"/>
              <w:spacing w:after="0"/>
              <w:rPr>
                <w:sz w:val="20"/>
                <w:szCs w:val="20"/>
                <w:color w:val="auto"/>
              </w:rPr>
            </w:pPr>
            <w:r>
              <w:rPr>
                <w:rFonts w:ascii="Arial" w:cs="Arial" w:eastAsia="Arial" w:hAnsi="Arial"/>
                <w:sz w:val="16"/>
                <w:szCs w:val="16"/>
                <w:b w:val="1"/>
                <w:bCs w:val="1"/>
                <w:color w:val="FFFFFF"/>
              </w:rPr>
              <w:t>Primary Purpose</w:t>
            </w:r>
          </w:p>
        </w:tc>
        <w:tc>
          <w:tcPr>
            <w:tcW w:w="0" w:type="dxa"/>
            <w:vAlign w:val="bottom"/>
          </w:tcPr>
          <w:p>
            <w:pPr>
              <w:spacing w:after="0"/>
              <w:rPr>
                <w:sz w:val="1"/>
                <w:szCs w:val="1"/>
                <w:color w:val="auto"/>
              </w:rPr>
            </w:pPr>
          </w:p>
        </w:tc>
      </w:tr>
      <w:tr>
        <w:trPr>
          <w:trHeight w:val="191"/>
        </w:trPr>
        <w:tc>
          <w:tcPr>
            <w:tcW w:w="25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Base Salary</w:t>
            </w:r>
          </w:p>
        </w:tc>
        <w:tc>
          <w:tcPr>
            <w:tcW w:w="4380" w:type="dxa"/>
            <w:vAlign w:val="bottom"/>
          </w:tcPr>
          <w:p>
            <w:pPr>
              <w:ind w:left="80"/>
              <w:spacing w:after="0"/>
              <w:rPr>
                <w:sz w:val="20"/>
                <w:szCs w:val="20"/>
                <w:color w:val="auto"/>
              </w:rPr>
            </w:pPr>
            <w:r>
              <w:rPr>
                <w:rFonts w:ascii="Arial" w:cs="Arial" w:eastAsia="Arial" w:hAnsi="Arial"/>
                <w:sz w:val="16"/>
                <w:szCs w:val="16"/>
                <w:color w:val="auto"/>
              </w:rPr>
              <w:t>To compensate the executive fairly and competitively for the</w:t>
            </w:r>
          </w:p>
        </w:tc>
        <w:tc>
          <w:tcPr>
            <w:tcW w:w="0" w:type="dxa"/>
            <w:vAlign w:val="bottom"/>
          </w:tcPr>
          <w:p>
            <w:pPr>
              <w:spacing w:after="0"/>
              <w:rPr>
                <w:sz w:val="1"/>
                <w:szCs w:val="1"/>
                <w:color w:val="auto"/>
              </w:rPr>
            </w:pPr>
          </w:p>
        </w:tc>
      </w:tr>
      <w:tr>
        <w:trPr>
          <w:trHeight w:val="187"/>
        </w:trPr>
        <w:tc>
          <w:tcPr>
            <w:tcW w:w="2580" w:type="dxa"/>
            <w:vAlign w:val="bottom"/>
            <w:tcBorders>
              <w:right w:val="single" w:sz="8" w:color="007CBA"/>
            </w:tcBorders>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responsibility level of the position.</w:t>
            </w:r>
          </w:p>
        </w:tc>
        <w:tc>
          <w:tcPr>
            <w:tcW w:w="0" w:type="dxa"/>
            <w:vAlign w:val="bottom"/>
          </w:tcPr>
          <w:p>
            <w:pPr>
              <w:spacing w:after="0"/>
              <w:rPr>
                <w:sz w:val="1"/>
                <w:szCs w:val="1"/>
                <w:color w:val="auto"/>
              </w:rPr>
            </w:pPr>
          </w:p>
        </w:tc>
      </w:tr>
      <w:tr>
        <w:trPr>
          <w:trHeight w:val="171"/>
        </w:trPr>
        <w:tc>
          <w:tcPr>
            <w:tcW w:w="2580" w:type="dxa"/>
            <w:vAlign w:val="bottom"/>
            <w:tcBorders>
              <w:right w:val="single" w:sz="8" w:color="007CBA"/>
            </w:tcBorders>
            <w:shd w:val="clear" w:color="auto" w:fill="E5F1F8"/>
          </w:tcPr>
          <w:p>
            <w:pPr>
              <w:ind w:left="80"/>
              <w:spacing w:after="0" w:line="171" w:lineRule="exact"/>
              <w:rPr>
                <w:sz w:val="20"/>
                <w:szCs w:val="20"/>
                <w:color w:val="auto"/>
              </w:rPr>
            </w:pPr>
            <w:r>
              <w:rPr>
                <w:rFonts w:ascii="Arial" w:cs="Arial" w:eastAsia="Arial" w:hAnsi="Arial"/>
                <w:sz w:val="16"/>
                <w:szCs w:val="16"/>
                <w:b w:val="1"/>
                <w:bCs w:val="1"/>
                <w:color w:val="auto"/>
              </w:rPr>
              <w:t>Annual Performance-</w:t>
            </w:r>
          </w:p>
        </w:tc>
        <w:tc>
          <w:tcPr>
            <w:tcW w:w="4380" w:type="dxa"/>
            <w:vAlign w:val="bottom"/>
          </w:tcPr>
          <w:p>
            <w:pPr>
              <w:ind w:left="80"/>
              <w:spacing w:after="0" w:line="171" w:lineRule="exact"/>
              <w:rPr>
                <w:sz w:val="20"/>
                <w:szCs w:val="20"/>
                <w:color w:val="auto"/>
              </w:rPr>
            </w:pPr>
            <w:r>
              <w:rPr>
                <w:rFonts w:ascii="Arial" w:cs="Arial" w:eastAsia="Arial" w:hAnsi="Arial"/>
                <w:sz w:val="16"/>
                <w:szCs w:val="16"/>
                <w:color w:val="auto"/>
              </w:rPr>
              <w:t>To motivate and reward organizational and individual</w:t>
            </w:r>
          </w:p>
        </w:tc>
        <w:tc>
          <w:tcPr>
            <w:tcW w:w="0" w:type="dxa"/>
            <w:vAlign w:val="bottom"/>
          </w:tcPr>
          <w:p>
            <w:pPr>
              <w:spacing w:after="0"/>
              <w:rPr>
                <w:sz w:val="1"/>
                <w:szCs w:val="1"/>
                <w:color w:val="auto"/>
              </w:rPr>
            </w:pPr>
          </w:p>
        </w:tc>
      </w:tr>
      <w:tr>
        <w:trPr>
          <w:trHeight w:val="209"/>
        </w:trPr>
        <w:tc>
          <w:tcPr>
            <w:tcW w:w="25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Based Incentive Awards</w:t>
            </w:r>
          </w:p>
        </w:tc>
        <w:tc>
          <w:tcPr>
            <w:tcW w:w="4380" w:type="dxa"/>
            <w:vAlign w:val="bottom"/>
          </w:tcPr>
          <w:p>
            <w:pPr>
              <w:ind w:left="80"/>
              <w:spacing w:after="0"/>
              <w:rPr>
                <w:sz w:val="20"/>
                <w:szCs w:val="20"/>
                <w:color w:val="auto"/>
              </w:rPr>
            </w:pPr>
            <w:r>
              <w:rPr>
                <w:rFonts w:ascii="Arial" w:cs="Arial" w:eastAsia="Arial" w:hAnsi="Arial"/>
                <w:sz w:val="16"/>
                <w:szCs w:val="16"/>
                <w:color w:val="auto"/>
              </w:rPr>
              <w:t>achievement of annual strategic, financial and individual</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restart"/>
            <w:shd w:val="clear" w:color="auto" w:fill="E5F1F8"/>
          </w:tcPr>
          <w:p>
            <w:pPr>
              <w:ind w:left="300"/>
              <w:spacing w:after="0"/>
              <w:rPr>
                <w:sz w:val="20"/>
                <w:szCs w:val="20"/>
                <w:color w:val="auto"/>
              </w:rPr>
            </w:pPr>
            <w:r>
              <w:rPr>
                <w:rFonts w:ascii="Arial" w:cs="Arial" w:eastAsia="Arial" w:hAnsi="Arial"/>
                <w:sz w:val="16"/>
                <w:szCs w:val="16"/>
                <w:i w:val="1"/>
                <w:iCs w:val="1"/>
                <w:color w:val="auto"/>
              </w:rPr>
              <w:t>Incentive Stock Plan</w:t>
            </w:r>
          </w:p>
        </w:tc>
        <w:tc>
          <w:tcPr>
            <w:tcW w:w="4380" w:type="dxa"/>
            <w:vAlign w:val="bottom"/>
          </w:tcPr>
          <w:p>
            <w:pPr>
              <w:ind w:left="80"/>
              <w:spacing w:after="0"/>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continue"/>
            <w:shd w:val="clear" w:color="auto" w:fill="E5F1F8"/>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To ensure executives invest certain levels of their annual</w:t>
            </w:r>
          </w:p>
        </w:tc>
        <w:tc>
          <w:tcPr>
            <w:tcW w:w="0" w:type="dxa"/>
            <w:vAlign w:val="bottom"/>
          </w:tcPr>
          <w:p>
            <w:pPr>
              <w:spacing w:after="0"/>
              <w:rPr>
                <w:sz w:val="1"/>
                <w:szCs w:val="1"/>
                <w:color w:val="auto"/>
              </w:rPr>
            </w:pPr>
          </w:p>
        </w:tc>
      </w:tr>
      <w:tr>
        <w:trPr>
          <w:trHeight w:val="195"/>
        </w:trPr>
        <w:tc>
          <w:tcPr>
            <w:tcW w:w="2580" w:type="dxa"/>
            <w:vAlign w:val="bottom"/>
            <w:tcBorders>
              <w:right w:val="single" w:sz="8" w:color="007CBA"/>
            </w:tcBorders>
            <w:shd w:val="clear" w:color="auto" w:fill="E5F1F8"/>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bonus into Martin Marietta stock units.</w:t>
            </w:r>
          </w:p>
        </w:tc>
        <w:tc>
          <w:tcPr>
            <w:tcW w:w="0" w:type="dxa"/>
            <w:vAlign w:val="bottom"/>
          </w:tcPr>
          <w:p>
            <w:pPr>
              <w:spacing w:after="0"/>
              <w:rPr>
                <w:sz w:val="1"/>
                <w:szCs w:val="1"/>
                <w:color w:val="auto"/>
              </w:rPr>
            </w:pPr>
          </w:p>
        </w:tc>
      </w:tr>
      <w:tr>
        <w:trPr>
          <w:trHeight w:val="371"/>
        </w:trPr>
        <w:tc>
          <w:tcPr>
            <w:tcW w:w="2580" w:type="dxa"/>
            <w:vAlign w:val="bottom"/>
            <w:tcBorders>
              <w:right w:val="single" w:sz="8" w:color="007CBA"/>
            </w:tcBorders>
            <w:shd w:val="clear" w:color="auto" w:fill="E5F1F8"/>
          </w:tcPr>
          <w:p>
            <w:pPr>
              <w:spacing w:after="0"/>
              <w:rPr>
                <w:sz w:val="24"/>
                <w:szCs w:val="24"/>
                <w:color w:val="auto"/>
              </w:rPr>
            </w:pPr>
          </w:p>
        </w:tc>
        <w:tc>
          <w:tcPr>
            <w:tcW w:w="4380" w:type="dxa"/>
            <w:vAlign w:val="bottom"/>
            <w:vMerge w:val="restart"/>
          </w:tcPr>
          <w:p>
            <w:pPr>
              <w:ind w:left="80"/>
              <w:spacing w:after="0"/>
              <w:rPr>
                <w:sz w:val="20"/>
                <w:szCs w:val="20"/>
                <w:color w:val="auto"/>
              </w:rPr>
            </w:pPr>
            <w:r>
              <w:rPr>
                <w:rFonts w:ascii="Arial" w:cs="Arial" w:eastAsia="Arial" w:hAnsi="Arial"/>
                <w:sz w:val="16"/>
                <w:szCs w:val="16"/>
                <w:color w:val="auto"/>
              </w:rPr>
              <w:t>To align executives with shareholder interests, to reinforce</w:t>
            </w:r>
          </w:p>
        </w:tc>
        <w:tc>
          <w:tcPr>
            <w:tcW w:w="0" w:type="dxa"/>
            <w:vAlign w:val="bottom"/>
          </w:tcPr>
          <w:p>
            <w:pPr>
              <w:spacing w:after="0"/>
              <w:rPr>
                <w:sz w:val="1"/>
                <w:szCs w:val="1"/>
                <w:color w:val="auto"/>
              </w:rPr>
            </w:pPr>
          </w:p>
        </w:tc>
      </w:tr>
      <w:tr>
        <w:trPr>
          <w:trHeight w:val="191"/>
        </w:trPr>
        <w:tc>
          <w:tcPr>
            <w:tcW w:w="25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Long-Term Incentive Awards</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long-term value creation, and to provide a balanced</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restart"/>
          </w:tcPr>
          <w:p>
            <w:pPr>
              <w:ind w:left="300"/>
              <w:spacing w:after="0"/>
              <w:rPr>
                <w:sz w:val="20"/>
                <w:szCs w:val="20"/>
                <w:color w:val="auto"/>
              </w:rPr>
            </w:pPr>
            <w:r>
              <w:rPr>
                <w:rFonts w:ascii="Arial" w:cs="Arial" w:eastAsia="Arial" w:hAnsi="Arial"/>
                <w:sz w:val="16"/>
                <w:szCs w:val="16"/>
                <w:i w:val="1"/>
                <w:iCs w:val="1"/>
                <w:color w:val="auto"/>
              </w:rPr>
              <w:t>Performance Share Units</w:t>
            </w:r>
          </w:p>
        </w:tc>
        <w:tc>
          <w:tcPr>
            <w:tcW w:w="4380" w:type="dxa"/>
            <w:vAlign w:val="bottom"/>
          </w:tcPr>
          <w:p>
            <w:pPr>
              <w:ind w:left="80"/>
              <w:spacing w:after="0"/>
              <w:rPr>
                <w:sz w:val="20"/>
                <w:szCs w:val="20"/>
                <w:color w:val="auto"/>
              </w:rPr>
            </w:pPr>
            <w:r>
              <w:rPr>
                <w:rFonts w:ascii="Arial" w:cs="Arial" w:eastAsia="Arial" w:hAnsi="Arial"/>
                <w:sz w:val="16"/>
                <w:szCs w:val="16"/>
                <w:color w:val="auto"/>
              </w:rPr>
              <w:t>portfolio of long-term incentive opportunity.</w:t>
            </w:r>
          </w:p>
        </w:tc>
        <w:tc>
          <w:tcPr>
            <w:tcW w:w="0" w:type="dxa"/>
            <w:vAlign w:val="bottom"/>
          </w:tcPr>
          <w:p>
            <w:pPr>
              <w:spacing w:after="0"/>
              <w:rPr>
                <w:sz w:val="1"/>
                <w:szCs w:val="1"/>
                <w:color w:val="auto"/>
              </w:rPr>
            </w:pPr>
          </w:p>
        </w:tc>
      </w:tr>
      <w:tr>
        <w:trPr>
          <w:trHeight w:val="173"/>
        </w:trPr>
        <w:tc>
          <w:tcPr>
            <w:tcW w:w="2580" w:type="dxa"/>
            <w:vAlign w:val="bottom"/>
            <w:tcBorders>
              <w:right w:val="single" w:sz="8" w:color="007CBA"/>
            </w:tcBorders>
            <w:vMerge w:val="continue"/>
          </w:tcPr>
          <w:p>
            <w:pPr>
              <w:spacing w:after="0"/>
              <w:rPr>
                <w:sz w:val="15"/>
                <w:szCs w:val="15"/>
                <w:color w:val="auto"/>
              </w:rPr>
            </w:pPr>
          </w:p>
        </w:tc>
        <w:tc>
          <w:tcPr>
            <w:tcW w:w="4380" w:type="dxa"/>
            <w:vAlign w:val="bottom"/>
          </w:tcPr>
          <w:p>
            <w:pPr>
              <w:ind w:left="80"/>
              <w:spacing w:after="0" w:line="173" w:lineRule="exact"/>
              <w:rPr>
                <w:sz w:val="20"/>
                <w:szCs w:val="20"/>
                <w:color w:val="auto"/>
              </w:rPr>
            </w:pPr>
            <w:r>
              <w:rPr>
                <w:rFonts w:ascii="Arial" w:cs="Arial" w:eastAsia="Arial" w:hAnsi="Arial"/>
                <w:sz w:val="16"/>
                <w:szCs w:val="16"/>
                <w:color w:val="auto"/>
              </w:rPr>
              <w:t>To motivate executives by tying incentives to our multi-year</w:t>
            </w:r>
          </w:p>
        </w:tc>
        <w:tc>
          <w:tcPr>
            <w:tcW w:w="0" w:type="dxa"/>
            <w:vAlign w:val="bottom"/>
          </w:tcPr>
          <w:p>
            <w:pPr>
              <w:spacing w:after="0"/>
              <w:rPr>
                <w:sz w:val="1"/>
                <w:szCs w:val="1"/>
                <w:color w:val="auto"/>
              </w:rPr>
            </w:pPr>
          </w:p>
        </w:tc>
      </w:tr>
      <w:tr>
        <w:trPr>
          <w:trHeight w:val="205"/>
        </w:trPr>
        <w:tc>
          <w:tcPr>
            <w:tcW w:w="2580" w:type="dxa"/>
            <w:vAlign w:val="bottom"/>
            <w:tcBorders>
              <w:right w:val="single" w:sz="8" w:color="007CBA"/>
            </w:tcBorders>
          </w:tcPr>
          <w:p>
            <w:pPr>
              <w:ind w:left="300"/>
              <w:spacing w:after="0"/>
              <w:rPr>
                <w:sz w:val="20"/>
                <w:szCs w:val="20"/>
                <w:color w:val="auto"/>
              </w:rPr>
            </w:pPr>
            <w:r>
              <w:rPr>
                <w:rFonts w:ascii="Arial" w:cs="Arial" w:eastAsia="Arial" w:hAnsi="Arial"/>
                <w:sz w:val="16"/>
                <w:szCs w:val="16"/>
                <w:i w:val="1"/>
                <w:iCs w:val="1"/>
                <w:color w:val="auto"/>
              </w:rPr>
              <w:t>(PSU)</w:t>
            </w:r>
          </w:p>
        </w:tc>
        <w:tc>
          <w:tcPr>
            <w:tcW w:w="4380" w:type="dxa"/>
            <w:vAlign w:val="bottom"/>
          </w:tcPr>
          <w:p>
            <w:pPr>
              <w:ind w:left="80"/>
              <w:spacing w:after="0"/>
              <w:rPr>
                <w:sz w:val="20"/>
                <w:szCs w:val="20"/>
                <w:color w:val="auto"/>
              </w:rPr>
            </w:pPr>
            <w:r>
              <w:rPr>
                <w:rFonts w:ascii="Arial" w:cs="Arial" w:eastAsia="Arial" w:hAnsi="Arial"/>
                <w:sz w:val="16"/>
                <w:szCs w:val="16"/>
                <w:color w:val="auto"/>
              </w:rPr>
              <w:t>financial goals and relative TSR reinforcing the link between</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restart"/>
          </w:tcPr>
          <w:p>
            <w:pPr>
              <w:ind w:left="300"/>
              <w:spacing w:after="0"/>
              <w:rPr>
                <w:sz w:val="20"/>
                <w:szCs w:val="20"/>
                <w:color w:val="auto"/>
              </w:rPr>
            </w:pPr>
            <w:r>
              <w:rPr>
                <w:rFonts w:ascii="Arial" w:cs="Arial" w:eastAsia="Arial" w:hAnsi="Arial"/>
                <w:sz w:val="16"/>
                <w:szCs w:val="16"/>
                <w:i w:val="1"/>
                <w:iCs w:val="1"/>
                <w:color w:val="auto"/>
              </w:rPr>
              <w:t>Restricted Stock Units (RSUs)</w:t>
            </w:r>
          </w:p>
        </w:tc>
        <w:tc>
          <w:tcPr>
            <w:tcW w:w="4380" w:type="dxa"/>
            <w:vAlign w:val="bottom"/>
          </w:tcPr>
          <w:p>
            <w:pPr>
              <w:ind w:left="80"/>
              <w:spacing w:after="0"/>
              <w:rPr>
                <w:sz w:val="20"/>
                <w:szCs w:val="20"/>
                <w:color w:val="auto"/>
              </w:rPr>
            </w:pPr>
            <w:r>
              <w:rPr>
                <w:rFonts w:ascii="Arial" w:cs="Arial" w:eastAsia="Arial" w:hAnsi="Arial"/>
                <w:sz w:val="16"/>
                <w:szCs w:val="16"/>
                <w:color w:val="auto"/>
              </w:rPr>
              <w:t>our executive officers and our shareholders.</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continue"/>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To motivate the appropriate behaviors delivering superior</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long-term total shareholder return. Also promotes a base-</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restart"/>
          </w:tcPr>
          <w:p>
            <w:pPr>
              <w:ind w:left="80"/>
              <w:spacing w:after="0"/>
              <w:rPr>
                <w:sz w:val="20"/>
                <w:szCs w:val="20"/>
                <w:color w:val="auto"/>
              </w:rPr>
            </w:pPr>
            <w:r>
              <w:rPr>
                <w:rFonts w:ascii="Arial" w:cs="Arial" w:eastAsia="Arial" w:hAnsi="Arial"/>
                <w:sz w:val="16"/>
                <w:szCs w:val="16"/>
                <w:b w:val="1"/>
                <w:bCs w:val="1"/>
                <w:color w:val="auto"/>
              </w:rPr>
              <w:t>Health/Welfare Plan and</w:t>
            </w:r>
          </w:p>
        </w:tc>
        <w:tc>
          <w:tcPr>
            <w:tcW w:w="4380" w:type="dxa"/>
            <w:vAlign w:val="bottom"/>
          </w:tcPr>
          <w:p>
            <w:pPr>
              <w:ind w:left="80"/>
              <w:spacing w:after="0"/>
              <w:rPr>
                <w:sz w:val="20"/>
                <w:szCs w:val="20"/>
                <w:color w:val="auto"/>
              </w:rPr>
            </w:pPr>
            <w:r>
              <w:rPr>
                <w:rFonts w:ascii="Arial" w:cs="Arial" w:eastAsia="Arial" w:hAnsi="Arial"/>
                <w:sz w:val="16"/>
                <w:szCs w:val="16"/>
                <w:color w:val="auto"/>
              </w:rPr>
              <w:t>level of executive retention.</w:t>
            </w:r>
          </w:p>
        </w:tc>
        <w:tc>
          <w:tcPr>
            <w:tcW w:w="0" w:type="dxa"/>
            <w:vAlign w:val="bottom"/>
          </w:tcPr>
          <w:p>
            <w:pPr>
              <w:spacing w:after="0"/>
              <w:rPr>
                <w:sz w:val="1"/>
                <w:szCs w:val="1"/>
                <w:color w:val="auto"/>
              </w:rPr>
            </w:pPr>
          </w:p>
        </w:tc>
      </w:tr>
      <w:tr>
        <w:trPr>
          <w:trHeight w:val="169"/>
        </w:trPr>
        <w:tc>
          <w:tcPr>
            <w:tcW w:w="2580" w:type="dxa"/>
            <w:vAlign w:val="bottom"/>
            <w:tcBorders>
              <w:right w:val="single" w:sz="8" w:color="007CBA"/>
            </w:tcBorders>
            <w:vMerge w:val="continue"/>
          </w:tcPr>
          <w:p>
            <w:pPr>
              <w:spacing w:after="0"/>
              <w:rPr>
                <w:sz w:val="14"/>
                <w:szCs w:val="14"/>
                <w:color w:val="auto"/>
              </w:rPr>
            </w:pPr>
          </w:p>
        </w:tc>
        <w:tc>
          <w:tcPr>
            <w:tcW w:w="4380" w:type="dxa"/>
            <w:vAlign w:val="bottom"/>
          </w:tcPr>
          <w:p>
            <w:pPr>
              <w:ind w:left="80"/>
              <w:spacing w:after="0" w:line="169" w:lineRule="exact"/>
              <w:rPr>
                <w:sz w:val="20"/>
                <w:szCs w:val="20"/>
                <w:color w:val="auto"/>
              </w:rPr>
            </w:pPr>
            <w:r>
              <w:rPr>
                <w:rFonts w:ascii="Arial" w:cs="Arial" w:eastAsia="Arial" w:hAnsi="Arial"/>
                <w:sz w:val="16"/>
                <w:szCs w:val="16"/>
                <w:color w:val="auto"/>
              </w:rPr>
              <w:t>To provide competitive benefits promoting employee health</w:t>
            </w:r>
          </w:p>
        </w:tc>
        <w:tc>
          <w:tcPr>
            <w:tcW w:w="0" w:type="dxa"/>
            <w:vAlign w:val="bottom"/>
          </w:tcPr>
          <w:p>
            <w:pPr>
              <w:spacing w:after="0"/>
              <w:rPr>
                <w:sz w:val="1"/>
                <w:szCs w:val="1"/>
                <w:color w:val="auto"/>
              </w:rPr>
            </w:pPr>
          </w:p>
        </w:tc>
      </w:tr>
      <w:tr>
        <w:trPr>
          <w:trHeight w:val="203"/>
        </w:trPr>
        <w:tc>
          <w:tcPr>
            <w:tcW w:w="25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Retirement Benefits</w:t>
            </w:r>
          </w:p>
        </w:tc>
        <w:tc>
          <w:tcPr>
            <w:tcW w:w="4380" w:type="dxa"/>
            <w:vAlign w:val="bottom"/>
          </w:tcPr>
          <w:p>
            <w:pPr>
              <w:ind w:left="80"/>
              <w:spacing w:after="0"/>
              <w:rPr>
                <w:sz w:val="20"/>
                <w:szCs w:val="20"/>
                <w:color w:val="auto"/>
              </w:rPr>
            </w:pPr>
            <w:r>
              <w:rPr>
                <w:rFonts w:ascii="Arial" w:cs="Arial" w:eastAsia="Arial" w:hAnsi="Arial"/>
                <w:sz w:val="16"/>
                <w:szCs w:val="16"/>
                <w:color w:val="auto"/>
              </w:rPr>
              <w:t>and productivity and support financial security.</w:t>
            </w:r>
          </w:p>
        </w:tc>
        <w:tc>
          <w:tcPr>
            <w:tcW w:w="0" w:type="dxa"/>
            <w:vAlign w:val="bottom"/>
          </w:tcPr>
          <w:p>
            <w:pPr>
              <w:spacing w:after="0"/>
              <w:rPr>
                <w:sz w:val="1"/>
                <w:szCs w:val="1"/>
                <w:color w:val="auto"/>
              </w:rPr>
            </w:pPr>
          </w:p>
        </w:tc>
      </w:tr>
      <w:tr>
        <w:trPr>
          <w:trHeight w:val="209"/>
        </w:trPr>
        <w:tc>
          <w:tcPr>
            <w:tcW w:w="25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Perquisites and Other Benefits</w:t>
            </w:r>
          </w:p>
        </w:tc>
        <w:tc>
          <w:tcPr>
            <w:tcW w:w="4380" w:type="dxa"/>
            <w:vAlign w:val="bottom"/>
          </w:tcPr>
          <w:p>
            <w:pPr>
              <w:ind w:left="80"/>
              <w:spacing w:after="0"/>
              <w:rPr>
                <w:sz w:val="20"/>
                <w:szCs w:val="20"/>
                <w:color w:val="auto"/>
              </w:rPr>
            </w:pPr>
            <w:r>
              <w:rPr>
                <w:rFonts w:ascii="Arial" w:cs="Arial" w:eastAsia="Arial" w:hAnsi="Arial"/>
                <w:sz w:val="16"/>
                <w:szCs w:val="16"/>
                <w:color w:val="auto"/>
              </w:rPr>
              <w:t>To provide limited business-related benefits, where</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appropriate, and to assist in attracting and retaining</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restart"/>
          </w:tcPr>
          <w:p>
            <w:pPr>
              <w:ind w:left="80"/>
              <w:spacing w:after="0"/>
              <w:rPr>
                <w:sz w:val="20"/>
                <w:szCs w:val="20"/>
                <w:color w:val="auto"/>
              </w:rPr>
            </w:pPr>
            <w:r>
              <w:rPr>
                <w:rFonts w:ascii="Arial" w:cs="Arial" w:eastAsia="Arial" w:hAnsi="Arial"/>
                <w:sz w:val="16"/>
                <w:szCs w:val="16"/>
                <w:b w:val="1"/>
                <w:bCs w:val="1"/>
                <w:color w:val="auto"/>
              </w:rPr>
              <w:t>Change-in-Control Protection</w:t>
            </w:r>
          </w:p>
        </w:tc>
        <w:tc>
          <w:tcPr>
            <w:tcW w:w="4380" w:type="dxa"/>
            <w:vAlign w:val="bottom"/>
          </w:tcPr>
          <w:p>
            <w:pPr>
              <w:ind w:left="80"/>
              <w:spacing w:after="0"/>
              <w:rPr>
                <w:sz w:val="20"/>
                <w:szCs w:val="20"/>
                <w:color w:val="auto"/>
              </w:rPr>
            </w:pPr>
            <w:r>
              <w:rPr>
                <w:rFonts w:ascii="Arial" w:cs="Arial" w:eastAsia="Arial" w:hAnsi="Arial"/>
                <w:sz w:val="16"/>
                <w:szCs w:val="16"/>
                <w:color w:val="auto"/>
              </w:rPr>
              <w:t>executive officers.</w:t>
            </w:r>
          </w:p>
        </w:tc>
        <w:tc>
          <w:tcPr>
            <w:tcW w:w="0" w:type="dxa"/>
            <w:vAlign w:val="bottom"/>
          </w:tcPr>
          <w:p>
            <w:pPr>
              <w:spacing w:after="0"/>
              <w:rPr>
                <w:sz w:val="1"/>
                <w:szCs w:val="1"/>
                <w:color w:val="auto"/>
              </w:rPr>
            </w:pPr>
          </w:p>
        </w:tc>
      </w:tr>
      <w:tr>
        <w:trPr>
          <w:trHeight w:val="189"/>
        </w:trPr>
        <w:tc>
          <w:tcPr>
            <w:tcW w:w="2580" w:type="dxa"/>
            <w:vAlign w:val="bottom"/>
            <w:tcBorders>
              <w:right w:val="single" w:sz="8" w:color="007CBA"/>
            </w:tcBorders>
            <w:vMerge w:val="continue"/>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To provide continuity of management and bridge future</w:t>
            </w:r>
          </w:p>
        </w:tc>
        <w:tc>
          <w:tcPr>
            <w:tcW w:w="0" w:type="dxa"/>
            <w:vAlign w:val="bottom"/>
          </w:tcPr>
          <w:p>
            <w:pPr>
              <w:spacing w:after="0"/>
              <w:rPr>
                <w:sz w:val="1"/>
                <w:szCs w:val="1"/>
                <w:color w:val="auto"/>
              </w:rPr>
            </w:pPr>
          </w:p>
        </w:tc>
      </w:tr>
      <w:tr>
        <w:trPr>
          <w:trHeight w:val="195"/>
        </w:trPr>
        <w:tc>
          <w:tcPr>
            <w:tcW w:w="2580" w:type="dxa"/>
            <w:vAlign w:val="bottom"/>
            <w:tcBorders>
              <w:right w:val="single" w:sz="8" w:color="007CBA"/>
            </w:tcBorders>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employment if terminated following a change-in-control.</w:t>
            </w:r>
          </w:p>
        </w:tc>
        <w:tc>
          <w:tcPr>
            <w:tcW w:w="0" w:type="dxa"/>
            <w:vAlign w:val="bottom"/>
          </w:tcPr>
          <w:p>
            <w:pPr>
              <w:spacing w:after="0"/>
              <w:rPr>
                <w:sz w:val="1"/>
                <w:szCs w:val="1"/>
                <w:color w:val="auto"/>
              </w:rPr>
            </w:pPr>
          </w:p>
        </w:tc>
      </w:tr>
      <w:tr>
        <w:trPr>
          <w:trHeight w:val="373"/>
        </w:trPr>
        <w:tc>
          <w:tcPr>
            <w:tcW w:w="25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Severance Protection</w:t>
            </w:r>
          </w:p>
        </w:tc>
        <w:tc>
          <w:tcPr>
            <w:tcW w:w="4380" w:type="dxa"/>
            <w:vAlign w:val="bottom"/>
          </w:tcPr>
          <w:p>
            <w:pPr>
              <w:ind w:left="80"/>
              <w:spacing w:after="0"/>
              <w:rPr>
                <w:sz w:val="20"/>
                <w:szCs w:val="20"/>
                <w:color w:val="auto"/>
              </w:rPr>
            </w:pPr>
            <w:r>
              <w:rPr>
                <w:rFonts w:ascii="Arial" w:cs="Arial" w:eastAsia="Arial" w:hAnsi="Arial"/>
                <w:sz w:val="16"/>
                <w:szCs w:val="16"/>
                <w:color w:val="auto"/>
              </w:rPr>
              <w:t>To bridge future employment if terminated other than “for</w:t>
            </w:r>
          </w:p>
        </w:tc>
        <w:tc>
          <w:tcPr>
            <w:tcW w:w="0" w:type="dxa"/>
            <w:vAlign w:val="bottom"/>
          </w:tcPr>
          <w:p>
            <w:pPr>
              <w:spacing w:after="0"/>
              <w:rPr>
                <w:sz w:val="1"/>
                <w:szCs w:val="1"/>
                <w:color w:val="auto"/>
              </w:rPr>
            </w:pPr>
          </w:p>
        </w:tc>
      </w:tr>
      <w:tr>
        <w:trPr>
          <w:trHeight w:val="195"/>
        </w:trPr>
        <w:tc>
          <w:tcPr>
            <w:tcW w:w="2580" w:type="dxa"/>
            <w:vAlign w:val="bottom"/>
            <w:tcBorders>
              <w:right w:val="single" w:sz="8" w:color="007CBA"/>
            </w:tcBorders>
          </w:tcPr>
          <w:p>
            <w:pPr>
              <w:spacing w:after="0"/>
              <w:rPr>
                <w:sz w:val="16"/>
                <w:szCs w:val="16"/>
                <w:color w:val="auto"/>
              </w:rPr>
            </w:pPr>
          </w:p>
        </w:tc>
        <w:tc>
          <w:tcPr>
            <w:tcW w:w="4380" w:type="dxa"/>
            <w:vAlign w:val="bottom"/>
          </w:tcPr>
          <w:p>
            <w:pPr>
              <w:ind w:left="80"/>
              <w:spacing w:after="0"/>
              <w:rPr>
                <w:sz w:val="20"/>
                <w:szCs w:val="20"/>
                <w:color w:val="auto"/>
              </w:rPr>
            </w:pPr>
            <w:r>
              <w:rPr>
                <w:rFonts w:ascii="Arial" w:cs="Arial" w:eastAsia="Arial" w:hAnsi="Arial"/>
                <w:sz w:val="16"/>
                <w:szCs w:val="16"/>
                <w:color w:val="auto"/>
              </w:rPr>
              <w:t>cause.”</w:t>
            </w:r>
          </w:p>
        </w:tc>
        <w:tc>
          <w:tcPr>
            <w:tcW w:w="0" w:type="dxa"/>
            <w:vAlign w:val="bottom"/>
          </w:tcPr>
          <w:p>
            <w:pPr>
              <w:spacing w:after="0"/>
              <w:rPr>
                <w:sz w:val="1"/>
                <w:szCs w:val="1"/>
                <w:color w:val="auto"/>
              </w:rPr>
            </w:pPr>
          </w:p>
        </w:tc>
      </w:tr>
      <w:tr>
        <w:trPr>
          <w:trHeight w:val="195"/>
        </w:trPr>
        <w:tc>
          <w:tcPr>
            <w:tcW w:w="2580" w:type="dxa"/>
            <w:vAlign w:val="bottom"/>
            <w:tcBorders>
              <w:right w:val="single" w:sz="8" w:color="007CBA"/>
            </w:tcBorders>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-3618230</wp:posOffset>
            </wp:positionV>
            <wp:extent cx="7246620" cy="3961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Key Characteristics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Fixed compensation that is reviewed annually.</w:t>
      </w:r>
    </w:p>
    <w:p>
      <w:pPr>
        <w:spacing w:after="0" w:line="19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Variable compensation component; based on pre-established Company and individual performance goals.</w:t>
      </w:r>
    </w:p>
    <w:p>
      <w:pPr>
        <w:spacing w:after="0" w:line="16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Executives may invest up to 50% of their annual bonus into stock units, with a mandatory minimum of 35% for our CEO and 20% for other NEOs to be invested in common stock units.</w:t>
      </w:r>
    </w:p>
    <w:p>
      <w:pPr>
        <w:spacing w:after="0" w:line="2"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Variable compensation component. Reviewed and granted annually. New program in 2016 splits long-term incentives for NEOs at 67% PSUs and 33% RSUs.</w:t>
      </w:r>
    </w:p>
    <w:p>
      <w:pPr>
        <w:spacing w:after="0" w:line="1"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Grants based on three-year Return on Sales (ROS), EBITDA and TSR performance relative to peers.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Stock price growth.</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Fixed compensation component.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Fixed compensation component.</w:t>
      </w:r>
    </w:p>
    <w:p>
      <w:pPr>
        <w:spacing w:after="0" w:line="38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Fixed compensation component; only paid in the event the executive’s employment is terminated following a change-in-control.</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Fixed compensation component; only paid in the event the executive’s employment is terminated other than “for cause.”</w:t>
      </w:r>
    </w:p>
    <w:p>
      <w:pPr>
        <w:spacing w:after="0" w:line="180" w:lineRule="exact"/>
        <w:rPr>
          <w:sz w:val="20"/>
          <w:szCs w:val="20"/>
          <w:color w:val="auto"/>
        </w:rPr>
      </w:pPr>
    </w:p>
    <w:p>
      <w:pPr>
        <w:sectPr>
          <w:pgSz w:w="11900" w:h="16838" w:orient="portrait"/>
          <w:cols w:equalWidth="0" w:num="2">
            <w:col w:w="6960" w:space="120"/>
            <w:col w:w="4320"/>
          </w:cols>
          <w:pgMar w:left="240" w:top="459" w:right="259" w:bottom="1440" w:gutter="0" w:footer="0" w:header="0"/>
          <w:type w:val="continuous"/>
        </w:sectPr>
      </w:pPr>
    </w:p>
    <w:p>
      <w:pPr>
        <w:ind w:left="460" w:hanging="452"/>
        <w:spacing w:after="0"/>
        <w:tabs>
          <w:tab w:leader="none" w:pos="460" w:val="left"/>
        </w:tabs>
        <w:numPr>
          <w:ilvl w:val="0"/>
          <w:numId w:val="66"/>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Performance-Related Compensation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Compensation Discussion and Analysis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Performance-Related Compensation</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substantial portion of our CEO’s and executive officers’ compensation is at risk and will vary depending upon our performance. Most of the opportunities to achieve long-term equity incentives granted to our CEO and other executive officers in 2016 were performance-related consisting of PSUs that comprised 67% of the long-term equity awards.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67% of our CEO’s total pay opportunity at target levels is performance-based “at 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139065</wp:posOffset>
            </wp:positionV>
            <wp:extent cx="4408170" cy="18440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08170" cy="18440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Ongoing Corporate Governance Policies</w:t>
      </w:r>
    </w:p>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endeavor to maintain good corporate governance standards relating to our executive compensation policies and practices, including the following that were in effect during 2016 that directly impacted compensation:</w:t>
      </w:r>
    </w:p>
    <w:p>
      <w:pPr>
        <w:spacing w:after="0" w:line="66" w:lineRule="exact"/>
        <w:rPr>
          <w:sz w:val="20"/>
          <w:szCs w:val="20"/>
          <w:color w:val="auto"/>
        </w:rPr>
      </w:pPr>
    </w:p>
    <w:p>
      <w:pPr>
        <w:jc w:val="both"/>
        <w:ind w:left="380" w:hanging="291"/>
        <w:spacing w:after="0" w:line="253" w:lineRule="auto"/>
        <w:tabs>
          <w:tab w:leader="none" w:pos="38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The Committee is composed solely of independent Directors who regularly schedule and meet in executive sessions without management present.</w:t>
      </w:r>
    </w:p>
    <w:p>
      <w:pPr>
        <w:spacing w:after="0" w:line="66"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The Committee’s independent compensation consultant is retained directly by the Committee.</w:t>
      </w:r>
    </w:p>
    <w:p>
      <w:pPr>
        <w:spacing w:after="0" w:line="60" w:lineRule="exact"/>
        <w:rPr>
          <w:rFonts w:ascii="Arial" w:cs="Arial" w:eastAsia="Arial" w:hAnsi="Arial"/>
          <w:sz w:val="16"/>
          <w:szCs w:val="16"/>
          <w:color w:val="007CBA"/>
        </w:rPr>
      </w:pPr>
    </w:p>
    <w:p>
      <w:pPr>
        <w:jc w:val="both"/>
        <w:ind w:left="380" w:hanging="291"/>
        <w:spacing w:after="0" w:line="251" w:lineRule="auto"/>
        <w:tabs>
          <w:tab w:leader="none" w:pos="38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The Committee conducts an annual review and approval of our compensation strategy, including a review of our compensation-related risk profile, to ensure that our compensation-related risks are not reasonably likely to have a material adverse effect on the Company.</w:t>
      </w:r>
    </w:p>
    <w:p>
      <w:pPr>
        <w:spacing w:after="0" w:line="67" w:lineRule="exact"/>
        <w:rPr>
          <w:rFonts w:ascii="Arial" w:cs="Arial" w:eastAsia="Arial" w:hAnsi="Arial"/>
          <w:sz w:val="16"/>
          <w:szCs w:val="16"/>
          <w:color w:val="007CBA"/>
        </w:rPr>
      </w:pPr>
    </w:p>
    <w:p>
      <w:pPr>
        <w:jc w:val="both"/>
        <w:ind w:left="380" w:hanging="291"/>
        <w:spacing w:after="0" w:line="258" w:lineRule="auto"/>
        <w:tabs>
          <w:tab w:leader="none" w:pos="38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We pay for performance, with approximately 67% of our CEO’s total target pay opportunity being performance-based “at risk” compensation.</w:t>
      </w:r>
    </w:p>
    <w:p>
      <w:pPr>
        <w:spacing w:after="0" w:line="252"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We cap PSU payments at target if three-year TSR is negative, regardless of our ranking.</w:t>
      </w:r>
    </w:p>
    <w:p>
      <w:pPr>
        <w:spacing w:after="0" w:line="60" w:lineRule="exact"/>
        <w:rPr>
          <w:rFonts w:ascii="Arial" w:cs="Arial" w:eastAsia="Arial" w:hAnsi="Arial"/>
          <w:sz w:val="16"/>
          <w:szCs w:val="16"/>
          <w:color w:val="007CBA"/>
        </w:rPr>
      </w:pPr>
    </w:p>
    <w:p>
      <w:pPr>
        <w:ind w:left="380" w:hanging="291"/>
        <w:spacing w:after="0"/>
        <w:tabs>
          <w:tab w:leader="none" w:pos="380" w:val="left"/>
        </w:tabs>
        <w:numPr>
          <w:ilvl w:val="0"/>
          <w:numId w:val="67"/>
        </w:numPr>
        <w:rPr>
          <w:rFonts w:ascii="Arial" w:cs="Arial" w:eastAsia="Arial" w:hAnsi="Arial"/>
          <w:sz w:val="16"/>
          <w:szCs w:val="16"/>
          <w:color w:val="007CBA"/>
        </w:rPr>
      </w:pPr>
      <w:r>
        <w:rPr>
          <w:rFonts w:ascii="Arial" w:cs="Arial" w:eastAsia="Arial" w:hAnsi="Arial"/>
          <w:sz w:val="16"/>
          <w:szCs w:val="16"/>
          <w:color w:val="auto"/>
        </w:rPr>
        <w:t>We limit perquisites and other benefits.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Compensation Decision Process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Management and the Committee</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 xml:space="preserve">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Arial" w:cs="Arial" w:eastAsia="Arial" w:hAnsi="Arial"/>
          <w:sz w:val="16"/>
          <w:szCs w:val="16"/>
          <w:i w:val="1"/>
          <w:iCs w:val="1"/>
          <w:color w:val="auto"/>
        </w:rPr>
        <w:t>www.martinmarietta.com.</w:t>
      </w:r>
    </w:p>
    <w:p>
      <w:pPr>
        <w:spacing w:after="0" w:line="163"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performance of the CEO and each other executive officer is reviewed regularly by the Committee. Based on this review, the Committee sets compensation for all executive officers. Compensation decisions with respect to the executive officers other than the CEO are based in part on recommendations by the CEO, with input from the Senior Vice President— Human Resources, with respect to salary adjustments and annual cash and equity awards. The Committee can accept, reject or modify any recommended adjustments or awards to executive officers. For the CEO, the Committee sets the levels of annual adjustments and awards based on the criteria it deems to be appropriate under the circumstances with input from the independent compensation consultant. There are no employment agreements between Martin Marietta and any executive officer of Martin Marietta, including the CEO.</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Committee retained an independent compensation consultant in accordance with the Committee’s charter. The consultant reports directly to the Committee. The Committee retains sole authority to hire or terminate the consultant, approve its compensation, determine the nature and scope of services, and evaluate performance. A representative of the compensation consultant attends Committee meetings, either in person or by telephone, as requested, and communicates with the Committee Chair between meetings. The Committee makes all final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465455</wp:posOffset>
            </wp:positionV>
            <wp:extent cx="411480" cy="2489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65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01"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33</w:t>
            </w:r>
          </w:p>
        </w:tc>
      </w:tr>
    </w:tbl>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Compensation Decision Process</w:t>
      </w:r>
    </w:p>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compensation consultant’s specific compensation consultation roles include, but are not limited to, the following:</w:t>
      </w:r>
    </w:p>
    <w:p>
      <w:pPr>
        <w:spacing w:after="0" w:line="61" w:lineRule="exact"/>
        <w:rPr>
          <w:sz w:val="20"/>
          <w:szCs w:val="20"/>
          <w:color w:val="auto"/>
        </w:rPr>
      </w:pPr>
    </w:p>
    <w:p>
      <w:pPr>
        <w:ind w:left="380" w:right="20" w:hanging="291"/>
        <w:spacing w:after="0" w:line="260" w:lineRule="auto"/>
        <w:tabs>
          <w:tab w:leader="none" w:pos="380" w:val="left"/>
        </w:tabs>
        <w:numPr>
          <w:ilvl w:val="0"/>
          <w:numId w:val="68"/>
        </w:numPr>
        <w:rPr>
          <w:rFonts w:ascii="Arial" w:cs="Arial" w:eastAsia="Arial" w:hAnsi="Arial"/>
          <w:sz w:val="16"/>
          <w:szCs w:val="16"/>
          <w:color w:val="007CBA"/>
        </w:rPr>
      </w:pPr>
      <w:r>
        <w:rPr>
          <w:rFonts w:ascii="Arial" w:cs="Arial" w:eastAsia="Arial" w:hAnsi="Arial"/>
          <w:sz w:val="16"/>
          <w:szCs w:val="16"/>
          <w:color w:val="auto"/>
        </w:rPr>
        <w:t>Advise the Committee on executive compensation trends and regulatory developments.</w:t>
      </w:r>
    </w:p>
    <w:p>
      <w:pPr>
        <w:spacing w:after="0" w:line="60"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68"/>
        </w:numPr>
        <w:rPr>
          <w:rFonts w:ascii="Arial" w:cs="Arial" w:eastAsia="Arial" w:hAnsi="Arial"/>
          <w:sz w:val="16"/>
          <w:szCs w:val="16"/>
          <w:color w:val="007CBA"/>
        </w:rPr>
      </w:pPr>
      <w:r>
        <w:rPr>
          <w:rFonts w:ascii="Arial" w:cs="Arial" w:eastAsia="Arial" w:hAnsi="Arial"/>
          <w:sz w:val="16"/>
          <w:szCs w:val="16"/>
          <w:color w:val="auto"/>
        </w:rPr>
        <w:t>Provide a total compensation assessment for executives compared to peer companies and recommendations for executive pay.</w:t>
      </w:r>
    </w:p>
    <w:p>
      <w:pPr>
        <w:spacing w:after="0" w:line="60" w:lineRule="exact"/>
        <w:rPr>
          <w:rFonts w:ascii="Arial" w:cs="Arial" w:eastAsia="Arial" w:hAnsi="Arial"/>
          <w:sz w:val="16"/>
          <w:szCs w:val="16"/>
          <w:color w:val="007CBA"/>
        </w:rPr>
      </w:pPr>
    </w:p>
    <w:p>
      <w:pPr>
        <w:jc w:val="both"/>
        <w:ind w:left="380" w:hanging="291"/>
        <w:spacing w:after="0" w:line="253" w:lineRule="auto"/>
        <w:tabs>
          <w:tab w:leader="none" w:pos="380" w:val="left"/>
        </w:tabs>
        <w:numPr>
          <w:ilvl w:val="0"/>
          <w:numId w:val="68"/>
        </w:numPr>
        <w:rPr>
          <w:rFonts w:ascii="Arial" w:cs="Arial" w:eastAsia="Arial" w:hAnsi="Arial"/>
          <w:sz w:val="16"/>
          <w:szCs w:val="16"/>
          <w:color w:val="007CBA"/>
        </w:rPr>
      </w:pPr>
      <w:r>
        <w:rPr>
          <w:rFonts w:ascii="Arial" w:cs="Arial" w:eastAsia="Arial" w:hAnsi="Arial"/>
          <w:sz w:val="16"/>
          <w:szCs w:val="16"/>
          <w:color w:val="auto"/>
        </w:rPr>
        <w:t>Summarize and report to the Committee on trends, regulatory developments and other factors affecting executive officer compensation, as well as any other areas of concern or risk.</w:t>
      </w:r>
    </w:p>
    <w:p>
      <w:pPr>
        <w:spacing w:after="0" w:line="66" w:lineRule="exact"/>
        <w:rPr>
          <w:rFonts w:ascii="Arial" w:cs="Arial" w:eastAsia="Arial" w:hAnsi="Arial"/>
          <w:sz w:val="16"/>
          <w:szCs w:val="16"/>
          <w:color w:val="007CBA"/>
        </w:rPr>
      </w:pPr>
    </w:p>
    <w:p>
      <w:pPr>
        <w:ind w:left="380" w:right="20" w:hanging="291"/>
        <w:spacing w:after="0" w:line="260" w:lineRule="auto"/>
        <w:tabs>
          <w:tab w:leader="none" w:pos="380" w:val="left"/>
        </w:tabs>
        <w:numPr>
          <w:ilvl w:val="0"/>
          <w:numId w:val="68"/>
        </w:numPr>
        <w:rPr>
          <w:rFonts w:ascii="Arial" w:cs="Arial" w:eastAsia="Arial" w:hAnsi="Arial"/>
          <w:sz w:val="16"/>
          <w:szCs w:val="16"/>
          <w:color w:val="007CBA"/>
        </w:rPr>
      </w:pPr>
      <w:r>
        <w:rPr>
          <w:rFonts w:ascii="Arial" w:cs="Arial" w:eastAsia="Arial" w:hAnsi="Arial"/>
          <w:sz w:val="16"/>
          <w:szCs w:val="16"/>
          <w:color w:val="auto"/>
        </w:rPr>
        <w:t>Serve as a resource to the Committee Chair for meeting agendas and supporting materials in advance of each meeting.</w:t>
      </w:r>
    </w:p>
    <w:p>
      <w:pPr>
        <w:spacing w:after="0" w:line="60" w:lineRule="exact"/>
        <w:rPr>
          <w:rFonts w:ascii="Arial" w:cs="Arial" w:eastAsia="Arial" w:hAnsi="Arial"/>
          <w:sz w:val="16"/>
          <w:szCs w:val="16"/>
          <w:color w:val="007CBA"/>
        </w:rPr>
      </w:pPr>
    </w:p>
    <w:p>
      <w:pPr>
        <w:ind w:left="380" w:hanging="291"/>
        <w:spacing w:after="0"/>
        <w:tabs>
          <w:tab w:leader="none" w:pos="380" w:val="left"/>
        </w:tabs>
        <w:numPr>
          <w:ilvl w:val="0"/>
          <w:numId w:val="68"/>
        </w:numPr>
        <w:rPr>
          <w:rFonts w:ascii="Arial" w:cs="Arial" w:eastAsia="Arial" w:hAnsi="Arial"/>
          <w:sz w:val="16"/>
          <w:szCs w:val="16"/>
          <w:color w:val="007CBA"/>
        </w:rPr>
      </w:pPr>
      <w:r>
        <w:rPr>
          <w:rFonts w:ascii="Arial" w:cs="Arial" w:eastAsia="Arial" w:hAnsi="Arial"/>
          <w:sz w:val="16"/>
          <w:szCs w:val="16"/>
          <w:color w:val="auto"/>
        </w:rPr>
        <w:t>Review and comment on proxy disclosure items, including this CD&amp;A.</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68"/>
        </w:numPr>
        <w:rPr>
          <w:rFonts w:ascii="Arial" w:cs="Arial" w:eastAsia="Arial" w:hAnsi="Arial"/>
          <w:sz w:val="16"/>
          <w:szCs w:val="16"/>
          <w:color w:val="007CBA"/>
        </w:rPr>
      </w:pPr>
      <w:r>
        <w:rPr>
          <w:rFonts w:ascii="Arial" w:cs="Arial" w:eastAsia="Arial" w:hAnsi="Arial"/>
          <w:sz w:val="16"/>
          <w:szCs w:val="16"/>
          <w:color w:val="auto"/>
        </w:rPr>
        <w:t>Advise the Committee on management’s pay recommendations.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Based on these activities, the compensation consultant makes recommendations regarding, and proposes adjustments to, our executive officer compensation program as it deems appropriate. While the consultant works closely with the appropriate members of our executive management team in performing these activities, the consultant reports directly to and is retained by the Committee on all executive compensation matters, and speaks to the Committee and the Chair of the Committee on a regular basis without management present. The compensation consultant periodically attends Committee meetings.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Mercer was paid $204,345 for its compensation advisory services in 2016. Also during 2016, Mercer and its Marsh &amp; McLennan affiliates were also retained by management to provide services unrelated to executive compensation, including property/casualty insurance brokerage services and administration of a risk management information system. The aggregate fees paid for those other services for 2016 were $277,095. The Committee and the Board did not review or approve the other services provided to us by Mercer and its Marsh &amp; McLennan affiliates, as those services were approved by management in the normal course of business prior to the Committee’s engagement of Mercer to work on its behalf.</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been advised by Mercer that the reporting relationship and compensation of the individual Mercer consultants who perform executive compensation consulting services for our Committee is separate from, and is not determined by reference to, Mercer’s or Marsh &amp; McLennan’s other lines of business or their other work for us. The Committee considered these separate reporting relationships and compensation structures,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provision of other services to the Company by Mercer and Marsh &amp; McLennan, the absence of any business or personal relationship between our officers and Directors and the specific Mercer consultants advising the Company (other than the consulting relationship with the Committee), Mercer’s Global Business Standards intended to address potential conflict of interests with respect to their executive compensation consulting services, and the other factors required to be considered by applicable SEC and stock exchange rules, in approving the Committee’s engagement of Mercer for fiscal 2016. Based on this review, the Committee did not identify that Mercer had any conflicts of interest that would prevent Mercer from independently advising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-2186305</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Committee has considered and assessed all relevant factors, including but not limited to those set forth in Rule 10C-1(b)(4)(i) through (vi) under the Securities Exchange Act of 1934, that could give rise to a potential conflict of interest with respect to the individual independent compensation consultants that provided services in 2016. Based on this review, there are no conflicts of interest raised by the work performed by Mercer.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Peer Companies and Competitive Market Data</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Committee considered peer groups for two elements of the executive compensation program in 2016: the </w:t>
      </w:r>
      <w:r>
        <w:rPr>
          <w:rFonts w:ascii="Arial" w:cs="Arial" w:eastAsia="Arial" w:hAnsi="Arial"/>
          <w:sz w:val="16"/>
          <w:szCs w:val="16"/>
          <w:i w:val="1"/>
          <w:iCs w:val="1"/>
          <w:color w:val="auto"/>
        </w:rPr>
        <w:t>Compensation Peer Group</w:t>
      </w:r>
      <w:r>
        <w:rPr>
          <w:rFonts w:ascii="Arial" w:cs="Arial" w:eastAsia="Arial" w:hAnsi="Arial"/>
          <w:sz w:val="16"/>
          <w:szCs w:val="16"/>
          <w:color w:val="auto"/>
        </w:rPr>
        <w:t xml:space="preserve">, consisting of 17 companies that the Committee believes compete with us for talent, and the </w:t>
      </w:r>
      <w:r>
        <w:rPr>
          <w:rFonts w:ascii="Arial" w:cs="Arial" w:eastAsia="Arial" w:hAnsi="Arial"/>
          <w:sz w:val="16"/>
          <w:szCs w:val="16"/>
          <w:i w:val="1"/>
          <w:iCs w:val="1"/>
          <w:color w:val="auto"/>
        </w:rPr>
        <w:t>TSR Peer Group</w:t>
      </w:r>
      <w:r>
        <w:rPr>
          <w:rFonts w:ascii="Arial" w:cs="Arial" w:eastAsia="Arial" w:hAnsi="Arial"/>
          <w:sz w:val="16"/>
          <w:szCs w:val="16"/>
          <w:color w:val="auto"/>
        </w:rPr>
        <w:t>, consisting of a group of 25 companies that the Committee believes compete with us for investors and is used to assess the achievement of TSR measured for the PSU awards.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section only describes the Compensation Peer Group. The TSR peer group is discussed below in the descriptions of the other elements of our compensation program.</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Annually, the Committee studies competitive total compensation market data provided by its independent compensation consultant. To assess competitive pay levels, the Committee reviews and approves the composition of our Compensation Peer Group. The following peer group criteria are considered:</w:t>
      </w:r>
    </w:p>
    <w:p>
      <w:pPr>
        <w:spacing w:after="0" w:line="260" w:lineRule="exact"/>
        <w:rPr>
          <w:sz w:val="20"/>
          <w:szCs w:val="20"/>
          <w:color w:val="auto"/>
        </w:rPr>
      </w:pPr>
    </w:p>
    <w:p>
      <w:pPr>
        <w:ind w:left="380" w:hanging="291"/>
        <w:spacing w:after="0" w:line="260" w:lineRule="auto"/>
        <w:tabs>
          <w:tab w:leader="none" w:pos="380" w:val="left"/>
        </w:tabs>
        <w:numPr>
          <w:ilvl w:val="0"/>
          <w:numId w:val="70"/>
        </w:numPr>
        <w:rPr>
          <w:rFonts w:ascii="Arial" w:cs="Arial" w:eastAsia="Arial" w:hAnsi="Arial"/>
          <w:sz w:val="16"/>
          <w:szCs w:val="16"/>
          <w:color w:val="007CBA"/>
        </w:rPr>
      </w:pPr>
      <w:r>
        <w:rPr>
          <w:rFonts w:ascii="Arial" w:cs="Arial" w:eastAsia="Arial" w:hAnsi="Arial"/>
          <w:sz w:val="16"/>
          <w:szCs w:val="16"/>
          <w:color w:val="auto"/>
        </w:rPr>
        <w:t>Company size (approximately 0.4x to 2.5x Martin Marietta’s annual revenues);</w:t>
      </w:r>
    </w:p>
    <w:p>
      <w:pPr>
        <w:spacing w:after="0" w:line="60" w:lineRule="exact"/>
        <w:rPr>
          <w:rFonts w:ascii="Arial" w:cs="Arial" w:eastAsia="Arial" w:hAnsi="Arial"/>
          <w:sz w:val="16"/>
          <w:szCs w:val="16"/>
          <w:color w:val="007CBA"/>
        </w:rPr>
      </w:pPr>
    </w:p>
    <w:p>
      <w:pPr>
        <w:ind w:left="380" w:hanging="291"/>
        <w:spacing w:after="0"/>
        <w:tabs>
          <w:tab w:leader="none" w:pos="380" w:val="left"/>
        </w:tabs>
        <w:numPr>
          <w:ilvl w:val="0"/>
          <w:numId w:val="70"/>
        </w:numPr>
        <w:rPr>
          <w:rFonts w:ascii="Arial" w:cs="Arial" w:eastAsia="Arial" w:hAnsi="Arial"/>
          <w:sz w:val="16"/>
          <w:szCs w:val="16"/>
          <w:color w:val="007CBA"/>
        </w:rPr>
      </w:pPr>
      <w:r>
        <w:rPr>
          <w:rFonts w:ascii="Arial" w:cs="Arial" w:eastAsia="Arial" w:hAnsi="Arial"/>
          <w:sz w:val="16"/>
          <w:szCs w:val="16"/>
          <w:color w:val="auto"/>
        </w:rPr>
        <w:t>Companies in similar industries based on GICS code classifications;</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70"/>
        </w:numPr>
        <w:rPr>
          <w:rFonts w:ascii="Arial" w:cs="Arial" w:eastAsia="Arial" w:hAnsi="Arial"/>
          <w:sz w:val="16"/>
          <w:szCs w:val="16"/>
          <w:color w:val="007CBA"/>
        </w:rPr>
      </w:pPr>
      <w:r>
        <w:rPr>
          <w:rFonts w:ascii="Arial" w:cs="Arial" w:eastAsia="Arial" w:hAnsi="Arial"/>
          <w:sz w:val="16"/>
          <w:szCs w:val="16"/>
          <w:color w:val="auto"/>
        </w:rPr>
        <w:t>Direct competitors for business and management talent;</w:t>
      </w:r>
    </w:p>
    <w:p>
      <w:pPr>
        <w:spacing w:after="0" w:line="86"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70"/>
        </w:numPr>
        <w:rPr>
          <w:rFonts w:ascii="Arial" w:cs="Arial" w:eastAsia="Arial" w:hAnsi="Arial"/>
          <w:sz w:val="16"/>
          <w:szCs w:val="16"/>
          <w:color w:val="007CBA"/>
        </w:rPr>
      </w:pPr>
      <w:r>
        <w:rPr>
          <w:rFonts w:ascii="Arial" w:cs="Arial" w:eastAsia="Arial" w:hAnsi="Arial"/>
          <w:sz w:val="16"/>
          <w:szCs w:val="16"/>
          <w:color w:val="auto"/>
        </w:rPr>
        <w:t>Companies covered by the investment analysts that track Martin Marietta; and</w:t>
      </w:r>
    </w:p>
    <w:p>
      <w:pPr>
        <w:spacing w:after="0" w:line="60"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70"/>
        </w:numPr>
        <w:rPr>
          <w:rFonts w:ascii="Arial" w:cs="Arial" w:eastAsia="Arial" w:hAnsi="Arial"/>
          <w:sz w:val="16"/>
          <w:szCs w:val="16"/>
          <w:color w:val="007CBA"/>
        </w:rPr>
      </w:pPr>
      <w:r>
        <w:rPr>
          <w:rFonts w:ascii="Arial" w:cs="Arial" w:eastAsia="Arial" w:hAnsi="Arial"/>
          <w:sz w:val="16"/>
          <w:szCs w:val="16"/>
          <w:color w:val="auto"/>
        </w:rPr>
        <w:t>Companies that include Martin Marietta in their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165735</wp:posOffset>
            </wp:positionV>
            <wp:extent cx="411480" cy="248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8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6760"/>
        <w:spacing w:after="0" w:line="276" w:lineRule="exact"/>
        <w:rPr>
          <w:sz w:val="20"/>
          <w:szCs w:val="20"/>
          <w:color w:val="auto"/>
        </w:rPr>
      </w:pPr>
      <w:r>
        <w:rPr>
          <w:rFonts w:ascii="Arial" w:cs="Arial" w:eastAsia="Arial" w:hAnsi="Arial"/>
          <w:sz w:val="13"/>
          <w:szCs w:val="13"/>
          <w:color w:val="auto"/>
        </w:rPr>
        <w:t xml:space="preserve">Compensation Decision Process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companies comprised our Compensation Peer Group for 2016 base salary, bonus, and long-term incentive pay decisions:</w:t>
      </w:r>
    </w:p>
    <w:p>
      <w:pPr>
        <w:sectPr>
          <w:pgSz w:w="11900" w:h="16838" w:orient="portrait"/>
          <w:cols w:equalWidth="0" w:num="1">
            <w:col w:w="11420"/>
          </w:cols>
          <w:pgMar w:left="240" w:top="459" w:right="239" w:bottom="1440" w:gutter="0" w:footer="0" w:header="0"/>
        </w:sectPr>
      </w:pPr>
    </w:p>
    <w:p>
      <w:pPr>
        <w:spacing w:after="0" w:line="221"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Albermarle Corporation</w:t>
      </w:r>
      <w:r>
        <w:rPr>
          <w:sz w:val="20"/>
          <w:szCs w:val="20"/>
          <w:color w:val="auto"/>
        </w:rPr>
        <w:tab/>
      </w:r>
      <w:r>
        <w:rPr>
          <w:rFonts w:ascii="Arial" w:cs="Arial" w:eastAsia="Arial" w:hAnsi="Arial"/>
          <w:sz w:val="16"/>
          <w:szCs w:val="16"/>
          <w:color w:val="auto"/>
        </w:rPr>
        <w:t>Granite Construction Inc.</w:t>
      </w:r>
    </w:p>
    <w:p>
      <w:pPr>
        <w:spacing w:after="0" w:line="5"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Armstrong World Industries</w:t>
      </w:r>
      <w:r>
        <w:rPr>
          <w:sz w:val="20"/>
          <w:szCs w:val="20"/>
          <w:color w:val="auto"/>
        </w:rPr>
        <w:tab/>
      </w:r>
      <w:r>
        <w:rPr>
          <w:rFonts w:ascii="Arial" w:cs="Arial" w:eastAsia="Arial" w:hAnsi="Arial"/>
          <w:sz w:val="16"/>
          <w:szCs w:val="16"/>
          <w:color w:val="auto"/>
        </w:rPr>
        <w:t>Louisiana-Pacific Corporation</w:t>
      </w:r>
    </w:p>
    <w:p>
      <w:pPr>
        <w:spacing w:after="0" w:line="5"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Compass Minerals International</w:t>
      </w:r>
      <w:r>
        <w:rPr>
          <w:sz w:val="20"/>
          <w:szCs w:val="20"/>
          <w:color w:val="auto"/>
        </w:rPr>
        <w:tab/>
      </w:r>
      <w:r>
        <w:rPr>
          <w:rFonts w:ascii="Arial" w:cs="Arial" w:eastAsia="Arial" w:hAnsi="Arial"/>
          <w:sz w:val="16"/>
          <w:szCs w:val="16"/>
          <w:color w:val="auto"/>
        </w:rPr>
        <w:t>Masco Corporation</w:t>
      </w:r>
    </w:p>
    <w:p>
      <w:pPr>
        <w:spacing w:after="0" w:line="5"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CONSOL Energy, Inc.</w:t>
      </w:r>
      <w:r>
        <w:rPr>
          <w:sz w:val="20"/>
          <w:szCs w:val="20"/>
          <w:color w:val="auto"/>
        </w:rPr>
        <w:tab/>
      </w:r>
      <w:r>
        <w:rPr>
          <w:rFonts w:ascii="Arial" w:cs="Arial" w:eastAsia="Arial" w:hAnsi="Arial"/>
          <w:sz w:val="16"/>
          <w:szCs w:val="16"/>
          <w:color w:val="auto"/>
        </w:rPr>
        <w:t>Nucor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FMC Corporation</w:t>
      </w:r>
    </w:p>
    <w:p>
      <w:pPr>
        <w:spacing w:after="0" w:line="275" w:lineRule="exact"/>
        <w:rPr>
          <w:sz w:val="20"/>
          <w:szCs w:val="20"/>
          <w:color w:val="auto"/>
        </w:rPr>
      </w:pPr>
    </w:p>
    <w:p>
      <w:pPr>
        <w:jc w:val="both"/>
        <w:ind w:right="80"/>
        <w:spacing w:after="0" w:line="247" w:lineRule="auto"/>
        <w:rPr>
          <w:sz w:val="20"/>
          <w:szCs w:val="20"/>
          <w:color w:val="auto"/>
        </w:rPr>
      </w:pPr>
      <w:r>
        <w:rPr>
          <w:rFonts w:ascii="Arial" w:cs="Arial" w:eastAsia="Arial" w:hAnsi="Arial"/>
          <w:sz w:val="16"/>
          <w:szCs w:val="16"/>
          <w:color w:val="auto"/>
        </w:rPr>
        <w:t>The Committee studies competitive total compensation data from various sources, including proxy statements of the peer group. Since proxy statements do not provide precise comparisons by position to our executive officers, the Committee also in 2016 took into consideration published independent compensation surveys of companies with revenue in the range of $3.0 billion to $4.0 billion as to median levels for each executive officer as well as private compensation survey data. Where available, size-adjusted market values were developed using regression analysis. This statistical technique accounts for revenue size differences within the peer group and develops an estimated market value for a similar-size company as Martin Marietta. The size-adjusted 50th percentile for total compensation is a key reference point for the Committee. On average, the target for our NEO total compensation opportunities is competitively positioned within a reasonable range of the size-adjusted 50th percentile.</w:t>
      </w:r>
    </w:p>
    <w:p>
      <w:pPr>
        <w:spacing w:after="0" w:line="185" w:lineRule="exact"/>
        <w:rPr>
          <w:sz w:val="20"/>
          <w:szCs w:val="20"/>
          <w:color w:val="auto"/>
        </w:rPr>
      </w:pPr>
    </w:p>
    <w:p>
      <w:pPr>
        <w:jc w:val="both"/>
        <w:ind w:right="80"/>
        <w:spacing w:after="0" w:line="247" w:lineRule="auto"/>
        <w:rPr>
          <w:sz w:val="20"/>
          <w:szCs w:val="20"/>
          <w:color w:val="auto"/>
        </w:rPr>
      </w:pPr>
      <w:r>
        <w:rPr>
          <w:rFonts w:ascii="Arial" w:cs="Arial" w:eastAsia="Arial" w:hAnsi="Arial"/>
          <w:sz w:val="16"/>
          <w:szCs w:val="16"/>
          <w:color w:val="auto"/>
        </w:rPr>
        <w:t>Although the Committee uses the benchmark standards as its starting point in setting compensation levels, the compensation packages for executive officers may vary materially from the Compensation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In 2016, long-term compensation in the form of PSUs to executive officers was based on specific performance measurements as discussed below.</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Determination of CEO Compensation</w:t>
      </w:r>
    </w:p>
    <w:p>
      <w:pPr>
        <w:spacing w:after="0" w:line="150"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At each February Committee meeting, without the CEO present, the Committee reviews and evaluates CEO performance, and determines achievement level for the prior year. The Committee also reviews competitive compensation data. At this meeting,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80"/>
        <w:spacing w:after="0"/>
        <w:tabs>
          <w:tab w:leader="none" w:pos="2860" w:val="left"/>
        </w:tabs>
        <w:rPr>
          <w:sz w:val="20"/>
          <w:szCs w:val="20"/>
          <w:color w:val="auto"/>
        </w:rPr>
      </w:pPr>
      <w:r>
        <w:rPr>
          <w:rFonts w:ascii="Arial" w:cs="Arial" w:eastAsia="Arial" w:hAnsi="Arial"/>
          <w:sz w:val="16"/>
          <w:szCs w:val="16"/>
          <w:color w:val="auto"/>
        </w:rPr>
        <w:t>Owens Corning</w:t>
      </w:r>
      <w:r>
        <w:rPr>
          <w:sz w:val="20"/>
          <w:szCs w:val="20"/>
          <w:color w:val="auto"/>
        </w:rPr>
        <w:tab/>
      </w:r>
      <w:r>
        <w:rPr>
          <w:rFonts w:ascii="Arial" w:cs="Arial" w:eastAsia="Arial" w:hAnsi="Arial"/>
          <w:sz w:val="16"/>
          <w:szCs w:val="16"/>
          <w:color w:val="auto"/>
        </w:rPr>
        <w:t>Vulcan Materials Company</w:t>
      </w:r>
    </w:p>
    <w:p>
      <w:pPr>
        <w:spacing w:after="0" w:line="5" w:lineRule="exact"/>
        <w:rPr>
          <w:sz w:val="20"/>
          <w:szCs w:val="20"/>
          <w:color w:val="auto"/>
        </w:rPr>
      </w:pPr>
    </w:p>
    <w:p>
      <w:pPr>
        <w:ind w:left="380"/>
        <w:spacing w:after="0"/>
        <w:tabs>
          <w:tab w:leader="none" w:pos="2860" w:val="left"/>
        </w:tabs>
        <w:rPr>
          <w:sz w:val="20"/>
          <w:szCs w:val="20"/>
          <w:color w:val="auto"/>
        </w:rPr>
      </w:pPr>
      <w:r>
        <w:rPr>
          <w:rFonts w:ascii="Arial" w:cs="Arial" w:eastAsia="Arial" w:hAnsi="Arial"/>
          <w:sz w:val="16"/>
          <w:szCs w:val="16"/>
          <w:color w:val="auto"/>
        </w:rPr>
        <w:t>Peabody Energy Corp.</w:t>
      </w:r>
      <w:r>
        <w:rPr>
          <w:sz w:val="20"/>
          <w:szCs w:val="20"/>
          <w:color w:val="auto"/>
        </w:rPr>
        <w:tab/>
      </w:r>
      <w:r>
        <w:rPr>
          <w:rFonts w:ascii="Arial" w:cs="Arial" w:eastAsia="Arial" w:hAnsi="Arial"/>
          <w:sz w:val="15"/>
          <w:szCs w:val="15"/>
          <w:color w:val="auto"/>
        </w:rPr>
        <w:t>W. R. Grace &amp; Co.</w:t>
      </w:r>
    </w:p>
    <w:p>
      <w:pPr>
        <w:spacing w:after="0" w:line="5" w:lineRule="exact"/>
        <w:rPr>
          <w:sz w:val="20"/>
          <w:szCs w:val="20"/>
          <w:color w:val="auto"/>
        </w:rPr>
      </w:pPr>
    </w:p>
    <w:p>
      <w:pPr>
        <w:ind w:left="380"/>
        <w:spacing w:after="0"/>
        <w:tabs>
          <w:tab w:leader="none" w:pos="2860" w:val="left"/>
        </w:tabs>
        <w:rPr>
          <w:sz w:val="20"/>
          <w:szCs w:val="20"/>
          <w:color w:val="auto"/>
        </w:rPr>
      </w:pPr>
      <w:r>
        <w:rPr>
          <w:rFonts w:ascii="Arial" w:cs="Arial" w:eastAsia="Arial" w:hAnsi="Arial"/>
          <w:sz w:val="16"/>
          <w:szCs w:val="16"/>
          <w:color w:val="auto"/>
        </w:rPr>
        <w:t>USG Corp.</w:t>
      </w:r>
      <w:r>
        <w:rPr>
          <w:sz w:val="20"/>
          <w:szCs w:val="20"/>
          <w:color w:val="auto"/>
        </w:rPr>
        <w:tab/>
      </w:r>
      <w:r>
        <w:rPr>
          <w:rFonts w:ascii="Arial" w:cs="Arial" w:eastAsia="Arial" w:hAnsi="Arial"/>
          <w:sz w:val="16"/>
          <w:szCs w:val="16"/>
          <w:color w:val="auto"/>
        </w:rPr>
        <w:t>Westlake Chemical Corporation</w:t>
      </w:r>
    </w:p>
    <w:p>
      <w:pPr>
        <w:spacing w:after="0" w:line="5" w:lineRule="exact"/>
        <w:rPr>
          <w:sz w:val="20"/>
          <w:szCs w:val="20"/>
          <w:color w:val="auto"/>
        </w:rPr>
      </w:pPr>
    </w:p>
    <w:p>
      <w:pPr>
        <w:ind w:left="380"/>
        <w:spacing w:after="0"/>
        <w:tabs>
          <w:tab w:leader="none" w:pos="2860" w:val="left"/>
        </w:tabs>
        <w:rPr>
          <w:sz w:val="20"/>
          <w:szCs w:val="20"/>
          <w:color w:val="auto"/>
        </w:rPr>
      </w:pPr>
      <w:r>
        <w:rPr>
          <w:rFonts w:ascii="Arial" w:cs="Arial" w:eastAsia="Arial" w:hAnsi="Arial"/>
          <w:sz w:val="16"/>
          <w:szCs w:val="16"/>
          <w:color w:val="auto"/>
        </w:rPr>
        <w:t>The Valspar Corporation</w:t>
      </w:r>
      <w:r>
        <w:rPr>
          <w:sz w:val="20"/>
          <w:szCs w:val="20"/>
          <w:color w:val="auto"/>
        </w:rPr>
        <w:tab/>
      </w:r>
      <w:r>
        <w:rPr>
          <w:rFonts w:ascii="Arial" w:cs="Arial" w:eastAsia="Arial" w:hAnsi="Arial"/>
          <w:sz w:val="16"/>
          <w:szCs w:val="16"/>
          <w:color w:val="auto"/>
        </w:rPr>
        <w:t>Weyerhaeuser Company</w:t>
      </w:r>
    </w:p>
    <w:p>
      <w:pPr>
        <w:spacing w:after="0" w:line="200" w:lineRule="exact"/>
        <w:rPr>
          <w:sz w:val="20"/>
          <w:szCs w:val="20"/>
          <w:color w:val="auto"/>
        </w:rPr>
      </w:pPr>
    </w:p>
    <w:p>
      <w:pPr>
        <w:spacing w:after="0" w:line="264"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Committee discusses salary and annual incentive pay recommendations for the CEO, as well as an evaluation of the CEO’s performance, with the independent members of the Board. The Committee also reviews and discusses an award of RSUs and the target PSU grant size for the CEO at that meeting, which is also discussed with the full Board.</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Compensation Program Risk Assessment</w:t>
      </w:r>
    </w:p>
    <w:p>
      <w:pPr>
        <w:spacing w:after="0" w:line="150"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We perform a thorough annual review of our compensation program structure, which is reviewed in detail with the Committee. We believe our executive pay is reasonable and provides appropriate incentives to our executives to achieve our financial and strategic goals without encouraging them to take excessive risks in their business decisions. Our compensation structure does not include features that are reasonably likely to have a material adverse effect on the Company. Compensation program features that mitigate against risks include the following:</w:t>
      </w:r>
    </w:p>
    <w:p>
      <w:pPr>
        <w:spacing w:after="0" w:line="73" w:lineRule="exact"/>
        <w:rPr>
          <w:sz w:val="20"/>
          <w:szCs w:val="20"/>
          <w:color w:val="auto"/>
        </w:rPr>
      </w:pPr>
    </w:p>
    <w:p>
      <w:pPr>
        <w:jc w:val="both"/>
        <w:ind w:left="380" w:right="120" w:hanging="291"/>
        <w:spacing w:after="0" w:line="253" w:lineRule="auto"/>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Our annual bonus plan does not provide payment for poor individual or corporate performance, regardless of whether the failure to achieve target was outside management’s control.</w:t>
      </w:r>
    </w:p>
    <w:p>
      <w:pPr>
        <w:spacing w:after="0" w:line="66" w:lineRule="exact"/>
        <w:rPr>
          <w:rFonts w:ascii="Arial" w:cs="Arial" w:eastAsia="Arial" w:hAnsi="Arial"/>
          <w:sz w:val="16"/>
          <w:szCs w:val="16"/>
          <w:color w:val="007CBA"/>
        </w:rPr>
      </w:pPr>
    </w:p>
    <w:p>
      <w:pPr>
        <w:ind w:left="380" w:right="140" w:hanging="291"/>
        <w:spacing w:after="0" w:line="260" w:lineRule="auto"/>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There are caps on the long-term equity awards, even if the required performance-related criteria are exceeded.</w:t>
      </w:r>
    </w:p>
    <w:p>
      <w:pPr>
        <w:spacing w:after="0" w:line="60" w:lineRule="exact"/>
        <w:rPr>
          <w:rFonts w:ascii="Arial" w:cs="Arial" w:eastAsia="Arial" w:hAnsi="Arial"/>
          <w:sz w:val="16"/>
          <w:szCs w:val="16"/>
          <w:color w:val="007CBA"/>
        </w:rPr>
      </w:pPr>
    </w:p>
    <w:p>
      <w:pPr>
        <w:ind w:left="380" w:right="120" w:hanging="291"/>
        <w:spacing w:after="0" w:line="260" w:lineRule="auto"/>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A majority of the NEOs’ compensation is long-term, with equity grants vesting over three to five years, depending on the plan.</w:t>
      </w:r>
    </w:p>
    <w:p>
      <w:pPr>
        <w:spacing w:after="0" w:line="60" w:lineRule="exact"/>
        <w:rPr>
          <w:rFonts w:ascii="Arial" w:cs="Arial" w:eastAsia="Arial" w:hAnsi="Arial"/>
          <w:sz w:val="16"/>
          <w:szCs w:val="16"/>
          <w:color w:val="007CBA"/>
        </w:rPr>
      </w:pPr>
    </w:p>
    <w:p>
      <w:pPr>
        <w:jc w:val="both"/>
        <w:ind w:left="380" w:right="120" w:hanging="291"/>
        <w:spacing w:after="0" w:line="253" w:lineRule="auto"/>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Our compensation is not based on highly-leveraged short-term incentives that encourage high risk investments at the expense of long-term value.</w:t>
      </w:r>
    </w:p>
    <w:p>
      <w:pPr>
        <w:spacing w:after="0" w:line="66" w:lineRule="exact"/>
        <w:rPr>
          <w:rFonts w:ascii="Arial" w:cs="Arial" w:eastAsia="Arial" w:hAnsi="Arial"/>
          <w:sz w:val="16"/>
          <w:szCs w:val="16"/>
          <w:color w:val="007CBA"/>
        </w:rPr>
      </w:pPr>
    </w:p>
    <w:p>
      <w:pPr>
        <w:ind w:left="380" w:right="120" w:hanging="291"/>
        <w:spacing w:after="0" w:line="260" w:lineRule="auto"/>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60" w:lineRule="exact"/>
        <w:rPr>
          <w:rFonts w:ascii="Arial" w:cs="Arial" w:eastAsia="Arial" w:hAnsi="Arial"/>
          <w:sz w:val="16"/>
          <w:szCs w:val="16"/>
          <w:color w:val="007CBA"/>
        </w:rPr>
      </w:pPr>
    </w:p>
    <w:p>
      <w:pPr>
        <w:jc w:val="both"/>
        <w:ind w:left="380" w:right="120" w:hanging="291"/>
        <w:spacing w:after="0" w:line="252" w:lineRule="auto"/>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The Committee uses benchmarking data and the advice of its independent compensation consultant to keep compensation in line with typical market practices and appropriate to Martin Marietta’s needs.</w:t>
      </w:r>
    </w:p>
    <w:p>
      <w:pPr>
        <w:spacing w:after="0" w:line="257" w:lineRule="exact"/>
        <w:rPr>
          <w:rFonts w:ascii="Arial" w:cs="Arial" w:eastAsia="Arial" w:hAnsi="Arial"/>
          <w:sz w:val="16"/>
          <w:szCs w:val="16"/>
          <w:color w:val="007CBA"/>
        </w:rPr>
      </w:pPr>
    </w:p>
    <w:p>
      <w:pPr>
        <w:ind w:left="380" w:hanging="291"/>
        <w:spacing w:after="0"/>
        <w:tabs>
          <w:tab w:leader="none" w:pos="380" w:val="left"/>
        </w:tabs>
        <w:numPr>
          <w:ilvl w:val="0"/>
          <w:numId w:val="71"/>
        </w:numPr>
        <w:rPr>
          <w:rFonts w:ascii="Arial" w:cs="Arial" w:eastAsia="Arial" w:hAnsi="Arial"/>
          <w:sz w:val="16"/>
          <w:szCs w:val="16"/>
          <w:color w:val="007CBA"/>
        </w:rPr>
      </w:pPr>
      <w:r>
        <w:rPr>
          <w:rFonts w:ascii="Arial" w:cs="Arial" w:eastAsia="Arial" w:hAnsi="Arial"/>
          <w:sz w:val="16"/>
          <w:szCs w:val="16"/>
          <w:color w:val="auto"/>
        </w:rPr>
        <w:t>We use a balanced portfolio of long-term incentive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422275</wp:posOffset>
            </wp:positionV>
            <wp:extent cx="411480" cy="248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583" w:lineRule="exact"/>
        <w:rPr>
          <w:sz w:val="20"/>
          <w:szCs w:val="20"/>
          <w:color w:val="auto"/>
        </w:rPr>
      </w:pPr>
    </w:p>
    <w:p>
      <w:pPr>
        <w:sectPr>
          <w:pgSz w:w="11900" w:h="16838" w:orient="portrait"/>
          <w:cols w:equalWidth="0" w:num="2">
            <w:col w:w="5560" w:space="260"/>
            <w:col w:w="5600"/>
          </w:cols>
          <w:pgMar w:left="240" w:top="459" w:right="239" w:bottom="1440" w:gutter="0" w:footer="0" w:header="0"/>
          <w:type w:val="continuous"/>
        </w:sectPr>
      </w:pPr>
    </w:p>
    <w:p>
      <w:pPr>
        <w:spacing w:after="0" w:line="100"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bl>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Compensation Discussion and Analysis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Considerations Regarding 2016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Considerations Regarding 2016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chart summarizes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compensation in our 2016 executive compensation program: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Pay Component</w:t>
            </w:r>
          </w:p>
        </w:tc>
        <w:tc>
          <w:tcPr>
            <w:tcW w:w="9620" w:type="dxa"/>
            <w:vAlign w:val="bottom"/>
            <w:shd w:val="clear" w:color="auto" w:fill="007CBA"/>
          </w:tcPr>
          <w:p>
            <w:pPr>
              <w:ind w:left="500"/>
              <w:spacing w:after="0"/>
              <w:rPr>
                <w:sz w:val="20"/>
                <w:szCs w:val="20"/>
                <w:color w:val="auto"/>
              </w:rPr>
            </w:pPr>
            <w:r>
              <w:rPr>
                <w:rFonts w:ascii="Arial" w:cs="Arial" w:eastAsia="Arial" w:hAnsi="Arial"/>
                <w:sz w:val="16"/>
                <w:szCs w:val="16"/>
                <w:b w:val="1"/>
                <w:bCs w:val="1"/>
                <w:color w:val="FFFFFF"/>
              </w:rPr>
              <w:t>Summary</w:t>
            </w:r>
          </w:p>
        </w:tc>
      </w:tr>
      <w:tr>
        <w:trPr>
          <w:trHeight w:val="191"/>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Base Salary</w:t>
            </w:r>
          </w:p>
        </w:tc>
        <w:tc>
          <w:tcPr>
            <w:tcW w:w="9620" w:type="dxa"/>
            <w:vAlign w:val="bottom"/>
          </w:tcPr>
          <w:p>
            <w:pPr>
              <w:ind w:left="58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At the February 2016 meeting, the Committee reviewed competitive market data and individual performance evaluations.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267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75890"/>
                    </a:xfrm>
                    <a:prstGeom prst="rect">
                      <a:avLst/>
                    </a:prstGeom>
                    <a:noFill/>
                  </pic:spPr>
                </pic:pic>
              </a:graphicData>
            </a:graphic>
          </wp:anchor>
        </w:drawing>
      </w:r>
    </w:p>
    <w:p>
      <w:pPr>
        <w:ind w:left="2560" w:hanging="189"/>
        <w:spacing w:after="0"/>
        <w:tabs>
          <w:tab w:leader="none" w:pos="2560"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The Committee approved base salary increases as follows:</w:t>
      </w:r>
    </w:p>
    <w:p>
      <w:pPr>
        <w:spacing w:after="0" w:line="5" w:lineRule="exact"/>
        <w:rPr>
          <w:rFonts w:ascii="Arial" w:cs="Arial" w:eastAsia="Arial" w:hAnsi="Arial"/>
          <w:sz w:val="16"/>
          <w:szCs w:val="16"/>
          <w:color w:val="007CBA"/>
        </w:rPr>
      </w:pPr>
    </w:p>
    <w:p>
      <w:pPr>
        <w:ind w:left="2620" w:right="620" w:hanging="249"/>
        <w:spacing w:after="0" w:line="246" w:lineRule="auto"/>
        <w:tabs>
          <w:tab w:leader="none" w:pos="2569"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Mr. Nye: 3.1% increase, based on his excellent achievements as CEO since 2010 in an economic environment that resulted in muted shipment volume recovery, and specifically his performance in 2016.</w:t>
      </w:r>
    </w:p>
    <w:p>
      <w:pPr>
        <w:ind w:left="2620" w:right="380" w:hanging="249"/>
        <w:spacing w:after="0" w:line="250" w:lineRule="auto"/>
        <w:tabs>
          <w:tab w:leader="none" w:pos="2569" w:val="left"/>
        </w:tabs>
        <w:numPr>
          <w:ilvl w:val="0"/>
          <w:numId w:val="72"/>
        </w:numPr>
        <w:rPr>
          <w:rFonts w:ascii="Arial" w:cs="Arial" w:eastAsia="Arial" w:hAnsi="Arial"/>
          <w:sz w:val="16"/>
          <w:szCs w:val="16"/>
          <w:color w:val="007CBA"/>
        </w:rPr>
      </w:pPr>
      <w:r>
        <w:rPr>
          <w:rFonts w:ascii="Arial" w:cs="Arial" w:eastAsia="Arial" w:hAnsi="Arial"/>
          <w:sz w:val="16"/>
          <w:szCs w:val="16"/>
          <w:color w:val="auto"/>
        </w:rPr>
        <w:t>Other NEOs: approximately 3.0% increases, based on a review of competitive market data and individual performance evaluations.</w:t>
      </w:r>
    </w:p>
    <w:tbl>
      <w:tblPr>
        <w:tblLayout w:type="fixed"/>
        <w:tblInd w:w="0" w:type="dxa"/>
        <w:tblCellMar>
          <w:top w:w="0" w:type="dxa"/>
          <w:left w:w="0" w:type="dxa"/>
          <w:bottom w:w="0" w:type="dxa"/>
          <w:right w:w="0" w:type="dxa"/>
        </w:tblCellMar>
      </w:tblPr>
      <w:tr>
        <w:trPr>
          <w:trHeight w:val="177"/>
        </w:trPr>
        <w:tc>
          <w:tcPr>
            <w:tcW w:w="1960" w:type="dxa"/>
            <w:vAlign w:val="bottom"/>
          </w:tcPr>
          <w:p>
            <w:pPr>
              <w:ind w:left="80"/>
              <w:spacing w:after="0" w:line="178" w:lineRule="exact"/>
              <w:rPr>
                <w:sz w:val="20"/>
                <w:szCs w:val="20"/>
                <w:color w:val="auto"/>
              </w:rPr>
            </w:pPr>
            <w:r>
              <w:rPr>
                <w:rFonts w:ascii="Arial" w:cs="Arial" w:eastAsia="Arial" w:hAnsi="Arial"/>
                <w:sz w:val="16"/>
                <w:szCs w:val="16"/>
                <w:b w:val="1"/>
                <w:bCs w:val="1"/>
                <w:color w:val="auto"/>
              </w:rPr>
              <w:t>Target Annual</w:t>
            </w:r>
          </w:p>
        </w:tc>
        <w:tc>
          <w:tcPr>
            <w:tcW w:w="9460" w:type="dxa"/>
            <w:vAlign w:val="bottom"/>
          </w:tcPr>
          <w:p>
            <w:pPr>
              <w:ind w:left="420"/>
              <w:spacing w:after="0" w:line="178" w:lineRule="exact"/>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Mr. Nye’s target bonus was increased in 2016 to 110% of his base earnings.</w:t>
            </w:r>
          </w:p>
        </w:tc>
      </w:tr>
      <w:tr>
        <w:trPr>
          <w:trHeight w:val="209"/>
        </w:trPr>
        <w:tc>
          <w:tcPr>
            <w:tcW w:w="1960" w:type="dxa"/>
            <w:vAlign w:val="bottom"/>
          </w:tcPr>
          <w:p>
            <w:pPr>
              <w:ind w:left="80"/>
              <w:spacing w:after="0"/>
              <w:rPr>
                <w:sz w:val="20"/>
                <w:szCs w:val="20"/>
                <w:color w:val="auto"/>
              </w:rPr>
            </w:pPr>
            <w:r>
              <w:rPr>
                <w:rFonts w:ascii="Arial" w:cs="Arial" w:eastAsia="Arial" w:hAnsi="Arial"/>
                <w:sz w:val="16"/>
                <w:szCs w:val="16"/>
                <w:b w:val="1"/>
                <w:bCs w:val="1"/>
                <w:color w:val="auto"/>
              </w:rPr>
              <w:t>Cash Incentives</w:t>
            </w:r>
          </w:p>
        </w:tc>
        <w:tc>
          <w:tcPr>
            <w:tcW w:w="9460" w:type="dxa"/>
            <w:vAlign w:val="bottom"/>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Other NEO target bonuses (as a % of base earnings) did not change in 2016.</w:t>
            </w:r>
          </w:p>
        </w:tc>
      </w:tr>
      <w:tr>
        <w:trPr>
          <w:trHeight w:val="189"/>
        </w:trPr>
        <w:tc>
          <w:tcPr>
            <w:tcW w:w="1960" w:type="dxa"/>
            <w:vAlign w:val="bottom"/>
          </w:tcPr>
          <w:p>
            <w:pPr>
              <w:spacing w:after="0"/>
              <w:rPr>
                <w:sz w:val="16"/>
                <w:szCs w:val="16"/>
                <w:color w:val="auto"/>
              </w:rPr>
            </w:pPr>
          </w:p>
        </w:tc>
        <w:tc>
          <w:tcPr>
            <w:tcW w:w="9460" w:type="dxa"/>
            <w:vAlign w:val="bottom"/>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2016 Executive Incentive Plan design did not change.</w:t>
            </w:r>
          </w:p>
        </w:tc>
      </w:tr>
      <w:tr>
        <w:trPr>
          <w:trHeight w:val="189"/>
        </w:trPr>
        <w:tc>
          <w:tcPr>
            <w:tcW w:w="1960" w:type="dxa"/>
            <w:vAlign w:val="bottom"/>
          </w:tcPr>
          <w:p>
            <w:pPr>
              <w:spacing w:after="0"/>
              <w:rPr>
                <w:sz w:val="16"/>
                <w:szCs w:val="16"/>
                <w:color w:val="auto"/>
              </w:rPr>
            </w:pPr>
          </w:p>
        </w:tc>
        <w:tc>
          <w:tcPr>
            <w:tcW w:w="9460" w:type="dxa"/>
            <w:vAlign w:val="bottom"/>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CEO is required to invest a minimum of 35% of his annual cash bonus into stock units, which are held generally for a</w:t>
            </w:r>
          </w:p>
        </w:tc>
      </w:tr>
      <w:tr>
        <w:trPr>
          <w:trHeight w:val="189"/>
        </w:trPr>
        <w:tc>
          <w:tcPr>
            <w:tcW w:w="1960" w:type="dxa"/>
            <w:vAlign w:val="bottom"/>
          </w:tcPr>
          <w:p>
            <w:pPr>
              <w:spacing w:after="0"/>
              <w:rPr>
                <w:sz w:val="16"/>
                <w:szCs w:val="16"/>
                <w:color w:val="auto"/>
              </w:rPr>
            </w:pPr>
          </w:p>
        </w:tc>
        <w:tc>
          <w:tcPr>
            <w:tcW w:w="9460" w:type="dxa"/>
            <w:vAlign w:val="bottom"/>
          </w:tcPr>
          <w:p>
            <w:pPr>
              <w:ind w:left="660"/>
              <w:spacing w:after="0"/>
              <w:rPr>
                <w:sz w:val="20"/>
                <w:szCs w:val="20"/>
                <w:color w:val="auto"/>
              </w:rPr>
            </w:pPr>
            <w:r>
              <w:rPr>
                <w:rFonts w:ascii="Arial" w:cs="Arial" w:eastAsia="Arial" w:hAnsi="Arial"/>
                <w:sz w:val="16"/>
                <w:szCs w:val="16"/>
                <w:color w:val="auto"/>
              </w:rPr>
              <w:t>period of three years.</w:t>
            </w:r>
          </w:p>
        </w:tc>
      </w:tr>
      <w:tr>
        <w:trPr>
          <w:trHeight w:val="189"/>
        </w:trPr>
        <w:tc>
          <w:tcPr>
            <w:tcW w:w="1960" w:type="dxa"/>
            <w:vAlign w:val="bottom"/>
          </w:tcPr>
          <w:p>
            <w:pPr>
              <w:spacing w:after="0"/>
              <w:rPr>
                <w:sz w:val="16"/>
                <w:szCs w:val="16"/>
                <w:color w:val="auto"/>
              </w:rPr>
            </w:pPr>
          </w:p>
        </w:tc>
        <w:tc>
          <w:tcPr>
            <w:tcW w:w="9460" w:type="dxa"/>
            <w:vAlign w:val="bottom"/>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Other NEOs are required to invest a minimum of 20% of their annual cash bonus into stock units, which are held generally</w:t>
            </w:r>
          </w:p>
        </w:tc>
      </w:tr>
      <w:tr>
        <w:trPr>
          <w:trHeight w:val="198"/>
        </w:trPr>
        <w:tc>
          <w:tcPr>
            <w:tcW w:w="1960" w:type="dxa"/>
            <w:vAlign w:val="bottom"/>
          </w:tcPr>
          <w:p>
            <w:pPr>
              <w:spacing w:after="0"/>
              <w:rPr>
                <w:sz w:val="17"/>
                <w:szCs w:val="17"/>
                <w:color w:val="auto"/>
              </w:rPr>
            </w:pPr>
          </w:p>
        </w:tc>
        <w:tc>
          <w:tcPr>
            <w:tcW w:w="9460" w:type="dxa"/>
            <w:vAlign w:val="bottom"/>
          </w:tcPr>
          <w:p>
            <w:pPr>
              <w:ind w:left="660"/>
              <w:spacing w:after="0"/>
              <w:rPr>
                <w:sz w:val="20"/>
                <w:szCs w:val="20"/>
                <w:color w:val="auto"/>
              </w:rPr>
            </w:pPr>
            <w:r>
              <w:rPr>
                <w:rFonts w:ascii="Arial" w:cs="Arial" w:eastAsia="Arial" w:hAnsi="Arial"/>
                <w:sz w:val="16"/>
                <w:szCs w:val="16"/>
                <w:color w:val="auto"/>
              </w:rPr>
              <w:t>for a period of three years.</w:t>
            </w:r>
          </w:p>
        </w:tc>
      </w:tr>
      <w:tr>
        <w:trPr>
          <w:trHeight w:val="174"/>
        </w:trPr>
        <w:tc>
          <w:tcPr>
            <w:tcW w:w="1960" w:type="dxa"/>
            <w:vAlign w:val="bottom"/>
            <w:shd w:val="clear" w:color="auto" w:fill="E5F1F8"/>
          </w:tcPr>
          <w:p>
            <w:pPr>
              <w:ind w:left="80"/>
              <w:spacing w:after="0" w:line="174" w:lineRule="exact"/>
              <w:rPr>
                <w:sz w:val="20"/>
                <w:szCs w:val="20"/>
                <w:color w:val="auto"/>
              </w:rPr>
            </w:pPr>
            <w:r>
              <w:rPr>
                <w:rFonts w:ascii="Arial" w:cs="Arial" w:eastAsia="Arial" w:hAnsi="Arial"/>
                <w:sz w:val="16"/>
                <w:szCs w:val="16"/>
                <w:b w:val="1"/>
                <w:bCs w:val="1"/>
                <w:color w:val="auto"/>
              </w:rPr>
              <w:t>Long-Term</w:t>
            </w:r>
          </w:p>
        </w:tc>
        <w:tc>
          <w:tcPr>
            <w:tcW w:w="9460" w:type="dxa"/>
            <w:vAlign w:val="bottom"/>
            <w:shd w:val="clear" w:color="auto" w:fill="E5F1F8"/>
          </w:tcPr>
          <w:p>
            <w:pPr>
              <w:ind w:left="420"/>
              <w:spacing w:after="0" w:line="174" w:lineRule="exact"/>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Our structure changed in 2016 to include PSUs and RSUs, and eliminate stock options.</w:t>
            </w:r>
          </w:p>
        </w:tc>
      </w:tr>
      <w:tr>
        <w:trPr>
          <w:trHeight w:val="209"/>
        </w:trPr>
        <w:tc>
          <w:tcPr>
            <w:tcW w:w="1960" w:type="dxa"/>
            <w:vAlign w:val="bottom"/>
            <w:shd w:val="clear" w:color="auto" w:fill="E5F1F8"/>
          </w:tcPr>
          <w:p>
            <w:pPr>
              <w:ind w:left="80"/>
              <w:spacing w:after="0"/>
              <w:rPr>
                <w:sz w:val="20"/>
                <w:szCs w:val="20"/>
                <w:color w:val="auto"/>
              </w:rPr>
            </w:pPr>
            <w:r>
              <w:rPr>
                <w:rFonts w:ascii="Arial" w:cs="Arial" w:eastAsia="Arial" w:hAnsi="Arial"/>
                <w:sz w:val="16"/>
                <w:szCs w:val="16"/>
                <w:b w:val="1"/>
                <w:bCs w:val="1"/>
                <w:color w:val="auto"/>
              </w:rPr>
              <w:t>Incentives</w:t>
            </w:r>
          </w:p>
        </w:tc>
        <w:tc>
          <w:tcPr>
            <w:tcW w:w="9460" w:type="dxa"/>
            <w:vAlign w:val="bottom"/>
            <w:shd w:val="clear" w:color="auto" w:fill="E5F1F8"/>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The LTI awards for NEOs in 2016 were weighted 2/3 PSUs and 1/3 RSUs. The LTI grant size is based on competitive</w:t>
            </w:r>
          </w:p>
        </w:tc>
      </w:tr>
      <w:tr>
        <w:trPr>
          <w:trHeight w:val="189"/>
        </w:trPr>
        <w:tc>
          <w:tcPr>
            <w:tcW w:w="1960" w:type="dxa"/>
            <w:vAlign w:val="bottom"/>
            <w:shd w:val="clear" w:color="auto" w:fill="E5F1F8"/>
          </w:tcPr>
          <w:p>
            <w:pPr>
              <w:spacing w:after="0"/>
              <w:rPr>
                <w:sz w:val="16"/>
                <w:szCs w:val="16"/>
                <w:color w:val="auto"/>
              </w:rPr>
            </w:pPr>
          </w:p>
        </w:tc>
        <w:tc>
          <w:tcPr>
            <w:tcW w:w="9460" w:type="dxa"/>
            <w:vAlign w:val="bottom"/>
            <w:shd w:val="clear" w:color="auto" w:fill="E5F1F8"/>
          </w:tcPr>
          <w:p>
            <w:pPr>
              <w:ind w:left="660"/>
              <w:spacing w:after="0"/>
              <w:rPr>
                <w:sz w:val="20"/>
                <w:szCs w:val="20"/>
                <w:color w:val="auto"/>
              </w:rPr>
            </w:pPr>
            <w:r>
              <w:rPr>
                <w:rFonts w:ascii="Arial" w:cs="Arial" w:eastAsia="Arial" w:hAnsi="Arial"/>
                <w:sz w:val="16"/>
                <w:szCs w:val="16"/>
                <w:color w:val="auto"/>
              </w:rPr>
              <w:t>market data.</w:t>
            </w:r>
          </w:p>
        </w:tc>
      </w:tr>
      <w:tr>
        <w:trPr>
          <w:trHeight w:val="189"/>
        </w:trPr>
        <w:tc>
          <w:tcPr>
            <w:tcW w:w="1960" w:type="dxa"/>
            <w:vAlign w:val="bottom"/>
            <w:shd w:val="clear" w:color="auto" w:fill="E5F1F8"/>
          </w:tcPr>
          <w:p>
            <w:pPr>
              <w:spacing w:after="0"/>
              <w:rPr>
                <w:sz w:val="16"/>
                <w:szCs w:val="16"/>
                <w:color w:val="auto"/>
              </w:rPr>
            </w:pPr>
          </w:p>
        </w:tc>
        <w:tc>
          <w:tcPr>
            <w:tcW w:w="9460" w:type="dxa"/>
            <w:vAlign w:val="bottom"/>
            <w:shd w:val="clear" w:color="auto" w:fill="E5F1F8"/>
          </w:tcPr>
          <w:p>
            <w:pPr>
              <w:ind w:left="420"/>
              <w:spacing w:after="0"/>
              <w:rPr>
                <w:sz w:val="20"/>
                <w:szCs w:val="20"/>
                <w:color w:val="auto"/>
              </w:rPr>
            </w:pPr>
            <w:r>
              <w:rPr>
                <w:rFonts w:ascii="Arial" w:cs="Arial" w:eastAsia="Arial" w:hAnsi="Arial"/>
                <w:sz w:val="16"/>
                <w:szCs w:val="16"/>
                <w:color w:val="007CBA"/>
              </w:rPr>
              <w:t xml:space="preserve">•  </w:t>
            </w:r>
            <w:r>
              <w:rPr>
                <w:rFonts w:ascii="Arial" w:cs="Arial" w:eastAsia="Arial" w:hAnsi="Arial"/>
                <w:sz w:val="16"/>
                <w:szCs w:val="16"/>
                <w:color w:val="000000"/>
              </w:rPr>
              <w:t>PSU awards in 2016 are earned based on achievement of performance levels, with 75% based on three-year return on</w:t>
            </w:r>
          </w:p>
        </w:tc>
      </w:tr>
      <w:tr>
        <w:trPr>
          <w:trHeight w:val="189"/>
        </w:trPr>
        <w:tc>
          <w:tcPr>
            <w:tcW w:w="1960" w:type="dxa"/>
            <w:vAlign w:val="bottom"/>
            <w:shd w:val="clear" w:color="auto" w:fill="E5F1F8"/>
          </w:tcPr>
          <w:p>
            <w:pPr>
              <w:spacing w:after="0"/>
              <w:rPr>
                <w:sz w:val="16"/>
                <w:szCs w:val="16"/>
                <w:color w:val="auto"/>
              </w:rPr>
            </w:pPr>
          </w:p>
        </w:tc>
        <w:tc>
          <w:tcPr>
            <w:tcW w:w="9460" w:type="dxa"/>
            <w:vAlign w:val="bottom"/>
            <w:shd w:val="clear" w:color="auto" w:fill="E5F1F8"/>
          </w:tcPr>
          <w:p>
            <w:pPr>
              <w:ind w:left="660"/>
              <w:spacing w:after="0"/>
              <w:rPr>
                <w:sz w:val="20"/>
                <w:szCs w:val="20"/>
                <w:color w:val="auto"/>
              </w:rPr>
            </w:pPr>
            <w:r>
              <w:rPr>
                <w:rFonts w:ascii="Arial" w:cs="Arial" w:eastAsia="Arial" w:hAnsi="Arial"/>
                <w:sz w:val="16"/>
                <w:szCs w:val="16"/>
                <w:color w:val="auto"/>
              </w:rPr>
              <w:t>sales and cumulative EBITDA performance, and 25% based on TSR ranking compared to major U.S. companies in similar</w:t>
            </w:r>
          </w:p>
        </w:tc>
      </w:tr>
      <w:tr>
        <w:trPr>
          <w:trHeight w:val="201"/>
        </w:trPr>
        <w:tc>
          <w:tcPr>
            <w:tcW w:w="1960" w:type="dxa"/>
            <w:vAlign w:val="bottom"/>
            <w:shd w:val="clear" w:color="auto" w:fill="E5F1F8"/>
          </w:tcPr>
          <w:p>
            <w:pPr>
              <w:spacing w:after="0"/>
              <w:rPr>
                <w:sz w:val="17"/>
                <w:szCs w:val="17"/>
                <w:color w:val="auto"/>
              </w:rPr>
            </w:pPr>
          </w:p>
        </w:tc>
        <w:tc>
          <w:tcPr>
            <w:tcW w:w="9460" w:type="dxa"/>
            <w:vAlign w:val="bottom"/>
            <w:shd w:val="clear" w:color="auto" w:fill="E5F1F8"/>
          </w:tcPr>
          <w:p>
            <w:pPr>
              <w:ind w:left="660"/>
              <w:spacing w:after="0"/>
              <w:rPr>
                <w:sz w:val="20"/>
                <w:szCs w:val="20"/>
                <w:color w:val="auto"/>
              </w:rPr>
            </w:pPr>
            <w:r>
              <w:rPr>
                <w:rFonts w:ascii="Arial" w:cs="Arial" w:eastAsia="Arial" w:hAnsi="Arial"/>
                <w:sz w:val="16"/>
                <w:szCs w:val="16"/>
                <w:color w:val="auto"/>
              </w:rPr>
              <w:t>industries.</w:t>
            </w:r>
          </w:p>
        </w:tc>
      </w:tr>
      <w:tr>
        <w:trPr>
          <w:trHeight w:val="191"/>
        </w:trPr>
        <w:tc>
          <w:tcPr>
            <w:tcW w:w="1960" w:type="dxa"/>
            <w:vAlign w:val="bottom"/>
          </w:tcPr>
          <w:p>
            <w:pPr>
              <w:ind w:left="80"/>
              <w:spacing w:after="0"/>
              <w:rPr>
                <w:sz w:val="20"/>
                <w:szCs w:val="20"/>
                <w:color w:val="auto"/>
              </w:rPr>
            </w:pPr>
            <w:r>
              <w:rPr>
                <w:rFonts w:ascii="Arial" w:cs="Arial" w:eastAsia="Arial" w:hAnsi="Arial"/>
                <w:sz w:val="16"/>
                <w:szCs w:val="16"/>
                <w:b w:val="1"/>
                <w:bCs w:val="1"/>
                <w:color w:val="auto"/>
              </w:rPr>
              <w:t>Total Compensation</w:t>
            </w:r>
          </w:p>
        </w:tc>
        <w:tc>
          <w:tcPr>
            <w:tcW w:w="9460" w:type="dxa"/>
            <w:vAlign w:val="bottom"/>
          </w:tcPr>
          <w:p>
            <w:pPr>
              <w:ind w:left="340"/>
              <w:spacing w:after="0"/>
              <w:rPr>
                <w:sz w:val="20"/>
                <w:szCs w:val="20"/>
                <w:color w:val="auto"/>
              </w:rPr>
            </w:pPr>
            <w:r>
              <w:rPr>
                <w:rFonts w:ascii="Arial" w:cs="Arial" w:eastAsia="Arial" w:hAnsi="Arial"/>
                <w:sz w:val="16"/>
                <w:szCs w:val="16"/>
                <w:color w:val="auto"/>
              </w:rPr>
              <w:t>Targeted total compensation opportunity is the size-adjusted 50th percentile of our Compensation Peer Group. Overall, the</w:t>
            </w:r>
          </w:p>
        </w:tc>
      </w:tr>
      <w:tr>
        <w:trPr>
          <w:trHeight w:val="189"/>
        </w:trPr>
        <w:tc>
          <w:tcPr>
            <w:tcW w:w="1960" w:type="dxa"/>
            <w:vAlign w:val="bottom"/>
          </w:tcPr>
          <w:p>
            <w:pPr>
              <w:spacing w:after="0"/>
              <w:rPr>
                <w:sz w:val="16"/>
                <w:szCs w:val="16"/>
                <w:color w:val="auto"/>
              </w:rPr>
            </w:pPr>
          </w:p>
        </w:tc>
        <w:tc>
          <w:tcPr>
            <w:tcW w:w="9460" w:type="dxa"/>
            <w:vAlign w:val="bottom"/>
          </w:tcPr>
          <w:p>
            <w:pPr>
              <w:ind w:left="340"/>
              <w:spacing w:after="0"/>
              <w:rPr>
                <w:sz w:val="20"/>
                <w:szCs w:val="20"/>
                <w:color w:val="auto"/>
              </w:rPr>
            </w:pPr>
            <w:r>
              <w:rPr>
                <w:rFonts w:ascii="Arial" w:cs="Arial" w:eastAsia="Arial" w:hAnsi="Arial"/>
                <w:sz w:val="16"/>
                <w:szCs w:val="16"/>
                <w:color w:val="auto"/>
              </w:rPr>
              <w:t>Committee believes targeted compensation should be more heavily weighted on variable “at-risk” compensation and longer-</w:t>
            </w:r>
          </w:p>
        </w:tc>
      </w:tr>
      <w:tr>
        <w:trPr>
          <w:trHeight w:val="195"/>
        </w:trPr>
        <w:tc>
          <w:tcPr>
            <w:tcW w:w="1960" w:type="dxa"/>
            <w:vAlign w:val="bottom"/>
          </w:tcPr>
          <w:p>
            <w:pPr>
              <w:spacing w:after="0"/>
              <w:rPr>
                <w:sz w:val="16"/>
                <w:szCs w:val="16"/>
                <w:color w:val="auto"/>
              </w:rPr>
            </w:pPr>
          </w:p>
        </w:tc>
        <w:tc>
          <w:tcPr>
            <w:tcW w:w="9460" w:type="dxa"/>
            <w:vAlign w:val="bottom"/>
          </w:tcPr>
          <w:p>
            <w:pPr>
              <w:ind w:left="340"/>
              <w:spacing w:after="0"/>
              <w:rPr>
                <w:sz w:val="20"/>
                <w:szCs w:val="20"/>
                <w:color w:val="auto"/>
              </w:rPr>
            </w:pPr>
            <w:r>
              <w:rPr>
                <w:rFonts w:ascii="Arial" w:cs="Arial" w:eastAsia="Arial" w:hAnsi="Arial"/>
                <w:sz w:val="16"/>
                <w:szCs w:val="16"/>
                <w:color w:val="auto"/>
              </w:rPr>
              <w:t>term components.</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Committee approved the following </w:t>
      </w:r>
      <w:r>
        <w:rPr>
          <w:rFonts w:ascii="Arial" w:cs="Arial" w:eastAsia="Arial" w:hAnsi="Arial"/>
          <w:sz w:val="16"/>
          <w:szCs w:val="16"/>
          <w:b w:val="1"/>
          <w:bCs w:val="1"/>
          <w:color w:val="auto"/>
        </w:rPr>
        <w:t>actual</w:t>
      </w:r>
      <w:r>
        <w:rPr>
          <w:rFonts w:ascii="Arial" w:cs="Arial" w:eastAsia="Arial" w:hAnsi="Arial"/>
          <w:sz w:val="16"/>
          <w:szCs w:val="16"/>
          <w:color w:val="auto"/>
        </w:rPr>
        <w:t xml:space="preserve"> compensation items in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Committee determines base salaries for the NEOs and other executives based on a number of factors, including but not limited to, market data, individual performance, the Company’s performance, and management recommendations (except for the CEO). At the February 2016 meeting, based on a review of competitive market data and management’s recommendations based on individual performance (except for the CEO), and the Committee’s assessment of Mr. Nye’s performance, the Committee approved the following increases.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Borders>
              <w:right w:val="single" w:sz="8" w:color="007CBA"/>
            </w:tcBorders>
            <w:shd w:val="clear" w:color="auto" w:fill="007CBA"/>
          </w:tcPr>
          <w:p>
            <w:pPr>
              <w:spacing w:after="0"/>
              <w:rPr>
                <w:sz w:val="16"/>
                <w:szCs w:val="16"/>
                <w:color w:val="auto"/>
              </w:rPr>
            </w:pPr>
          </w:p>
        </w:tc>
        <w:tc>
          <w:tcPr>
            <w:tcW w:w="1180" w:type="dxa"/>
            <w:vAlign w:val="bottom"/>
            <w:tcBorders>
              <w:right w:val="single" w:sz="8" w:color="007CBA"/>
            </w:tcBorders>
            <w:shd w:val="clear" w:color="auto" w:fill="007CBA"/>
          </w:tcPr>
          <w:p>
            <w:pPr>
              <w:jc w:val="center"/>
              <w:ind w:left="99"/>
              <w:spacing w:after="0"/>
              <w:rPr>
                <w:sz w:val="20"/>
                <w:szCs w:val="20"/>
                <w:color w:val="auto"/>
              </w:rPr>
            </w:pPr>
            <w:r>
              <w:rPr>
                <w:rFonts w:ascii="Arial" w:cs="Arial" w:eastAsia="Arial" w:hAnsi="Arial"/>
                <w:sz w:val="16"/>
                <w:szCs w:val="16"/>
                <w:b w:val="1"/>
                <w:bCs w:val="1"/>
                <w:color w:val="FFFFFF"/>
              </w:rPr>
              <w:t>2015</w:t>
            </w:r>
          </w:p>
        </w:tc>
        <w:tc>
          <w:tcPr>
            <w:tcW w:w="1120" w:type="dxa"/>
            <w:vAlign w:val="bottom"/>
            <w:tcBorders>
              <w:right w:val="single" w:sz="8" w:color="007CBA"/>
            </w:tcBorders>
            <w:shd w:val="clear" w:color="auto" w:fill="007CBA"/>
          </w:tcPr>
          <w:p>
            <w:pPr>
              <w:jc w:val="center"/>
              <w:ind w:left="99"/>
              <w:spacing w:after="0"/>
              <w:rPr>
                <w:sz w:val="20"/>
                <w:szCs w:val="20"/>
                <w:color w:val="auto"/>
              </w:rPr>
            </w:pPr>
            <w:r>
              <w:rPr>
                <w:rFonts w:ascii="Arial" w:cs="Arial" w:eastAsia="Arial" w:hAnsi="Arial"/>
                <w:sz w:val="16"/>
                <w:szCs w:val="16"/>
                <w:b w:val="1"/>
                <w:bCs w:val="1"/>
                <w:color w:val="FFFFFF"/>
                <w:w w:val="99"/>
              </w:rPr>
              <w:t>Percentage</w:t>
            </w:r>
          </w:p>
        </w:tc>
        <w:tc>
          <w:tcPr>
            <w:tcW w:w="1300" w:type="dxa"/>
            <w:vAlign w:val="bottom"/>
            <w:tcBorders>
              <w:right w:val="single" w:sz="8" w:color="007CBA"/>
            </w:tcBorders>
            <w:shd w:val="clear" w:color="auto" w:fill="007CBA"/>
          </w:tcPr>
          <w:p>
            <w:pPr>
              <w:spacing w:after="0"/>
              <w:rPr>
                <w:sz w:val="16"/>
                <w:szCs w:val="16"/>
                <w:color w:val="auto"/>
              </w:rPr>
            </w:pPr>
          </w:p>
        </w:tc>
        <w:tc>
          <w:tcPr>
            <w:tcW w:w="940" w:type="dxa"/>
            <w:vAlign w:val="bottom"/>
            <w:tcBorders>
              <w:right w:val="single" w:sz="8" w:color="007CBA"/>
            </w:tcBorders>
            <w:shd w:val="clear" w:color="auto" w:fill="007CBA"/>
          </w:tcPr>
          <w:p>
            <w:pPr>
              <w:jc w:val="center"/>
              <w:ind w:left="99"/>
              <w:spacing w:after="0"/>
              <w:rPr>
                <w:sz w:val="20"/>
                <w:szCs w:val="20"/>
                <w:color w:val="auto"/>
              </w:rPr>
            </w:pPr>
            <w:r>
              <w:rPr>
                <w:rFonts w:ascii="Arial" w:cs="Arial" w:eastAsia="Arial" w:hAnsi="Arial"/>
                <w:sz w:val="16"/>
                <w:szCs w:val="16"/>
                <w:b w:val="1"/>
                <w:bCs w:val="1"/>
                <w:color w:val="FFFFFF"/>
              </w:rPr>
              <w:t>Effective</w:t>
            </w:r>
          </w:p>
        </w:tc>
        <w:tc>
          <w:tcPr>
            <w:tcW w:w="360" w:type="dxa"/>
            <w:vAlign w:val="bottom"/>
            <w:shd w:val="clear" w:color="auto" w:fill="007CBA"/>
          </w:tcPr>
          <w:p>
            <w:pPr>
              <w:spacing w:after="0"/>
              <w:rPr>
                <w:sz w:val="16"/>
                <w:szCs w:val="16"/>
                <w:color w:val="auto"/>
              </w:rPr>
            </w:pPr>
          </w:p>
        </w:tc>
        <w:tc>
          <w:tcPr>
            <w:tcW w:w="800" w:type="dxa"/>
            <w:vAlign w:val="bottom"/>
            <w:shd w:val="clear" w:color="auto" w:fill="007CBA"/>
          </w:tcPr>
          <w:p>
            <w:pPr>
              <w:jc w:val="right"/>
              <w:ind w:right="219"/>
              <w:spacing w:after="0"/>
              <w:rPr>
                <w:sz w:val="20"/>
                <w:szCs w:val="20"/>
                <w:color w:val="auto"/>
              </w:rPr>
            </w:pPr>
            <w:r>
              <w:rPr>
                <w:rFonts w:ascii="Arial" w:cs="Arial" w:eastAsia="Arial" w:hAnsi="Arial"/>
                <w:sz w:val="16"/>
                <w:szCs w:val="16"/>
                <w:b w:val="1"/>
                <w:bCs w:val="1"/>
                <w:color w:val="FFFFFF"/>
              </w:rPr>
              <w:t>2016</w:t>
            </w:r>
          </w:p>
        </w:tc>
      </w:tr>
      <w:tr>
        <w:trPr>
          <w:trHeight w:val="221"/>
        </w:trPr>
        <w:tc>
          <w:tcPr>
            <w:tcW w:w="57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NEO</w:t>
            </w:r>
          </w:p>
        </w:tc>
        <w:tc>
          <w:tcPr>
            <w:tcW w:w="1180" w:type="dxa"/>
            <w:vAlign w:val="bottom"/>
            <w:tcBorders>
              <w:right w:val="single" w:sz="8" w:color="007CBA"/>
            </w:tcBorders>
            <w:shd w:val="clear" w:color="auto" w:fill="007CBA"/>
          </w:tcPr>
          <w:p>
            <w:pPr>
              <w:ind w:left="220"/>
              <w:spacing w:after="0"/>
              <w:rPr>
                <w:sz w:val="20"/>
                <w:szCs w:val="20"/>
                <w:color w:val="auto"/>
              </w:rPr>
            </w:pPr>
            <w:r>
              <w:rPr>
                <w:rFonts w:ascii="Arial" w:cs="Arial" w:eastAsia="Arial" w:hAnsi="Arial"/>
                <w:sz w:val="16"/>
                <w:szCs w:val="16"/>
                <w:b w:val="1"/>
                <w:bCs w:val="1"/>
                <w:color w:val="FFFFFF"/>
              </w:rPr>
              <w:t>Base Salary</w:t>
            </w:r>
          </w:p>
        </w:tc>
        <w:tc>
          <w:tcPr>
            <w:tcW w:w="1120" w:type="dxa"/>
            <w:vAlign w:val="bottom"/>
            <w:tcBorders>
              <w:right w:val="single" w:sz="8" w:color="007CBA"/>
            </w:tcBorders>
            <w:shd w:val="clear" w:color="auto" w:fill="007CBA"/>
          </w:tcPr>
          <w:p>
            <w:pPr>
              <w:jc w:val="center"/>
              <w:ind w:left="119"/>
              <w:spacing w:after="0"/>
              <w:rPr>
                <w:sz w:val="20"/>
                <w:szCs w:val="20"/>
                <w:color w:val="auto"/>
              </w:rPr>
            </w:pPr>
            <w:r>
              <w:rPr>
                <w:rFonts w:ascii="Arial" w:cs="Arial" w:eastAsia="Arial" w:hAnsi="Arial"/>
                <w:sz w:val="16"/>
                <w:szCs w:val="16"/>
                <w:b w:val="1"/>
                <w:bCs w:val="1"/>
                <w:color w:val="FFFFFF"/>
              </w:rPr>
              <w:t>Increase*</w:t>
            </w:r>
          </w:p>
        </w:tc>
        <w:tc>
          <w:tcPr>
            <w:tcW w:w="1300" w:type="dxa"/>
            <w:vAlign w:val="bottom"/>
            <w:tcBorders>
              <w:right w:val="single" w:sz="8" w:color="007CBA"/>
            </w:tcBorders>
            <w:shd w:val="clear" w:color="auto" w:fill="007CBA"/>
          </w:tcPr>
          <w:p>
            <w:pPr>
              <w:jc w:val="center"/>
              <w:ind w:left="99"/>
              <w:spacing w:after="0"/>
              <w:rPr>
                <w:sz w:val="20"/>
                <w:szCs w:val="20"/>
                <w:color w:val="auto"/>
              </w:rPr>
            </w:pPr>
            <w:r>
              <w:rPr>
                <w:rFonts w:ascii="Arial" w:cs="Arial" w:eastAsia="Arial" w:hAnsi="Arial"/>
                <w:sz w:val="16"/>
                <w:szCs w:val="16"/>
                <w:b w:val="1"/>
                <w:bCs w:val="1"/>
                <w:color w:val="FFFFFF"/>
              </w:rPr>
              <w:t>Reason</w:t>
            </w:r>
          </w:p>
        </w:tc>
        <w:tc>
          <w:tcPr>
            <w:tcW w:w="940" w:type="dxa"/>
            <w:vAlign w:val="bottom"/>
            <w:tcBorders>
              <w:right w:val="single" w:sz="8" w:color="007CBA"/>
            </w:tcBorders>
            <w:shd w:val="clear" w:color="auto" w:fill="007CBA"/>
          </w:tcPr>
          <w:p>
            <w:pPr>
              <w:jc w:val="center"/>
              <w:ind w:left="79"/>
              <w:spacing w:after="0"/>
              <w:rPr>
                <w:sz w:val="20"/>
                <w:szCs w:val="20"/>
                <w:color w:val="auto"/>
              </w:rPr>
            </w:pPr>
            <w:r>
              <w:rPr>
                <w:rFonts w:ascii="Arial" w:cs="Arial" w:eastAsia="Arial" w:hAnsi="Arial"/>
                <w:sz w:val="16"/>
                <w:szCs w:val="16"/>
                <w:b w:val="1"/>
                <w:bCs w:val="1"/>
                <w:color w:val="FFFFFF"/>
                <w:w w:val="97"/>
              </w:rPr>
              <w:t>Date</w:t>
            </w:r>
          </w:p>
        </w:tc>
        <w:tc>
          <w:tcPr>
            <w:tcW w:w="1160" w:type="dxa"/>
            <w:vAlign w:val="bottom"/>
            <w:gridSpan w:val="2"/>
            <w:shd w:val="clear" w:color="auto" w:fill="007CBA"/>
          </w:tcPr>
          <w:p>
            <w:pPr>
              <w:jc w:val="right"/>
              <w:spacing w:after="0"/>
              <w:rPr>
                <w:sz w:val="20"/>
                <w:szCs w:val="20"/>
                <w:color w:val="auto"/>
              </w:rPr>
            </w:pPr>
            <w:r>
              <w:rPr>
                <w:rFonts w:ascii="Arial" w:cs="Arial" w:eastAsia="Arial" w:hAnsi="Arial"/>
                <w:sz w:val="16"/>
                <w:szCs w:val="16"/>
                <w:b w:val="1"/>
                <w:bCs w:val="1"/>
                <w:color w:val="FFFFFF"/>
              </w:rPr>
              <w:t>Base Salary</w:t>
            </w:r>
          </w:p>
        </w:tc>
      </w:tr>
      <w:tr>
        <w:trPr>
          <w:trHeight w:val="189"/>
        </w:trPr>
        <w:tc>
          <w:tcPr>
            <w:tcW w:w="57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C. Howard Nye</w:t>
            </w:r>
          </w:p>
        </w:tc>
        <w:tc>
          <w:tcPr>
            <w:tcW w:w="118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$980,000</w:t>
            </w:r>
          </w:p>
        </w:tc>
        <w:tc>
          <w:tcPr>
            <w:tcW w:w="112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3.1%</w:t>
            </w:r>
          </w:p>
        </w:tc>
        <w:tc>
          <w:tcPr>
            <w:tcW w:w="130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Merit Increase</w:t>
            </w:r>
          </w:p>
        </w:tc>
        <w:tc>
          <w:tcPr>
            <w:tcW w:w="940" w:type="dxa"/>
            <w:vAlign w:val="bottom"/>
            <w:tcBorders>
              <w:right w:val="single" w:sz="8" w:color="007CBA"/>
            </w:tcBorders>
            <w:shd w:val="clear" w:color="auto" w:fill="E5F1F8"/>
          </w:tcPr>
          <w:p>
            <w:pPr>
              <w:jc w:val="center"/>
              <w:ind w:left="79"/>
              <w:spacing w:after="0"/>
              <w:rPr>
                <w:sz w:val="20"/>
                <w:szCs w:val="20"/>
                <w:color w:val="auto"/>
              </w:rPr>
            </w:pPr>
            <w:r>
              <w:rPr>
                <w:rFonts w:ascii="Arial" w:cs="Arial" w:eastAsia="Arial" w:hAnsi="Arial"/>
                <w:sz w:val="16"/>
                <w:szCs w:val="16"/>
                <w:color w:val="auto"/>
              </w:rPr>
              <w:t>3/1/16</w:t>
            </w:r>
          </w:p>
        </w:tc>
        <w:tc>
          <w:tcPr>
            <w:tcW w:w="3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F1F8"/>
          </w:tcPr>
          <w:p>
            <w:pPr>
              <w:jc w:val="right"/>
              <w:spacing w:after="0"/>
              <w:rPr>
                <w:sz w:val="20"/>
                <w:szCs w:val="20"/>
                <w:color w:val="auto"/>
              </w:rPr>
            </w:pPr>
            <w:r>
              <w:rPr>
                <w:rFonts w:ascii="Arial" w:cs="Arial" w:eastAsia="Arial" w:hAnsi="Arial"/>
                <w:sz w:val="16"/>
                <w:szCs w:val="16"/>
                <w:color w:val="auto"/>
                <w:w w:val="98"/>
              </w:rPr>
              <w:t>1,010,000</w:t>
            </w:r>
          </w:p>
        </w:tc>
      </w:tr>
      <w:tr>
        <w:trPr>
          <w:trHeight w:val="189"/>
        </w:trPr>
        <w:tc>
          <w:tcPr>
            <w:tcW w:w="57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Anne H. Lloyd</w:t>
            </w:r>
          </w:p>
        </w:tc>
        <w:tc>
          <w:tcPr>
            <w:tcW w:w="1180" w:type="dxa"/>
            <w:vAlign w:val="bottom"/>
            <w:tcBorders>
              <w:right w:val="single" w:sz="8" w:color="007CBA"/>
            </w:tcBorders>
          </w:tcPr>
          <w:p>
            <w:pPr>
              <w:jc w:val="center"/>
              <w:ind w:left="99"/>
              <w:spacing w:after="0"/>
              <w:rPr>
                <w:sz w:val="20"/>
                <w:szCs w:val="20"/>
                <w:color w:val="auto"/>
              </w:rPr>
            </w:pPr>
            <w:r>
              <w:rPr>
                <w:rFonts w:ascii="Arial" w:cs="Arial" w:eastAsia="Arial" w:hAnsi="Arial"/>
                <w:sz w:val="16"/>
                <w:szCs w:val="16"/>
                <w:color w:val="auto"/>
              </w:rPr>
              <w:t>$526,600</w:t>
            </w:r>
          </w:p>
        </w:tc>
        <w:tc>
          <w:tcPr>
            <w:tcW w:w="1120" w:type="dxa"/>
            <w:vAlign w:val="bottom"/>
            <w:tcBorders>
              <w:right w:val="single" w:sz="8" w:color="007CBA"/>
            </w:tcBorders>
          </w:tcPr>
          <w:p>
            <w:pPr>
              <w:jc w:val="center"/>
              <w:ind w:left="99"/>
              <w:spacing w:after="0"/>
              <w:rPr>
                <w:sz w:val="20"/>
                <w:szCs w:val="20"/>
                <w:color w:val="auto"/>
              </w:rPr>
            </w:pPr>
            <w:r>
              <w:rPr>
                <w:rFonts w:ascii="Arial" w:cs="Arial" w:eastAsia="Arial" w:hAnsi="Arial"/>
                <w:sz w:val="16"/>
                <w:szCs w:val="16"/>
                <w:color w:val="auto"/>
              </w:rPr>
              <w:t>3.0%</w:t>
            </w:r>
          </w:p>
        </w:tc>
        <w:tc>
          <w:tcPr>
            <w:tcW w:w="1300" w:type="dxa"/>
            <w:vAlign w:val="bottom"/>
            <w:tcBorders>
              <w:right w:val="single" w:sz="8" w:color="007CBA"/>
            </w:tcBorders>
          </w:tcPr>
          <w:p>
            <w:pPr>
              <w:jc w:val="center"/>
              <w:ind w:left="99"/>
              <w:spacing w:after="0"/>
              <w:rPr>
                <w:sz w:val="20"/>
                <w:szCs w:val="20"/>
                <w:color w:val="auto"/>
              </w:rPr>
            </w:pPr>
            <w:r>
              <w:rPr>
                <w:rFonts w:ascii="Arial" w:cs="Arial" w:eastAsia="Arial" w:hAnsi="Arial"/>
                <w:sz w:val="16"/>
                <w:szCs w:val="16"/>
                <w:color w:val="auto"/>
              </w:rPr>
              <w:t>Merit Increase</w:t>
            </w:r>
          </w:p>
        </w:tc>
        <w:tc>
          <w:tcPr>
            <w:tcW w:w="940" w:type="dxa"/>
            <w:vAlign w:val="bottom"/>
            <w:tcBorders>
              <w:right w:val="single" w:sz="8" w:color="007CBA"/>
            </w:tcBorders>
          </w:tcPr>
          <w:p>
            <w:pPr>
              <w:jc w:val="center"/>
              <w:ind w:left="79"/>
              <w:spacing w:after="0"/>
              <w:rPr>
                <w:sz w:val="20"/>
                <w:szCs w:val="20"/>
                <w:color w:val="auto"/>
              </w:rPr>
            </w:pPr>
            <w:r>
              <w:rPr>
                <w:rFonts w:ascii="Arial" w:cs="Arial" w:eastAsia="Arial" w:hAnsi="Arial"/>
                <w:sz w:val="16"/>
                <w:szCs w:val="16"/>
                <w:color w:val="auto"/>
              </w:rPr>
              <w:t>3/1/16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543,700</w:t>
            </w:r>
          </w:p>
        </w:tc>
      </w:tr>
      <w:tr>
        <w:trPr>
          <w:trHeight w:val="189"/>
        </w:trPr>
        <w:tc>
          <w:tcPr>
            <w:tcW w:w="57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Roselyn R. Bar</w:t>
            </w:r>
          </w:p>
        </w:tc>
        <w:tc>
          <w:tcPr>
            <w:tcW w:w="118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$493,000</w:t>
            </w:r>
          </w:p>
        </w:tc>
        <w:tc>
          <w:tcPr>
            <w:tcW w:w="112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3.0%</w:t>
            </w:r>
          </w:p>
        </w:tc>
        <w:tc>
          <w:tcPr>
            <w:tcW w:w="1300" w:type="dxa"/>
            <w:vAlign w:val="bottom"/>
            <w:tcBorders>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Merit Increase</w:t>
            </w:r>
          </w:p>
        </w:tc>
        <w:tc>
          <w:tcPr>
            <w:tcW w:w="940" w:type="dxa"/>
            <w:vAlign w:val="bottom"/>
            <w:tcBorders>
              <w:right w:val="single" w:sz="8" w:color="007CBA"/>
            </w:tcBorders>
            <w:shd w:val="clear" w:color="auto" w:fill="E5F1F8"/>
          </w:tcPr>
          <w:p>
            <w:pPr>
              <w:jc w:val="center"/>
              <w:ind w:left="79"/>
              <w:spacing w:after="0"/>
              <w:rPr>
                <w:sz w:val="20"/>
                <w:szCs w:val="20"/>
                <w:color w:val="auto"/>
              </w:rPr>
            </w:pPr>
            <w:r>
              <w:rPr>
                <w:rFonts w:ascii="Arial" w:cs="Arial" w:eastAsia="Arial" w:hAnsi="Arial"/>
                <w:sz w:val="16"/>
                <w:szCs w:val="16"/>
                <w:color w:val="auto"/>
              </w:rPr>
              <w:t>3/1/16</w:t>
            </w:r>
          </w:p>
        </w:tc>
        <w:tc>
          <w:tcPr>
            <w:tcW w:w="3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497,300</w:t>
            </w:r>
          </w:p>
        </w:tc>
      </w:tr>
      <w:tr>
        <w:trPr>
          <w:trHeight w:val="189"/>
        </w:trPr>
        <w:tc>
          <w:tcPr>
            <w:tcW w:w="57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Donald A. McCunniff</w:t>
            </w:r>
          </w:p>
        </w:tc>
        <w:tc>
          <w:tcPr>
            <w:tcW w:w="1180" w:type="dxa"/>
            <w:vAlign w:val="bottom"/>
            <w:tcBorders>
              <w:right w:val="single" w:sz="8" w:color="007CBA"/>
            </w:tcBorders>
          </w:tcPr>
          <w:p>
            <w:pPr>
              <w:jc w:val="center"/>
              <w:ind w:left="99"/>
              <w:spacing w:after="0"/>
              <w:rPr>
                <w:sz w:val="20"/>
                <w:szCs w:val="20"/>
                <w:color w:val="auto"/>
              </w:rPr>
            </w:pPr>
            <w:r>
              <w:rPr>
                <w:rFonts w:ascii="Arial" w:cs="Arial" w:eastAsia="Arial" w:hAnsi="Arial"/>
                <w:sz w:val="16"/>
                <w:szCs w:val="16"/>
                <w:color w:val="auto"/>
              </w:rPr>
              <w:t>$360,300</w:t>
            </w:r>
          </w:p>
        </w:tc>
        <w:tc>
          <w:tcPr>
            <w:tcW w:w="1120" w:type="dxa"/>
            <w:vAlign w:val="bottom"/>
            <w:tcBorders>
              <w:right w:val="single" w:sz="8" w:color="007CBA"/>
            </w:tcBorders>
          </w:tcPr>
          <w:p>
            <w:pPr>
              <w:jc w:val="center"/>
              <w:ind w:left="99"/>
              <w:spacing w:after="0"/>
              <w:rPr>
                <w:sz w:val="20"/>
                <w:szCs w:val="20"/>
                <w:color w:val="auto"/>
              </w:rPr>
            </w:pPr>
            <w:r>
              <w:rPr>
                <w:rFonts w:ascii="Arial" w:cs="Arial" w:eastAsia="Arial" w:hAnsi="Arial"/>
                <w:sz w:val="16"/>
                <w:szCs w:val="16"/>
                <w:color w:val="auto"/>
              </w:rPr>
              <w:t>3.0%</w:t>
            </w:r>
          </w:p>
        </w:tc>
        <w:tc>
          <w:tcPr>
            <w:tcW w:w="1300" w:type="dxa"/>
            <w:vAlign w:val="bottom"/>
            <w:tcBorders>
              <w:right w:val="single" w:sz="8" w:color="007CBA"/>
            </w:tcBorders>
          </w:tcPr>
          <w:p>
            <w:pPr>
              <w:jc w:val="center"/>
              <w:ind w:left="99"/>
              <w:spacing w:after="0"/>
              <w:rPr>
                <w:sz w:val="20"/>
                <w:szCs w:val="20"/>
                <w:color w:val="auto"/>
              </w:rPr>
            </w:pPr>
            <w:r>
              <w:rPr>
                <w:rFonts w:ascii="Arial" w:cs="Arial" w:eastAsia="Arial" w:hAnsi="Arial"/>
                <w:sz w:val="16"/>
                <w:szCs w:val="16"/>
                <w:color w:val="auto"/>
              </w:rPr>
              <w:t>Merit Increase</w:t>
            </w:r>
          </w:p>
        </w:tc>
        <w:tc>
          <w:tcPr>
            <w:tcW w:w="940" w:type="dxa"/>
            <w:vAlign w:val="bottom"/>
            <w:tcBorders>
              <w:right w:val="single" w:sz="8" w:color="007CBA"/>
            </w:tcBorders>
          </w:tcPr>
          <w:p>
            <w:pPr>
              <w:jc w:val="center"/>
              <w:ind w:left="79"/>
              <w:spacing w:after="0"/>
              <w:rPr>
                <w:sz w:val="20"/>
                <w:szCs w:val="20"/>
                <w:color w:val="auto"/>
              </w:rPr>
            </w:pPr>
            <w:r>
              <w:rPr>
                <w:rFonts w:ascii="Arial" w:cs="Arial" w:eastAsia="Arial" w:hAnsi="Arial"/>
                <w:sz w:val="16"/>
                <w:szCs w:val="16"/>
                <w:color w:val="auto"/>
              </w:rPr>
              <w:t>3/1/16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372,000</w:t>
            </w:r>
          </w:p>
        </w:tc>
      </w:tr>
      <w:tr>
        <w:trPr>
          <w:trHeight w:val="189"/>
        </w:trPr>
        <w:tc>
          <w:tcPr>
            <w:tcW w:w="572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Daniel L. Grant</w:t>
            </w:r>
          </w:p>
        </w:tc>
        <w:tc>
          <w:tcPr>
            <w:tcW w:w="1180" w:type="dxa"/>
            <w:vAlign w:val="bottom"/>
            <w:tcBorders>
              <w:bottom w:val="single" w:sz="8" w:color="007CBA"/>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$340,000</w:t>
            </w:r>
          </w:p>
        </w:tc>
        <w:tc>
          <w:tcPr>
            <w:tcW w:w="1120" w:type="dxa"/>
            <w:vAlign w:val="bottom"/>
            <w:tcBorders>
              <w:bottom w:val="single" w:sz="8" w:color="007CBA"/>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3.3%</w:t>
            </w:r>
          </w:p>
        </w:tc>
        <w:tc>
          <w:tcPr>
            <w:tcW w:w="1300" w:type="dxa"/>
            <w:vAlign w:val="bottom"/>
            <w:tcBorders>
              <w:bottom w:val="single" w:sz="8" w:color="007CBA"/>
              <w:right w:val="single" w:sz="8" w:color="007CBA"/>
            </w:tcBorders>
            <w:shd w:val="clear" w:color="auto" w:fill="E5F1F8"/>
          </w:tcPr>
          <w:p>
            <w:pPr>
              <w:jc w:val="center"/>
              <w:ind w:left="99"/>
              <w:spacing w:after="0"/>
              <w:rPr>
                <w:sz w:val="20"/>
                <w:szCs w:val="20"/>
                <w:color w:val="auto"/>
              </w:rPr>
            </w:pPr>
            <w:r>
              <w:rPr>
                <w:rFonts w:ascii="Arial" w:cs="Arial" w:eastAsia="Arial" w:hAnsi="Arial"/>
                <w:sz w:val="16"/>
                <w:szCs w:val="16"/>
                <w:color w:val="auto"/>
              </w:rPr>
              <w:t>Merit Increase</w:t>
            </w:r>
          </w:p>
        </w:tc>
        <w:tc>
          <w:tcPr>
            <w:tcW w:w="940" w:type="dxa"/>
            <w:vAlign w:val="bottom"/>
            <w:tcBorders>
              <w:bottom w:val="single" w:sz="8" w:color="007CBA"/>
              <w:right w:val="single" w:sz="8" w:color="007CBA"/>
            </w:tcBorders>
            <w:shd w:val="clear" w:color="auto" w:fill="E5F1F8"/>
          </w:tcPr>
          <w:p>
            <w:pPr>
              <w:jc w:val="center"/>
              <w:ind w:left="79"/>
              <w:spacing w:after="0"/>
              <w:rPr>
                <w:sz w:val="20"/>
                <w:szCs w:val="20"/>
                <w:color w:val="auto"/>
              </w:rPr>
            </w:pPr>
            <w:r>
              <w:rPr>
                <w:rFonts w:ascii="Arial" w:cs="Arial" w:eastAsia="Arial" w:hAnsi="Arial"/>
                <w:sz w:val="16"/>
                <w:szCs w:val="16"/>
                <w:color w:val="auto"/>
              </w:rPr>
              <w:t>3/1/16</w:t>
            </w:r>
          </w:p>
        </w:tc>
        <w:tc>
          <w:tcPr>
            <w:tcW w:w="36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351,100</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 NEO base salaries were increased on March 1, 2016. The percentage increase reflects the annualized amount; actual increases were pro-rated from the last increase date.</w:t>
      </w:r>
    </w:p>
    <w:p>
      <w:pPr>
        <w:sectPr>
          <w:pgSz w:w="11900" w:h="16838" w:orient="portrait"/>
          <w:cols w:equalWidth="0" w:num="1">
            <w:col w:w="11420"/>
          </w:cols>
          <w:pgMar w:left="240" w:top="459" w:right="2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Cash Incentive: Executive Incentive Plan</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NEOs and other executives are eligible to earn annual bonuses under our Executive Incentive Plan based on the achievement of various performance metrics. Individual NEO targets (as a percent of base salary) are approved by the Committee at the beginning of the year based on a review of competitive market data.</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Actual cash bonuses are determined based on compensation peer data and internal pay equity. The Committee awards annual cash bonuses based on corporate performance objectives and the achievement of individualized targeted goals. This furthers Martin Marietta’s compensation philosophy to encourage superior performance and reward the achievement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299085</wp:posOffset>
            </wp:positionV>
            <wp:extent cx="411480" cy="248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1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Martin Marietta’s annual goals. In 2016, all of the executive officers participated in the plan, except for Mr. Nye, for whom bonus compensation was awarded outside of the plan. The annual bonus level for 2016 for the NEOs was 152% to 157% of target.</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 determining the incentive payments, the Committee first reviews the achievements of Martin Marietta for the past year as compared to its targeted goals set at the end of the previous year. The factors that the Committee took into account in determining Martin Marietta’s performance in 2016 include those listed above under </w:t>
      </w:r>
      <w:r>
        <w:rPr>
          <w:rFonts w:ascii="Arial" w:cs="Arial" w:eastAsia="Arial" w:hAnsi="Arial"/>
          <w:sz w:val="16"/>
          <w:szCs w:val="16"/>
          <w:i w:val="1"/>
          <w:iCs w:val="1"/>
          <w:color w:val="auto"/>
        </w:rPr>
        <w:t>Executive Summary</w:t>
      </w:r>
      <w:r>
        <w:rPr>
          <w:rFonts w:ascii="Arial" w:cs="Arial" w:eastAsia="Arial" w:hAnsi="Arial"/>
          <w:sz w:val="16"/>
          <w:szCs w:val="16"/>
          <w:color w:val="auto"/>
        </w:rPr>
        <w:t xml:space="preserve"> on pages 28 to 30. The Committee also considered:</w:t>
      </w:r>
    </w:p>
    <w:p>
      <w:pPr>
        <w:spacing w:after="0" w:line="70" w:lineRule="exact"/>
        <w:rPr>
          <w:sz w:val="20"/>
          <w:szCs w:val="20"/>
          <w:color w:val="auto"/>
        </w:rPr>
      </w:pPr>
    </w:p>
    <w:p>
      <w:pPr>
        <w:ind w:left="380" w:hanging="291"/>
        <w:spacing w:after="0" w:line="260" w:lineRule="auto"/>
        <w:tabs>
          <w:tab w:leader="none" w:pos="380" w:val="left"/>
        </w:tabs>
        <w:numPr>
          <w:ilvl w:val="0"/>
          <w:numId w:val="74"/>
        </w:numPr>
        <w:rPr>
          <w:rFonts w:ascii="Arial" w:cs="Arial" w:eastAsia="Arial" w:hAnsi="Arial"/>
          <w:sz w:val="16"/>
          <w:szCs w:val="16"/>
          <w:color w:val="007CBA"/>
        </w:rPr>
      </w:pPr>
      <w:r>
        <w:rPr>
          <w:rFonts w:ascii="Arial" w:cs="Arial" w:eastAsia="Arial" w:hAnsi="Arial"/>
          <w:sz w:val="16"/>
          <w:szCs w:val="16"/>
          <w:color w:val="auto"/>
        </w:rPr>
        <w:t>A detailed assessment of Martin Marietta’s overall financial performance and each segment’s financial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276" w:lineRule="exact"/>
        <w:rPr>
          <w:sz w:val="20"/>
          <w:szCs w:val="20"/>
          <w:color w:val="auto"/>
        </w:rPr>
      </w:pPr>
      <w:r>
        <w:rPr>
          <w:rFonts w:ascii="Arial" w:cs="Arial" w:eastAsia="Arial" w:hAnsi="Arial"/>
          <w:sz w:val="13"/>
          <w:szCs w:val="13"/>
          <w:color w:val="auto"/>
        </w:rPr>
        <w:t xml:space="preserve">Considerations Regarding 2016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-674370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0" w:lineRule="exact"/>
        <w:rPr>
          <w:sz w:val="20"/>
          <w:szCs w:val="20"/>
          <w:color w:val="auto"/>
        </w:rPr>
      </w:pPr>
    </w:p>
    <w:p>
      <w:pPr>
        <w:ind w:left="300" w:right="120" w:hanging="291"/>
        <w:spacing w:after="0" w:line="260" w:lineRule="auto"/>
        <w:tabs>
          <w:tab w:leader="none" w:pos="300" w:val="left"/>
        </w:tabs>
        <w:numPr>
          <w:ilvl w:val="0"/>
          <w:numId w:val="75"/>
        </w:numPr>
        <w:rPr>
          <w:rFonts w:ascii="Arial" w:cs="Arial" w:eastAsia="Arial" w:hAnsi="Arial"/>
          <w:sz w:val="16"/>
          <w:szCs w:val="16"/>
          <w:color w:val="007CBA"/>
        </w:rPr>
      </w:pPr>
      <w:r>
        <w:rPr>
          <w:rFonts w:ascii="Arial" w:cs="Arial" w:eastAsia="Arial" w:hAnsi="Arial"/>
          <w:sz w:val="16"/>
          <w:szCs w:val="16"/>
          <w:color w:val="auto"/>
        </w:rPr>
        <w:t>Shareholder returns, including the consistent delivery of value to Martin Marietta’s shareholders.</w:t>
      </w:r>
    </w:p>
    <w:p>
      <w:pPr>
        <w:spacing w:after="0" w:line="60" w:lineRule="exact"/>
        <w:rPr>
          <w:rFonts w:ascii="Arial" w:cs="Arial" w:eastAsia="Arial" w:hAnsi="Arial"/>
          <w:sz w:val="16"/>
          <w:szCs w:val="16"/>
          <w:color w:val="007CBA"/>
        </w:rPr>
      </w:pPr>
    </w:p>
    <w:p>
      <w:pPr>
        <w:jc w:val="both"/>
        <w:ind w:left="300" w:right="120" w:hanging="291"/>
        <w:spacing w:after="0" w:line="253" w:lineRule="auto"/>
        <w:tabs>
          <w:tab w:leader="none" w:pos="300" w:val="left"/>
        </w:tabs>
        <w:numPr>
          <w:ilvl w:val="0"/>
          <w:numId w:val="75"/>
        </w:numPr>
        <w:rPr>
          <w:rFonts w:ascii="Arial" w:cs="Arial" w:eastAsia="Arial" w:hAnsi="Arial"/>
          <w:sz w:val="16"/>
          <w:szCs w:val="16"/>
          <w:color w:val="007CBA"/>
        </w:rPr>
      </w:pPr>
      <w:r>
        <w:rPr>
          <w:rFonts w:ascii="Arial" w:cs="Arial" w:eastAsia="Arial" w:hAnsi="Arial"/>
          <w:sz w:val="16"/>
          <w:szCs w:val="16"/>
          <w:color w:val="auto"/>
        </w:rPr>
        <w:t>Our safety performance, which continues to be industry leading even though we increased hourly headcount and trained new employees hired through our acquisitions made during the year.</w:t>
      </w:r>
    </w:p>
    <w:p>
      <w:pPr>
        <w:spacing w:after="0" w:line="66" w:lineRule="exact"/>
        <w:rPr>
          <w:rFonts w:ascii="Arial" w:cs="Arial" w:eastAsia="Arial" w:hAnsi="Arial"/>
          <w:sz w:val="16"/>
          <w:szCs w:val="16"/>
          <w:color w:val="007CBA"/>
        </w:rPr>
      </w:pPr>
    </w:p>
    <w:p>
      <w:pPr>
        <w:ind w:left="300" w:hanging="291"/>
        <w:spacing w:after="0"/>
        <w:tabs>
          <w:tab w:leader="none" w:pos="300" w:val="left"/>
        </w:tabs>
        <w:numPr>
          <w:ilvl w:val="0"/>
          <w:numId w:val="75"/>
        </w:numPr>
        <w:rPr>
          <w:rFonts w:ascii="Arial" w:cs="Arial" w:eastAsia="Arial" w:hAnsi="Arial"/>
          <w:sz w:val="16"/>
          <w:szCs w:val="16"/>
          <w:color w:val="007CBA"/>
        </w:rPr>
      </w:pPr>
      <w:r>
        <w:rPr>
          <w:rFonts w:ascii="Arial" w:cs="Arial" w:eastAsia="Arial" w:hAnsi="Arial"/>
          <w:sz w:val="16"/>
          <w:szCs w:val="16"/>
          <w:color w:val="auto"/>
        </w:rPr>
        <w:t>Outstanding environmental and regulatory compliance results.</w:t>
      </w:r>
    </w:p>
    <w:p>
      <w:pPr>
        <w:spacing w:after="0" w:line="86" w:lineRule="exact"/>
        <w:rPr>
          <w:rFonts w:ascii="Arial" w:cs="Arial" w:eastAsia="Arial" w:hAnsi="Arial"/>
          <w:sz w:val="16"/>
          <w:szCs w:val="16"/>
          <w:color w:val="007CBA"/>
        </w:rPr>
      </w:pPr>
    </w:p>
    <w:p>
      <w:pPr>
        <w:ind w:left="300" w:hanging="291"/>
        <w:spacing w:after="0"/>
        <w:tabs>
          <w:tab w:leader="none" w:pos="300" w:val="left"/>
        </w:tabs>
        <w:numPr>
          <w:ilvl w:val="0"/>
          <w:numId w:val="75"/>
        </w:numPr>
        <w:rPr>
          <w:rFonts w:ascii="Arial" w:cs="Arial" w:eastAsia="Arial" w:hAnsi="Arial"/>
          <w:sz w:val="16"/>
          <w:szCs w:val="16"/>
          <w:color w:val="007CBA"/>
        </w:rPr>
      </w:pPr>
      <w:r>
        <w:rPr>
          <w:rFonts w:ascii="Arial" w:cs="Arial" w:eastAsia="Arial" w:hAnsi="Arial"/>
          <w:sz w:val="16"/>
          <w:szCs w:val="16"/>
          <w:color w:val="auto"/>
        </w:rPr>
        <w:t>Continuing achievement of excellent management of working capital.</w:t>
      </w:r>
    </w:p>
    <w:p>
      <w:pPr>
        <w:spacing w:after="0" w:line="86" w:lineRule="exact"/>
        <w:rPr>
          <w:rFonts w:ascii="Arial" w:cs="Arial" w:eastAsia="Arial" w:hAnsi="Arial"/>
          <w:sz w:val="16"/>
          <w:szCs w:val="16"/>
          <w:color w:val="007CBA"/>
        </w:rPr>
      </w:pPr>
    </w:p>
    <w:p>
      <w:pPr>
        <w:ind w:left="300" w:hanging="291"/>
        <w:spacing w:after="0"/>
        <w:tabs>
          <w:tab w:leader="none" w:pos="300" w:val="left"/>
        </w:tabs>
        <w:numPr>
          <w:ilvl w:val="0"/>
          <w:numId w:val="75"/>
        </w:numPr>
        <w:rPr>
          <w:rFonts w:ascii="Arial" w:cs="Arial" w:eastAsia="Arial" w:hAnsi="Arial"/>
          <w:sz w:val="16"/>
          <w:szCs w:val="16"/>
          <w:color w:val="007CBA"/>
        </w:rPr>
      </w:pPr>
      <w:r>
        <w:rPr>
          <w:rFonts w:ascii="Arial" w:cs="Arial" w:eastAsia="Arial" w:hAnsi="Arial"/>
          <w:sz w:val="16"/>
          <w:szCs w:val="16"/>
          <w:color w:val="auto"/>
        </w:rPr>
        <w:t>The successful organic and inorganic growth of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808355</wp:posOffset>
            </wp:positionV>
            <wp:extent cx="4339590" cy="23755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39590" cy="2375535"/>
                    </a:xfrm>
                    <a:prstGeom prst="rect">
                      <a:avLst/>
                    </a:prstGeom>
                    <a:noFill/>
                  </pic:spPr>
                </pic:pic>
              </a:graphicData>
            </a:graphic>
          </wp:anchor>
        </w:drawing>
      </w:r>
    </w:p>
    <w:p>
      <w:pPr>
        <w:spacing w:after="0" w:line="927" w:lineRule="exact"/>
        <w:rPr>
          <w:sz w:val="20"/>
          <w:szCs w:val="20"/>
          <w:color w:val="auto"/>
        </w:rPr>
      </w:pPr>
    </w:p>
    <w:p>
      <w:pPr>
        <w:sectPr>
          <w:pgSz w:w="11900" w:h="16838" w:orient="portrait"/>
          <w:cols w:equalWidth="0" w:num="2">
            <w:col w:w="5480" w:space="420"/>
            <w:col w:w="55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Total Incident Injury Rate per 200,000 man hours worked.</w:t>
      </w:r>
    </w:p>
    <w:p>
      <w:pPr>
        <w:ind w:left="120" w:hanging="112"/>
        <w:spacing w:after="0" w:line="211" w:lineRule="auto"/>
        <w:tabs>
          <w:tab w:leader="none" w:pos="12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Reported as of 12.31.14 by Bureau of Labor Statistics. Latest available data.</w:t>
      </w:r>
    </w:p>
    <w:p>
      <w:pPr>
        <w:spacing w:after="0" w:line="71" w:lineRule="exact"/>
        <w:rPr>
          <w:sz w:val="20"/>
          <w:szCs w:val="20"/>
          <w:color w:val="auto"/>
        </w:rPr>
      </w:pPr>
    </w:p>
    <w:p>
      <w:pPr>
        <w:ind w:left="120" w:hanging="112"/>
        <w:spacing w:after="0" w:line="183" w:lineRule="auto"/>
        <w:tabs>
          <w:tab w:leader="none" w:pos="12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Reported by Mine Safety and Health Administration for 2010 – 2015 and by National Stone, Sand and Gravel Association for year to date as of 06.30.16 (latest data available) for the Aggregates Industry.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also considered our efforts to tell our sustainability story, which is part of our core strategy. We completed and issued the Company’s second annual sustainability report. “</w:t>
      </w:r>
      <w:r>
        <w:rPr>
          <w:rFonts w:ascii="Arial" w:cs="Arial" w:eastAsia="Arial" w:hAnsi="Arial"/>
          <w:sz w:val="16"/>
          <w:szCs w:val="16"/>
          <w:i w:val="1"/>
          <w:iCs w:val="1"/>
          <w:color w:val="auto"/>
        </w:rPr>
        <w:t>Building Solid Foundations – Partnering for Stronger Communities</w:t>
      </w:r>
      <w:r>
        <w:rPr>
          <w:rFonts w:ascii="Arial" w:cs="Arial" w:eastAsia="Arial" w:hAnsi="Arial"/>
          <w:sz w:val="16"/>
          <w:szCs w:val="16"/>
          <w:color w:val="auto"/>
        </w:rPr>
        <w:t>” represents our latest publication sharing Martin Marietta’s sustainability story – in 2016 from the perspective of our employees. From our world-class safety programs and performance, to our targeted and intentional support of housing, hunger reduction and healthcare, to environmental programs that ensure operational excellence, we have a solid foundation and an exciting opportunity to build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127635</wp:posOffset>
            </wp:positionV>
            <wp:extent cx="5763260" cy="18783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6326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bl>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Considerations Regarding 2016 Compensation</w:t>
      </w:r>
    </w:p>
    <w:p>
      <w:pPr>
        <w:spacing w:after="0" w:line="290"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 xml:space="preserve">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safety, customer satisfaction, and product quality.</w:t>
      </w:r>
    </w:p>
    <w:p>
      <w:pPr>
        <w:spacing w:after="0" w:line="178" w:lineRule="exact"/>
        <w:rPr>
          <w:sz w:val="20"/>
          <w:szCs w:val="20"/>
          <w:color w:val="auto"/>
        </w:rPr>
      </w:pPr>
    </w:p>
    <w:p>
      <w:pPr>
        <w:jc w:val="both"/>
        <w:ind w:right="60"/>
        <w:spacing w:after="0" w:line="247" w:lineRule="auto"/>
        <w:rPr>
          <w:sz w:val="20"/>
          <w:szCs w:val="20"/>
          <w:color w:val="auto"/>
        </w:rPr>
      </w:pPr>
      <w:r>
        <w:rPr>
          <w:rFonts w:ascii="Arial" w:cs="Arial" w:eastAsia="Arial" w:hAnsi="Arial"/>
          <w:sz w:val="16"/>
          <w:szCs w:val="16"/>
          <w:color w:val="auto"/>
        </w:rPr>
        <w:t>Key individual performance criteria are established for each NEO, which are intended to drive strategic and support operational results in the Company and the functional groups. These performance metrics are established at the beginning of each plan year and are based upon Martin Marietta’s Long-Range Operating Plan, which is set at the end of the previous year. For executives in corporate staff positions, 50% of the determination is made with respect to Martin Marietta’s performance and 50% is based on the individual’s performance against established objectives. Similar to the Committee’s assessment of financial goals, the Committee’s assessment of individual performance goals generally excludes certain non-recurring or extraordinary items. We do not disclose specific individual performance goals due to the potential for competitive harm. Our targeted individual goals are “stretch but reasonable.”</w:t>
      </w:r>
    </w:p>
    <w:p>
      <w:pPr>
        <w:spacing w:after="0" w:line="172"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The individualized target goals are tailored for each executive, his or her specific areas of responsibility and the then-current and longer-term goals of Martin Marietta. In addition, achievement of the goals typically is in part dependent on conditions outside the control of each of the named executive officers. For example, our business may be adversely affected by hurricanes or other weather-related conditions, which could have the result of impeding the achievement of certain performance-based goals.</w:t>
      </w:r>
    </w:p>
    <w:p>
      <w:pPr>
        <w:spacing w:after="0" w:line="168"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Although there is substantial uncertainty with respect to achieving the target levels at the time the goals are set and communicated, our NEOs have a reasonable expectation of receiving a cash incentive award at a level that is near their target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 CEO Annual Incentive Award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-964565</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CEO does not participate in Martin Marietta’s Executive Incentive Plan and his bonus, if any, is determined at the discretion of the Committee, based on the performance factors discussed above for 2016, including:</w:t>
      </w:r>
    </w:p>
    <w:p>
      <w:pPr>
        <w:spacing w:after="0" w:line="66" w:lineRule="exact"/>
        <w:rPr>
          <w:sz w:val="20"/>
          <w:szCs w:val="20"/>
          <w:color w:val="auto"/>
        </w:rPr>
      </w:pPr>
    </w:p>
    <w:p>
      <w:pPr>
        <w:ind w:left="380" w:hanging="291"/>
        <w:spacing w:after="0"/>
        <w:tabs>
          <w:tab w:leader="none" w:pos="38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Revenue growth</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Gross profit margin expansion</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EBITDA growth</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EPS growth</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Effective cost management</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79"/>
        </w:numPr>
        <w:rPr>
          <w:rFonts w:ascii="Arial" w:cs="Arial" w:eastAsia="Arial" w:hAnsi="Arial"/>
          <w:sz w:val="16"/>
          <w:szCs w:val="16"/>
          <w:color w:val="007CBA"/>
        </w:rPr>
      </w:pPr>
      <w:r>
        <w:rPr>
          <w:rFonts w:ascii="Arial" w:cs="Arial" w:eastAsia="Arial" w:hAnsi="Arial"/>
          <w:sz w:val="16"/>
          <w:szCs w:val="16"/>
          <w:color w:val="auto"/>
        </w:rPr>
        <w:t>Safety and regulatory compliance record</w:t>
      </w:r>
    </w:p>
    <w:p>
      <w:pPr>
        <w:spacing w:after="0" w:line="194"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Generally, Mr. Nye’s target bonus level is approximately 110% of his base salary although there is no specific target for the CEO’s bonus. The Committee did not attempt to set Mr. Nye’s 2016 bonus in any particular relationship to peer compensation survey data but did consider those factors. The Committee awarded him an annual incentive bonus of $2,000,000 for 2016, which was approximately 181% of his target annual incentive, after considering many diverse factors, including performance, peer group compensation and the advice of the Committee’s independent compensation consultant.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2016, the Committee took into account the same type of objective performance measures and qualitative measures, such as the effectiveness and quality of Mr. Nye’s leadership of Martin Marietta, as it considered for executive officers who receive awards under the plan.</w:t>
      </w:r>
    </w:p>
    <w:p>
      <w:pPr>
        <w:spacing w:after="0" w:line="451" w:lineRule="exact"/>
        <w:rPr>
          <w:sz w:val="20"/>
          <w:szCs w:val="20"/>
          <w:color w:val="auto"/>
        </w:rPr>
      </w:pPr>
    </w:p>
    <w:p>
      <w:pPr>
        <w:sectPr>
          <w:pgSz w:w="11900" w:h="16838" w:orient="portrait"/>
          <w:cols w:equalWidth="0" w:num="2">
            <w:col w:w="5540" w:space="280"/>
            <w:col w:w="5600"/>
          </w:cols>
          <w:pgMar w:left="240" w:top="459" w:right="2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 Actual Incentive Cash Earned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targets for 2016 and annual incentive award earned by each NEO:</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Borders>
              <w:right w:val="single" w:sz="8" w:color="007CBA"/>
            </w:tcBorders>
            <w:shd w:val="clear" w:color="auto" w:fill="007CBA"/>
          </w:tcPr>
          <w:p>
            <w:pPr>
              <w:spacing w:after="0"/>
              <w:rPr>
                <w:sz w:val="16"/>
                <w:szCs w:val="16"/>
                <w:color w:val="auto"/>
              </w:rPr>
            </w:pPr>
          </w:p>
        </w:tc>
        <w:tc>
          <w:tcPr>
            <w:tcW w:w="2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8"/>
              </w:rPr>
              <w:t>Target Annual</w:t>
            </w:r>
          </w:p>
        </w:tc>
        <w:tc>
          <w:tcPr>
            <w:tcW w:w="1680" w:type="dxa"/>
            <w:vAlign w:val="bottom"/>
            <w:tcBorders>
              <w:right w:val="single" w:sz="8" w:color="007CBA"/>
            </w:tcBorders>
            <w:gridSpan w:val="2"/>
            <w:shd w:val="clear" w:color="auto" w:fill="007CBA"/>
          </w:tcPr>
          <w:p>
            <w:pPr>
              <w:ind w:left="360"/>
              <w:spacing w:after="0"/>
              <w:rPr>
                <w:sz w:val="20"/>
                <w:szCs w:val="20"/>
                <w:color w:val="auto"/>
              </w:rPr>
            </w:pPr>
            <w:r>
              <w:rPr>
                <w:rFonts w:ascii="Arial" w:cs="Arial" w:eastAsia="Arial" w:hAnsi="Arial"/>
                <w:sz w:val="16"/>
                <w:szCs w:val="16"/>
                <w:b w:val="1"/>
                <w:bCs w:val="1"/>
                <w:color w:val="FFFFFF"/>
              </w:rPr>
              <w:t>2016 Target</w:t>
            </w:r>
          </w:p>
        </w:tc>
        <w:tc>
          <w:tcPr>
            <w:tcW w:w="1780" w:type="dxa"/>
            <w:vAlign w:val="bottom"/>
            <w:gridSpan w:val="2"/>
            <w:shd w:val="clear" w:color="auto" w:fill="007CBA"/>
          </w:tcPr>
          <w:p>
            <w:pPr>
              <w:ind w:left="380"/>
              <w:spacing w:after="0"/>
              <w:rPr>
                <w:sz w:val="20"/>
                <w:szCs w:val="20"/>
                <w:color w:val="auto"/>
              </w:rPr>
            </w:pPr>
            <w:r>
              <w:rPr>
                <w:rFonts w:ascii="Arial" w:cs="Arial" w:eastAsia="Arial" w:hAnsi="Arial"/>
                <w:sz w:val="16"/>
                <w:szCs w:val="16"/>
                <w:b w:val="1"/>
                <w:bCs w:val="1"/>
                <w:color w:val="FFFFFF"/>
              </w:rPr>
              <w:t>2016 Actual</w:t>
            </w:r>
          </w:p>
        </w:tc>
      </w:tr>
      <w:tr>
        <w:trPr>
          <w:trHeight w:val="189"/>
        </w:trPr>
        <w:tc>
          <w:tcPr>
            <w:tcW w:w="5880" w:type="dxa"/>
            <w:vAlign w:val="bottom"/>
            <w:tcBorders>
              <w:right w:val="single" w:sz="8" w:color="007CBA"/>
            </w:tcBorders>
            <w:shd w:val="clear" w:color="auto" w:fill="007CBA"/>
          </w:tcPr>
          <w:p>
            <w:pPr>
              <w:spacing w:after="0"/>
              <w:rPr>
                <w:sz w:val="16"/>
                <w:szCs w:val="16"/>
                <w:color w:val="auto"/>
              </w:rPr>
            </w:pPr>
          </w:p>
        </w:tc>
        <w:tc>
          <w:tcPr>
            <w:tcW w:w="2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Incentive Bonus</w:t>
            </w:r>
          </w:p>
        </w:tc>
        <w:tc>
          <w:tcPr>
            <w:tcW w:w="500" w:type="dxa"/>
            <w:vAlign w:val="bottom"/>
            <w:shd w:val="clear" w:color="auto" w:fill="007CBA"/>
          </w:tcPr>
          <w:p>
            <w:pPr>
              <w:spacing w:after="0"/>
              <w:rPr>
                <w:sz w:val="16"/>
                <w:szCs w:val="16"/>
                <w:color w:val="auto"/>
              </w:rPr>
            </w:pPr>
          </w:p>
        </w:tc>
        <w:tc>
          <w:tcPr>
            <w:tcW w:w="1180" w:type="dxa"/>
            <w:vAlign w:val="bottom"/>
            <w:tcBorders>
              <w:right w:val="single" w:sz="8" w:color="007CBA"/>
            </w:tcBorders>
            <w:shd w:val="clear" w:color="auto" w:fill="007CBA"/>
          </w:tcPr>
          <w:p>
            <w:pPr>
              <w:jc w:val="right"/>
              <w:ind w:right="519"/>
              <w:spacing w:after="0"/>
              <w:rPr>
                <w:sz w:val="20"/>
                <w:szCs w:val="20"/>
                <w:color w:val="auto"/>
              </w:rPr>
            </w:pPr>
            <w:r>
              <w:rPr>
                <w:rFonts w:ascii="Arial" w:cs="Arial" w:eastAsia="Arial" w:hAnsi="Arial"/>
                <w:sz w:val="16"/>
                <w:szCs w:val="16"/>
                <w:b w:val="1"/>
                <w:bCs w:val="1"/>
                <w:color w:val="FFFFFF"/>
              </w:rPr>
              <w:t>Annual</w:t>
            </w:r>
          </w:p>
        </w:tc>
        <w:tc>
          <w:tcPr>
            <w:tcW w:w="480" w:type="dxa"/>
            <w:vAlign w:val="bottom"/>
            <w:shd w:val="clear" w:color="auto" w:fill="007CBA"/>
          </w:tcPr>
          <w:p>
            <w:pPr>
              <w:spacing w:after="0"/>
              <w:rPr>
                <w:sz w:val="16"/>
                <w:szCs w:val="16"/>
                <w:color w:val="auto"/>
              </w:rPr>
            </w:pPr>
          </w:p>
        </w:tc>
        <w:tc>
          <w:tcPr>
            <w:tcW w:w="1300" w:type="dxa"/>
            <w:vAlign w:val="bottom"/>
            <w:shd w:val="clear" w:color="auto" w:fill="007CBA"/>
          </w:tcPr>
          <w:p>
            <w:pPr>
              <w:jc w:val="right"/>
              <w:ind w:right="599"/>
              <w:spacing w:after="0"/>
              <w:rPr>
                <w:sz w:val="20"/>
                <w:szCs w:val="20"/>
                <w:color w:val="auto"/>
              </w:rPr>
            </w:pPr>
            <w:r>
              <w:rPr>
                <w:rFonts w:ascii="Arial" w:cs="Arial" w:eastAsia="Arial" w:hAnsi="Arial"/>
                <w:sz w:val="16"/>
                <w:szCs w:val="16"/>
                <w:b w:val="1"/>
                <w:bCs w:val="1"/>
                <w:color w:val="FFFFFF"/>
              </w:rPr>
              <w:t>Annual</w:t>
            </w:r>
          </w:p>
        </w:tc>
      </w:tr>
      <w:tr>
        <w:trPr>
          <w:trHeight w:val="221"/>
        </w:trPr>
        <w:tc>
          <w:tcPr>
            <w:tcW w:w="58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NEO</w:t>
            </w:r>
          </w:p>
        </w:tc>
        <w:tc>
          <w:tcPr>
            <w:tcW w:w="20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 of Salary)</w:t>
            </w:r>
          </w:p>
        </w:tc>
        <w:tc>
          <w:tcPr>
            <w:tcW w:w="1680" w:type="dxa"/>
            <w:vAlign w:val="bottom"/>
            <w:tcBorders>
              <w:right w:val="single" w:sz="8" w:color="007CBA"/>
            </w:tcBorders>
            <w:gridSpan w:val="2"/>
            <w:shd w:val="clear" w:color="auto" w:fill="007CBA"/>
          </w:tcPr>
          <w:p>
            <w:pPr>
              <w:ind w:left="400"/>
              <w:spacing w:after="0"/>
              <w:rPr>
                <w:sz w:val="20"/>
                <w:szCs w:val="20"/>
                <w:color w:val="auto"/>
              </w:rPr>
            </w:pPr>
            <w:r>
              <w:rPr>
                <w:rFonts w:ascii="Arial" w:cs="Arial" w:eastAsia="Arial" w:hAnsi="Arial"/>
                <w:sz w:val="16"/>
                <w:szCs w:val="16"/>
                <w:b w:val="1"/>
                <w:bCs w:val="1"/>
                <w:color w:val="FFFFFF"/>
              </w:rPr>
              <w:t>Incentive**</w:t>
            </w:r>
          </w:p>
        </w:tc>
        <w:tc>
          <w:tcPr>
            <w:tcW w:w="480" w:type="dxa"/>
            <w:vAlign w:val="bottom"/>
            <w:shd w:val="clear" w:color="auto" w:fill="007CBA"/>
          </w:tcPr>
          <w:p>
            <w:pPr>
              <w:spacing w:after="0"/>
              <w:rPr>
                <w:sz w:val="19"/>
                <w:szCs w:val="19"/>
                <w:color w:val="auto"/>
              </w:rPr>
            </w:pPr>
          </w:p>
        </w:tc>
        <w:tc>
          <w:tcPr>
            <w:tcW w:w="1300" w:type="dxa"/>
            <w:vAlign w:val="bottom"/>
            <w:shd w:val="clear" w:color="auto" w:fill="007CBA"/>
          </w:tcPr>
          <w:p>
            <w:pPr>
              <w:jc w:val="right"/>
              <w:ind w:right="519"/>
              <w:spacing w:after="0"/>
              <w:rPr>
                <w:sz w:val="20"/>
                <w:szCs w:val="20"/>
                <w:color w:val="auto"/>
              </w:rPr>
            </w:pPr>
            <w:r>
              <w:rPr>
                <w:rFonts w:ascii="Arial" w:cs="Arial" w:eastAsia="Arial" w:hAnsi="Arial"/>
                <w:sz w:val="16"/>
                <w:szCs w:val="16"/>
                <w:b w:val="1"/>
                <w:bCs w:val="1"/>
                <w:color w:val="FFFFFF"/>
                <w:w w:val="97"/>
              </w:rPr>
              <w:t>Incentive</w:t>
            </w:r>
          </w:p>
        </w:tc>
      </w:tr>
      <w:tr>
        <w:trPr>
          <w:trHeight w:val="189"/>
        </w:trPr>
        <w:tc>
          <w:tcPr>
            <w:tcW w:w="588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C. Howard Nye*</w:t>
            </w:r>
          </w:p>
        </w:tc>
        <w:tc>
          <w:tcPr>
            <w:tcW w:w="2080" w:type="dxa"/>
            <w:vAlign w:val="bottom"/>
            <w:tcBorders>
              <w:right w:val="single" w:sz="8" w:color="007CBA"/>
            </w:tcBorders>
          </w:tcPr>
          <w:p>
            <w:pPr>
              <w:jc w:val="right"/>
              <w:ind w:right="159"/>
              <w:spacing w:after="0"/>
              <w:rPr>
                <w:sz w:val="20"/>
                <w:szCs w:val="20"/>
                <w:color w:val="auto"/>
              </w:rPr>
            </w:pPr>
            <w:r>
              <w:rPr>
                <w:rFonts w:ascii="Arial" w:cs="Arial" w:eastAsia="Arial" w:hAnsi="Arial"/>
                <w:sz w:val="16"/>
                <w:szCs w:val="16"/>
                <w:color w:val="auto"/>
              </w:rPr>
              <w:t>110%*</w:t>
            </w:r>
          </w:p>
        </w:tc>
        <w:tc>
          <w:tcPr>
            <w:tcW w:w="50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007CBA"/>
            </w:tcBorders>
          </w:tcPr>
          <w:p>
            <w:pPr>
              <w:jc w:val="right"/>
              <w:ind w:right="339"/>
              <w:spacing w:after="0"/>
              <w:rPr>
                <w:sz w:val="20"/>
                <w:szCs w:val="20"/>
                <w:color w:val="auto"/>
              </w:rPr>
            </w:pPr>
            <w:r>
              <w:rPr>
                <w:rFonts w:ascii="Arial" w:cs="Arial" w:eastAsia="Arial" w:hAnsi="Arial"/>
                <w:sz w:val="16"/>
                <w:szCs w:val="16"/>
                <w:color w:val="auto"/>
              </w:rPr>
              <w:t>1,105,500</w:t>
            </w:r>
          </w:p>
        </w:tc>
        <w:tc>
          <w:tcPr>
            <w:tcW w:w="480" w:type="dxa"/>
            <w:vAlign w:val="bottom"/>
          </w:tcPr>
          <w:p>
            <w:pPr>
              <w:ind w:left="38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9"/>
              <w:spacing w:after="0"/>
              <w:rPr>
                <w:sz w:val="20"/>
                <w:szCs w:val="20"/>
                <w:color w:val="auto"/>
              </w:rPr>
            </w:pPr>
            <w:r>
              <w:rPr>
                <w:rFonts w:ascii="Arial" w:cs="Arial" w:eastAsia="Arial" w:hAnsi="Arial"/>
                <w:sz w:val="16"/>
                <w:szCs w:val="16"/>
                <w:color w:val="auto"/>
              </w:rPr>
              <w:t>2,000,000</w:t>
            </w:r>
          </w:p>
        </w:tc>
      </w:tr>
      <w:tr>
        <w:trPr>
          <w:trHeight w:val="189"/>
        </w:trPr>
        <w:tc>
          <w:tcPr>
            <w:tcW w:w="5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Anne H. Lloyd</w:t>
            </w:r>
          </w:p>
        </w:tc>
        <w:tc>
          <w:tcPr>
            <w:tcW w:w="2080" w:type="dxa"/>
            <w:vAlign w:val="bottom"/>
            <w:tcBorders>
              <w:right w:val="single" w:sz="8" w:color="007CBA"/>
            </w:tcBorders>
            <w:shd w:val="clear" w:color="auto" w:fill="E5F1F8"/>
          </w:tcPr>
          <w:p>
            <w:pPr>
              <w:jc w:val="right"/>
              <w:ind w:right="219"/>
              <w:spacing w:after="0"/>
              <w:rPr>
                <w:sz w:val="20"/>
                <w:szCs w:val="20"/>
                <w:color w:val="auto"/>
              </w:rPr>
            </w:pPr>
            <w:r>
              <w:rPr>
                <w:rFonts w:ascii="Arial" w:cs="Arial" w:eastAsia="Arial" w:hAnsi="Arial"/>
                <w:sz w:val="16"/>
                <w:szCs w:val="16"/>
                <w:color w:val="auto"/>
              </w:rPr>
              <w:t>80%</w:t>
            </w:r>
          </w:p>
        </w:tc>
        <w:tc>
          <w:tcPr>
            <w:tcW w:w="500" w:type="dxa"/>
            <w:vAlign w:val="bottom"/>
            <w:shd w:val="clear" w:color="auto" w:fill="E5F1F8"/>
          </w:tcPr>
          <w:p>
            <w:pPr>
              <w:ind w:left="36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007CBA"/>
            </w:tcBorders>
            <w:shd w:val="clear" w:color="auto" w:fill="E5F1F8"/>
          </w:tcPr>
          <w:p>
            <w:pPr>
              <w:jc w:val="right"/>
              <w:ind w:right="339"/>
              <w:spacing w:after="0"/>
              <w:rPr>
                <w:sz w:val="20"/>
                <w:szCs w:val="20"/>
                <w:color w:val="auto"/>
              </w:rPr>
            </w:pPr>
            <w:r>
              <w:rPr>
                <w:rFonts w:ascii="Arial" w:cs="Arial" w:eastAsia="Arial" w:hAnsi="Arial"/>
                <w:sz w:val="16"/>
                <w:szCs w:val="16"/>
                <w:color w:val="auto"/>
              </w:rPr>
              <w:t>432,680</w:t>
            </w:r>
          </w:p>
        </w:tc>
        <w:tc>
          <w:tcPr>
            <w:tcW w:w="480" w:type="dxa"/>
            <w:vAlign w:val="bottom"/>
            <w:shd w:val="clear" w:color="auto" w:fill="E5F1F8"/>
          </w:tcPr>
          <w:p>
            <w:pPr>
              <w:ind w:left="38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5F1F8"/>
          </w:tcPr>
          <w:p>
            <w:pPr>
              <w:jc w:val="right"/>
              <w:ind w:right="419"/>
              <w:spacing w:after="0"/>
              <w:rPr>
                <w:sz w:val="20"/>
                <w:szCs w:val="20"/>
                <w:color w:val="auto"/>
              </w:rPr>
            </w:pPr>
            <w:r>
              <w:rPr>
                <w:rFonts w:ascii="Arial" w:cs="Arial" w:eastAsia="Arial" w:hAnsi="Arial"/>
                <w:sz w:val="16"/>
                <w:szCs w:val="16"/>
                <w:color w:val="auto"/>
              </w:rPr>
              <w:t>657,674</w:t>
            </w:r>
          </w:p>
        </w:tc>
      </w:tr>
      <w:tr>
        <w:trPr>
          <w:trHeight w:val="189"/>
        </w:trPr>
        <w:tc>
          <w:tcPr>
            <w:tcW w:w="588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Roselyn R. Bar</w:t>
            </w:r>
          </w:p>
        </w:tc>
        <w:tc>
          <w:tcPr>
            <w:tcW w:w="2080" w:type="dxa"/>
            <w:vAlign w:val="bottom"/>
            <w:tcBorders>
              <w:right w:val="single" w:sz="8" w:color="007CBA"/>
            </w:tcBorders>
          </w:tcPr>
          <w:p>
            <w:pPr>
              <w:jc w:val="right"/>
              <w:ind w:right="219"/>
              <w:spacing w:after="0"/>
              <w:rPr>
                <w:sz w:val="20"/>
                <w:szCs w:val="20"/>
                <w:color w:val="auto"/>
              </w:rPr>
            </w:pPr>
            <w:r>
              <w:rPr>
                <w:rFonts w:ascii="Arial" w:cs="Arial" w:eastAsia="Arial" w:hAnsi="Arial"/>
                <w:sz w:val="16"/>
                <w:szCs w:val="16"/>
                <w:color w:val="auto"/>
              </w:rPr>
              <w:t>80%</w:t>
            </w:r>
          </w:p>
        </w:tc>
        <w:tc>
          <w:tcPr>
            <w:tcW w:w="500" w:type="dxa"/>
            <w:vAlign w:val="bottom"/>
          </w:tcPr>
          <w:p>
            <w:pPr>
              <w:ind w:left="36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007CBA"/>
            </w:tcBorders>
          </w:tcPr>
          <w:p>
            <w:pPr>
              <w:jc w:val="right"/>
              <w:ind w:right="339"/>
              <w:spacing w:after="0"/>
              <w:rPr>
                <w:sz w:val="20"/>
                <w:szCs w:val="20"/>
                <w:color w:val="auto"/>
              </w:rPr>
            </w:pPr>
            <w:r>
              <w:rPr>
                <w:rFonts w:ascii="Arial" w:cs="Arial" w:eastAsia="Arial" w:hAnsi="Arial"/>
                <w:sz w:val="16"/>
                <w:szCs w:val="16"/>
                <w:color w:val="auto"/>
              </w:rPr>
              <w:t>397,267</w:t>
            </w:r>
          </w:p>
        </w:tc>
        <w:tc>
          <w:tcPr>
            <w:tcW w:w="480" w:type="dxa"/>
            <w:vAlign w:val="bottom"/>
          </w:tcPr>
          <w:p>
            <w:pPr>
              <w:ind w:left="38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9"/>
              <w:spacing w:after="0"/>
              <w:rPr>
                <w:sz w:val="20"/>
                <w:szCs w:val="20"/>
                <w:color w:val="auto"/>
              </w:rPr>
            </w:pPr>
            <w:r>
              <w:rPr>
                <w:rFonts w:ascii="Arial" w:cs="Arial" w:eastAsia="Arial" w:hAnsi="Arial"/>
                <w:sz w:val="16"/>
                <w:szCs w:val="16"/>
                <w:color w:val="auto"/>
              </w:rPr>
              <w:t>623,709</w:t>
            </w:r>
          </w:p>
        </w:tc>
      </w:tr>
      <w:tr>
        <w:trPr>
          <w:trHeight w:val="189"/>
        </w:trPr>
        <w:tc>
          <w:tcPr>
            <w:tcW w:w="5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Donald A. McCunniff</w:t>
            </w:r>
          </w:p>
        </w:tc>
        <w:tc>
          <w:tcPr>
            <w:tcW w:w="2080" w:type="dxa"/>
            <w:vAlign w:val="bottom"/>
            <w:tcBorders>
              <w:right w:val="single" w:sz="8" w:color="007CBA"/>
            </w:tcBorders>
            <w:shd w:val="clear" w:color="auto" w:fill="E5F1F8"/>
          </w:tcPr>
          <w:p>
            <w:pPr>
              <w:jc w:val="right"/>
              <w:ind w:right="219"/>
              <w:spacing w:after="0"/>
              <w:rPr>
                <w:sz w:val="20"/>
                <w:szCs w:val="20"/>
                <w:color w:val="auto"/>
              </w:rPr>
            </w:pPr>
            <w:r>
              <w:rPr>
                <w:rFonts w:ascii="Arial" w:cs="Arial" w:eastAsia="Arial" w:hAnsi="Arial"/>
                <w:sz w:val="16"/>
                <w:szCs w:val="16"/>
                <w:color w:val="auto"/>
              </w:rPr>
              <w:t>70%</w:t>
            </w:r>
          </w:p>
        </w:tc>
        <w:tc>
          <w:tcPr>
            <w:tcW w:w="500" w:type="dxa"/>
            <w:vAlign w:val="bottom"/>
            <w:shd w:val="clear" w:color="auto" w:fill="E5F1F8"/>
          </w:tcPr>
          <w:p>
            <w:pPr>
              <w:ind w:left="36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007CBA"/>
            </w:tcBorders>
            <w:shd w:val="clear" w:color="auto" w:fill="E5F1F8"/>
          </w:tcPr>
          <w:p>
            <w:pPr>
              <w:jc w:val="right"/>
              <w:ind w:right="339"/>
              <w:spacing w:after="0"/>
              <w:rPr>
                <w:sz w:val="20"/>
                <w:szCs w:val="20"/>
                <w:color w:val="auto"/>
              </w:rPr>
            </w:pPr>
            <w:r>
              <w:rPr>
                <w:rFonts w:ascii="Arial" w:cs="Arial" w:eastAsia="Arial" w:hAnsi="Arial"/>
                <w:sz w:val="16"/>
                <w:szCs w:val="16"/>
                <w:color w:val="auto"/>
              </w:rPr>
              <w:t>259,035</w:t>
            </w:r>
          </w:p>
        </w:tc>
        <w:tc>
          <w:tcPr>
            <w:tcW w:w="480" w:type="dxa"/>
            <w:vAlign w:val="bottom"/>
            <w:shd w:val="clear" w:color="auto" w:fill="E5F1F8"/>
          </w:tcPr>
          <w:p>
            <w:pPr>
              <w:ind w:left="38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5F1F8"/>
          </w:tcPr>
          <w:p>
            <w:pPr>
              <w:jc w:val="right"/>
              <w:ind w:right="419"/>
              <w:spacing w:after="0"/>
              <w:rPr>
                <w:sz w:val="20"/>
                <w:szCs w:val="20"/>
                <w:color w:val="auto"/>
              </w:rPr>
            </w:pPr>
            <w:r>
              <w:rPr>
                <w:rFonts w:ascii="Arial" w:cs="Arial" w:eastAsia="Arial" w:hAnsi="Arial"/>
                <w:sz w:val="16"/>
                <w:szCs w:val="16"/>
                <w:color w:val="auto"/>
              </w:rPr>
              <w:t>404,095</w:t>
            </w:r>
          </w:p>
        </w:tc>
      </w:tr>
      <w:tr>
        <w:trPr>
          <w:trHeight w:val="189"/>
        </w:trPr>
        <w:tc>
          <w:tcPr>
            <w:tcW w:w="58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6"/>
                <w:szCs w:val="16"/>
                <w:color w:val="auto"/>
              </w:rPr>
              <w:t>Daniel L. Grant</w:t>
            </w:r>
          </w:p>
        </w:tc>
        <w:tc>
          <w:tcPr>
            <w:tcW w:w="2080" w:type="dxa"/>
            <w:vAlign w:val="bottom"/>
            <w:tcBorders>
              <w:bottom w:val="single" w:sz="8" w:color="007CBA"/>
              <w:right w:val="single" w:sz="8" w:color="007CBA"/>
            </w:tcBorders>
          </w:tcPr>
          <w:p>
            <w:pPr>
              <w:jc w:val="right"/>
              <w:ind w:right="219"/>
              <w:spacing w:after="0"/>
              <w:rPr>
                <w:sz w:val="20"/>
                <w:szCs w:val="20"/>
                <w:color w:val="auto"/>
              </w:rPr>
            </w:pPr>
            <w:r>
              <w:rPr>
                <w:rFonts w:ascii="Arial" w:cs="Arial" w:eastAsia="Arial" w:hAnsi="Arial"/>
                <w:sz w:val="16"/>
                <w:szCs w:val="16"/>
                <w:color w:val="auto"/>
              </w:rPr>
              <w:t>70%</w:t>
            </w:r>
          </w:p>
        </w:tc>
        <w:tc>
          <w:tcPr>
            <w:tcW w:w="500" w:type="dxa"/>
            <w:vAlign w:val="bottom"/>
            <w:tcBorders>
              <w:bottom w:val="single" w:sz="8" w:color="007CBA"/>
            </w:tcBorders>
          </w:tcPr>
          <w:p>
            <w:pPr>
              <w:ind w:left="3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7CBA"/>
              <w:right w:val="single" w:sz="8" w:color="007CBA"/>
            </w:tcBorders>
          </w:tcPr>
          <w:p>
            <w:pPr>
              <w:jc w:val="right"/>
              <w:ind w:right="339"/>
              <w:spacing w:after="0"/>
              <w:rPr>
                <w:sz w:val="20"/>
                <w:szCs w:val="20"/>
                <w:color w:val="auto"/>
              </w:rPr>
            </w:pPr>
            <w:r>
              <w:rPr>
                <w:rFonts w:ascii="Arial" w:cs="Arial" w:eastAsia="Arial" w:hAnsi="Arial"/>
                <w:sz w:val="16"/>
                <w:szCs w:val="16"/>
                <w:color w:val="auto"/>
              </w:rPr>
              <w:t>244,475</w:t>
            </w:r>
          </w:p>
        </w:tc>
        <w:tc>
          <w:tcPr>
            <w:tcW w:w="480" w:type="dxa"/>
            <w:vAlign w:val="bottom"/>
            <w:tcBorders>
              <w:bottom w:val="single" w:sz="8" w:color="007CBA"/>
            </w:tcBorders>
          </w:tcPr>
          <w:p>
            <w:pPr>
              <w:ind w:left="38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007CBA"/>
            </w:tcBorders>
          </w:tcPr>
          <w:p>
            <w:pPr>
              <w:jc w:val="right"/>
              <w:ind w:right="419"/>
              <w:spacing w:after="0"/>
              <w:rPr>
                <w:sz w:val="20"/>
                <w:szCs w:val="20"/>
                <w:color w:val="auto"/>
              </w:rPr>
            </w:pPr>
            <w:r>
              <w:rPr>
                <w:rFonts w:ascii="Arial" w:cs="Arial" w:eastAsia="Arial" w:hAnsi="Arial"/>
                <w:sz w:val="16"/>
                <w:szCs w:val="16"/>
                <w:color w:val="auto"/>
              </w:rPr>
              <w:t>378,936</w:t>
            </w:r>
          </w:p>
        </w:tc>
      </w:tr>
    </w:tbl>
    <w:p>
      <w:pPr>
        <w:spacing w:after="0" w:line="80" w:lineRule="exact"/>
        <w:rPr>
          <w:sz w:val="20"/>
          <w:szCs w:val="20"/>
          <w:color w:val="auto"/>
        </w:rPr>
      </w:pPr>
    </w:p>
    <w:p>
      <w:pPr>
        <w:ind w:left="340" w:hanging="332"/>
        <w:spacing w:after="0" w:line="231"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Nye has no target bonus under the Executive Incentive Plan, but the Committee in 2016 generally considered an appropriate target for Mr. Nye to be 110% of base salary earnings in evaluating his bonus level.</w:t>
      </w:r>
    </w:p>
    <w:p>
      <w:pPr>
        <w:spacing w:after="0" w:line="68"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actual base earnings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86995</wp:posOffset>
            </wp:positionV>
            <wp:extent cx="411480" cy="248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b w:val="1"/>
          <w:bCs w:val="1"/>
          <w:color w:val="auto"/>
        </w:rPr>
        <w:t>Annual Incentive Feature: Performance-Based Stock Purchase Plan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Incentive Stock Plan provides an executive the opportunity to invest a portion of his or her annual bonus in Martin Marietta stock. There are both voluntary and mandatory deferrals under the plan.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voluntary election allows executives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The discount is used to account for the risk of trading current cash compensation for “at-risk” shares which may decline in value.</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mandatory portion requires executives to invest a minimum of 20% of their cash bonus towards the crediting of units under the plan. The CEO is required to invest a minimum of 35% of his cash bonus towards the crediting of such units.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units generally vest in three years from the date of the award and are distributed in shares of common stock. If an executive officer voluntarily terminates employment before the units vest, the stock units are forfeited and the executive officer receives a cash payment equal to the lesser of the cash that was invested or the fair value of the share units on the day of termination.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 term to reward these executive officers in line with our shareholders when our stock price increases.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Compensation</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2016, we made changes to the Long-Term Incentive (“LTI”) awards that included adding PSUs and eliminating stock options. The new plan’s design reflects the objectives of our compensation program and is in-line with current market approaches, based on the advice of the Committee’s independent compensation consultant. The guiding principles in making these changes were to simplify the LTI program, make it more transparent, and enhance the line of sight between our performance and compensation.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award in 2016 was based on a fixed percentage of base salary with some variation for position and grade, which amount was converted into common stock units based on the average Martin Marietta stock price for the 20-day period ending on February 4, 2016, the day the Martin Marietta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left="80"/>
        <w:spacing w:after="0" w:line="276" w:lineRule="exact"/>
        <w:rPr>
          <w:sz w:val="20"/>
          <w:szCs w:val="20"/>
          <w:color w:val="auto"/>
        </w:rPr>
      </w:pPr>
      <w:r>
        <w:rPr>
          <w:rFonts w:ascii="Arial" w:cs="Arial" w:eastAsia="Arial" w:hAnsi="Arial"/>
          <w:sz w:val="13"/>
          <w:szCs w:val="13"/>
          <w:color w:val="auto"/>
        </w:rPr>
        <w:t xml:space="preserve">Considerations Regarding 2016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-674370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confirmed the award, or $122.469. This award value was then divided into PSUs and RSUs, with 2/3 of the total award for NEOs consisting of target level for the PSUs and 1/3 of the total award for NEOs consisting of RSUs. The Committee believes that the incentive mix (PSUs and RSUs) constitutes a simplified pay process and streamlined plan, which more fully reflects the performance of the Company and is better aligned with each manager’s role within Martin Marietta.</w:t>
      </w:r>
    </w:p>
    <w:p>
      <w:pPr>
        <w:spacing w:after="0" w:line="182"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One of our compensation objectives is to align the potential rewards to senior management with shareholder value. In that regard, the PSUs give the recipient the opportunity to receive Martin Marietta common stock if specific performance goals are achieved, consisting of:</w:t>
      </w:r>
    </w:p>
    <w:p>
      <w:pPr>
        <w:spacing w:after="0" w:line="48" w:lineRule="exact"/>
        <w:rPr>
          <w:sz w:val="20"/>
          <w:szCs w:val="20"/>
          <w:color w:val="auto"/>
        </w:rPr>
      </w:pPr>
    </w:p>
    <w:p>
      <w:pPr>
        <w:ind w:left="340" w:right="120" w:hanging="331"/>
        <w:spacing w:after="0" w:line="28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Return on Sales (“</w:t>
      </w:r>
      <w:r>
        <w:rPr>
          <w:rFonts w:ascii="Arial" w:cs="Arial" w:eastAsia="Arial" w:hAnsi="Arial"/>
          <w:sz w:val="16"/>
          <w:szCs w:val="16"/>
          <w:b w:val="1"/>
          <w:bCs w:val="1"/>
          <w:color w:val="auto"/>
        </w:rPr>
        <w:t>ROS</w:t>
      </w:r>
      <w:r>
        <w:rPr>
          <w:rFonts w:ascii="Arial" w:cs="Arial" w:eastAsia="Arial" w:hAnsi="Arial"/>
          <w:sz w:val="16"/>
          <w:szCs w:val="16"/>
          <w:color w:val="auto"/>
        </w:rPr>
        <w:t>”), measuring cost management and comprising 37.5% of the total award,</w:t>
      </w:r>
    </w:p>
    <w:p>
      <w:pPr>
        <w:spacing w:after="0" w:line="40" w:lineRule="exact"/>
        <w:rPr>
          <w:rFonts w:ascii="Arial" w:cs="Arial" w:eastAsia="Arial" w:hAnsi="Arial"/>
          <w:sz w:val="16"/>
          <w:szCs w:val="16"/>
          <w:color w:val="auto"/>
        </w:rPr>
      </w:pPr>
    </w:p>
    <w:p>
      <w:pPr>
        <w:jc w:val="both"/>
        <w:ind w:left="340" w:right="120" w:hanging="331"/>
        <w:spacing w:after="0" w:line="253"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Earnings before Interest, Taxes, Depreciation, Depletion and Amortization (“</w:t>
      </w:r>
      <w:r>
        <w:rPr>
          <w:rFonts w:ascii="Arial" w:cs="Arial" w:eastAsia="Arial" w:hAnsi="Arial"/>
          <w:sz w:val="16"/>
          <w:szCs w:val="16"/>
          <w:b w:val="1"/>
          <w:bCs w:val="1"/>
          <w:color w:val="auto"/>
        </w:rPr>
        <w:t>EBITDA</w:t>
      </w:r>
      <w:r>
        <w:rPr>
          <w:rFonts w:ascii="Arial" w:cs="Arial" w:eastAsia="Arial" w:hAnsi="Arial"/>
          <w:sz w:val="16"/>
          <w:szCs w:val="16"/>
          <w:color w:val="auto"/>
        </w:rPr>
        <w:t>”), measuring profitability and comprising 37.5% of the total award, and</w:t>
      </w:r>
    </w:p>
    <w:p>
      <w:pPr>
        <w:spacing w:after="0" w:line="46" w:lineRule="exact"/>
        <w:rPr>
          <w:rFonts w:ascii="Arial" w:cs="Arial" w:eastAsia="Arial" w:hAnsi="Arial"/>
          <w:sz w:val="16"/>
          <w:szCs w:val="16"/>
          <w:color w:val="auto"/>
        </w:rPr>
      </w:pPr>
    </w:p>
    <w:p>
      <w:pPr>
        <w:jc w:val="both"/>
        <w:ind w:left="340" w:right="140" w:hanging="331"/>
        <w:spacing w:after="0" w:line="26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Relative Total Shareholder Return (“</w:t>
      </w:r>
      <w:r>
        <w:rPr>
          <w:rFonts w:ascii="Arial" w:cs="Arial" w:eastAsia="Arial" w:hAnsi="Arial"/>
          <w:sz w:val="16"/>
          <w:szCs w:val="16"/>
          <w:b w:val="1"/>
          <w:bCs w:val="1"/>
          <w:color w:val="auto"/>
        </w:rPr>
        <w:t>rTSR</w:t>
      </w:r>
      <w:r>
        <w:rPr>
          <w:rFonts w:ascii="Arial" w:cs="Arial" w:eastAsia="Arial" w:hAnsi="Arial"/>
          <w:sz w:val="16"/>
          <w:szCs w:val="16"/>
          <w:color w:val="auto"/>
        </w:rPr>
        <w:t>”), measuring Martin Marietta’s performance against a specified group of peers and comprising 25% of the total award.</w:t>
      </w:r>
    </w:p>
    <w:p>
      <w:pPr>
        <w:spacing w:after="0" w:line="151"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ROS and EBITDA are two of the drivers of our performance and metrics that interest our investors. The total payout opportunity for PSUs is 50% of target if the threshold level is satisfied, 100% of target if the target level is satisfied, and 200% of target if the maximum level is satisfied. The threshold must be satisfied to receive PSUs for each performance measure. If the threshold is not met for any of the metrics, none of the PSUs will vest. Performance in each metric is measured independently, so PSUs can be earned as long as the threshold is satisfied for at least one level. The “Target” level is generally viewed as achievable. The “Maximum” level is a stretch that is attainable if we outperform in the area measured.</w:t>
      </w:r>
    </w:p>
    <w:p>
      <w:pPr>
        <w:spacing w:after="0" w:line="16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performance will be measured in January 2019 for the three-year period beginning January 2016 through December 2018 to determine (1) the three-year average ROS for Martin Marietta against the target identified in the PSU Award Agreement, (2) the three-year cumulative EBITDA against the target identified in the PSU Award Agreement, and (3) the rTSR for the three-year period as against the rTSR Peer Group, each as set forth in the PSU Award Agreement. Again, these targets reflect a stretch effort at the maximum levels. The Committee in its discretion may adjust the final award values, either collectively or on an individual basis, in recognition of factors that are unusual or nonrecurring.</w:t>
      </w:r>
    </w:p>
    <w:p>
      <w:pPr>
        <w:spacing w:after="0" w:line="17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PSUs will convert to unrestricted common stock and be paid to the recipient conditioned upon and to the extent that the performance goals have been met, which will be determined in January 2019. These awards are also generally subject to continued employment through the date the PSUs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292100</wp:posOffset>
            </wp:positionV>
            <wp:extent cx="411480" cy="248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62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bl>
    <w:p>
      <w:pPr>
        <w:sectPr>
          <w:pgSz w:w="11900" w:h="16838" w:orient="portrait"/>
          <w:cols w:equalWidth="0" w:num="2">
            <w:col w:w="5480" w:space="340"/>
            <w:col w:w="560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Considerations Regarding 2016 Compensation</w:t>
      </w:r>
    </w:p>
    <w:p>
      <w:pPr>
        <w:sectPr>
          <w:pgSz w:w="11900" w:h="16838" w:orient="portrait"/>
          <w:cols w:equalWidth="0" w:num="1">
            <w:col w:w="11420"/>
          </w:cols>
          <w:pgMar w:left="240" w:top="459" w:right="239" w:bottom="1440" w:gutter="0" w:footer="0" w:header="0"/>
        </w:sect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RSUs vest in three equal portions, each on the anniversary of the award date (February 4, 2016) over a period of three years, subject generally to continued employment through each one of those anniversaries. Once the restricted period ends (each anniversary for one third of the total RSU award), the recipient will be issued unrestricted shares of common stock (minus applicable taxes).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measurement period 2016-2018, the Committee utilized a peer group consisting of the following companies with which to compare the element of the PSU awards requiring achievement of TSR at the end of the three-year period, ending December 31, 2018. These companies were chosen with a focus on companies in similar industries as Martin Marietta with annual revenue and market values in a range that is between .2</w:t>
      </w:r>
    </w:p>
    <w:p>
      <w:pPr>
        <w:spacing w:after="0" w:line="367"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AECOM Technology</w:t>
      </w:r>
      <w:r>
        <w:rPr>
          <w:sz w:val="20"/>
          <w:szCs w:val="20"/>
          <w:color w:val="auto"/>
        </w:rPr>
        <w:tab/>
      </w:r>
      <w:r>
        <w:rPr>
          <w:rFonts w:ascii="Arial" w:cs="Arial" w:eastAsia="Arial" w:hAnsi="Arial"/>
          <w:sz w:val="16"/>
          <w:szCs w:val="16"/>
          <w:color w:val="auto"/>
        </w:rPr>
        <w:t>Eagle Materials</w:t>
      </w:r>
    </w:p>
    <w:p>
      <w:pPr>
        <w:spacing w:after="0" w:line="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Alcoa</w:t>
      </w:r>
      <w:r>
        <w:rPr>
          <w:sz w:val="20"/>
          <w:szCs w:val="20"/>
          <w:color w:val="auto"/>
        </w:rPr>
        <w:tab/>
      </w:r>
      <w:r>
        <w:rPr>
          <w:rFonts w:ascii="Arial" w:cs="Arial" w:eastAsia="Arial" w:hAnsi="Arial"/>
          <w:sz w:val="16"/>
          <w:szCs w:val="16"/>
          <w:color w:val="auto"/>
        </w:rPr>
        <w:t>Emcor Group</w:t>
      </w:r>
    </w:p>
    <w:p>
      <w:pPr>
        <w:spacing w:after="0" w:line="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Allegheny Technologies</w:t>
      </w:r>
      <w:r>
        <w:rPr>
          <w:sz w:val="20"/>
          <w:szCs w:val="20"/>
          <w:color w:val="auto"/>
        </w:rPr>
        <w:tab/>
      </w:r>
      <w:r>
        <w:rPr>
          <w:rFonts w:ascii="Arial" w:cs="Arial" w:eastAsia="Arial" w:hAnsi="Arial"/>
          <w:sz w:val="16"/>
          <w:szCs w:val="16"/>
          <w:color w:val="auto"/>
        </w:rPr>
        <w:t>Fluor Corporation</w:t>
      </w:r>
    </w:p>
    <w:p>
      <w:pPr>
        <w:spacing w:after="0" w:line="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Carpenter Technology</w:t>
      </w:r>
      <w:r>
        <w:rPr>
          <w:sz w:val="20"/>
          <w:szCs w:val="20"/>
          <w:color w:val="auto"/>
        </w:rPr>
        <w:tab/>
      </w:r>
      <w:r>
        <w:rPr>
          <w:rFonts w:ascii="Arial" w:cs="Arial" w:eastAsia="Arial" w:hAnsi="Arial"/>
          <w:sz w:val="16"/>
          <w:szCs w:val="16"/>
          <w:color w:val="auto"/>
        </w:rPr>
        <w:t>Freeport-McMoran</w:t>
      </w:r>
    </w:p>
    <w:p>
      <w:pPr>
        <w:spacing w:after="0" w:line="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Century Aluminum</w:t>
      </w:r>
      <w:r>
        <w:rPr>
          <w:sz w:val="20"/>
          <w:szCs w:val="20"/>
          <w:color w:val="auto"/>
        </w:rPr>
        <w:tab/>
      </w:r>
      <w:r>
        <w:rPr>
          <w:rFonts w:ascii="Arial" w:cs="Arial" w:eastAsia="Arial" w:hAnsi="Arial"/>
          <w:sz w:val="16"/>
          <w:szCs w:val="16"/>
          <w:color w:val="auto"/>
        </w:rPr>
        <w:t>Granite Construction</w:t>
      </w:r>
    </w:p>
    <w:p>
      <w:pPr>
        <w:spacing w:after="0" w:line="5"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Commercial Metals</w:t>
      </w:r>
      <w:r>
        <w:rPr>
          <w:sz w:val="20"/>
          <w:szCs w:val="20"/>
          <w:color w:val="auto"/>
        </w:rPr>
        <w:tab/>
      </w:r>
      <w:r>
        <w:rPr>
          <w:rFonts w:ascii="Arial" w:cs="Arial" w:eastAsia="Arial" w:hAnsi="Arial"/>
          <w:sz w:val="16"/>
          <w:szCs w:val="16"/>
          <w:color w:val="auto"/>
        </w:rPr>
        <w:t>Jacobs Engineering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Compass Minerals International</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right="120"/>
        <w:spacing w:after="0" w:line="252" w:lineRule="auto"/>
        <w:rPr>
          <w:sz w:val="20"/>
          <w:szCs w:val="20"/>
          <w:color w:val="auto"/>
        </w:rPr>
      </w:pPr>
      <w:r>
        <w:rPr>
          <w:rFonts w:ascii="Arial" w:cs="Arial" w:eastAsia="Arial" w:hAnsi="Arial"/>
          <w:sz w:val="16"/>
          <w:szCs w:val="16"/>
          <w:color w:val="auto"/>
        </w:rPr>
        <w:t>and 1.5 times that of Martin Marietta. A governance feature of the PSU award is that this portion of the payments is capped at target if the Company’s three-year TSR return is negative, regardless of the rTSR ranking.</w:t>
      </w:r>
    </w:p>
    <w:p>
      <w:pPr>
        <w:spacing w:after="0" w:line="366"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2016-2018 TSR Peer Group of 23 companies were identified according to the following criteria and consisted of the following:</w:t>
      </w:r>
    </w:p>
    <w:p>
      <w:pPr>
        <w:spacing w:after="0" w:line="61" w:lineRule="exact"/>
        <w:rPr>
          <w:sz w:val="20"/>
          <w:szCs w:val="20"/>
          <w:color w:val="auto"/>
        </w:rPr>
      </w:pPr>
    </w:p>
    <w:p>
      <w:pPr>
        <w:ind w:left="380" w:right="140" w:hanging="291"/>
        <w:spacing w:after="0" w:line="260" w:lineRule="auto"/>
        <w:tabs>
          <w:tab w:leader="none" w:pos="380" w:val="left"/>
        </w:tabs>
        <w:numPr>
          <w:ilvl w:val="0"/>
          <w:numId w:val="84"/>
        </w:numPr>
        <w:rPr>
          <w:rFonts w:ascii="Arial" w:cs="Arial" w:eastAsia="Arial" w:hAnsi="Arial"/>
          <w:sz w:val="16"/>
          <w:szCs w:val="16"/>
          <w:color w:val="007CBA"/>
        </w:rPr>
      </w:pPr>
      <w:r>
        <w:rPr>
          <w:rFonts w:ascii="Arial" w:cs="Arial" w:eastAsia="Arial" w:hAnsi="Arial"/>
          <w:sz w:val="16"/>
          <w:szCs w:val="16"/>
          <w:color w:val="auto"/>
        </w:rPr>
        <w:t>S&amp;P 1500 Materials companies in the Construction Materials, Metals &amp; Mining, and Forest Products industries</w:t>
      </w:r>
    </w:p>
    <w:p>
      <w:pPr>
        <w:spacing w:after="0" w:line="60" w:lineRule="exact"/>
        <w:rPr>
          <w:rFonts w:ascii="Arial" w:cs="Arial" w:eastAsia="Arial" w:hAnsi="Arial"/>
          <w:sz w:val="16"/>
          <w:szCs w:val="16"/>
          <w:color w:val="007CBA"/>
        </w:rPr>
      </w:pPr>
    </w:p>
    <w:p>
      <w:pPr>
        <w:ind w:left="380" w:right="120" w:hanging="291"/>
        <w:spacing w:after="0" w:line="260" w:lineRule="auto"/>
        <w:tabs>
          <w:tab w:leader="none" w:pos="380" w:val="left"/>
        </w:tabs>
        <w:numPr>
          <w:ilvl w:val="0"/>
          <w:numId w:val="84"/>
        </w:numPr>
        <w:rPr>
          <w:rFonts w:ascii="Arial" w:cs="Arial" w:eastAsia="Arial" w:hAnsi="Arial"/>
          <w:sz w:val="16"/>
          <w:szCs w:val="16"/>
          <w:color w:val="007CBA"/>
        </w:rPr>
      </w:pPr>
      <w:r>
        <w:rPr>
          <w:rFonts w:ascii="Arial" w:cs="Arial" w:eastAsia="Arial" w:hAnsi="Arial"/>
          <w:sz w:val="16"/>
          <w:szCs w:val="16"/>
          <w:color w:val="auto"/>
        </w:rPr>
        <w:t>S&amp;P 1500 Capital Goods companies in the Construction &amp; Engineering industries</w:t>
      </w:r>
    </w:p>
    <w:p>
      <w:pPr>
        <w:spacing w:after="0" w:line="60" w:lineRule="exact"/>
        <w:rPr>
          <w:rFonts w:ascii="Arial" w:cs="Arial" w:eastAsia="Arial" w:hAnsi="Arial"/>
          <w:sz w:val="16"/>
          <w:szCs w:val="16"/>
          <w:color w:val="007CBA"/>
        </w:rPr>
      </w:pPr>
    </w:p>
    <w:p>
      <w:pPr>
        <w:ind w:left="380" w:right="120" w:hanging="291"/>
        <w:spacing w:after="0" w:line="260" w:lineRule="auto"/>
        <w:tabs>
          <w:tab w:leader="none" w:pos="380" w:val="left"/>
        </w:tabs>
        <w:numPr>
          <w:ilvl w:val="0"/>
          <w:numId w:val="84"/>
        </w:numPr>
        <w:rPr>
          <w:rFonts w:ascii="Arial" w:cs="Arial" w:eastAsia="Arial" w:hAnsi="Arial"/>
          <w:sz w:val="16"/>
          <w:szCs w:val="16"/>
          <w:color w:val="007CBA"/>
        </w:rPr>
      </w:pPr>
      <w:r>
        <w:rPr>
          <w:rFonts w:ascii="Arial" w:cs="Arial" w:eastAsia="Arial" w:hAnsi="Arial"/>
          <w:sz w:val="16"/>
          <w:szCs w:val="16"/>
          <w:color w:val="auto"/>
        </w:rPr>
        <w:t>Market capitalization and annual revenues of at least 20% of Martin Marietta at December 31, 2015</w:t>
      </w:r>
    </w:p>
    <w:p>
      <w:pPr>
        <w:spacing w:after="0" w:line="115" w:lineRule="exact"/>
        <w:rPr>
          <w:sz w:val="20"/>
          <w:szCs w:val="20"/>
          <w:color w:val="auto"/>
        </w:rPr>
      </w:pPr>
    </w:p>
    <w:p>
      <w:pPr>
        <w:ind w:left="260"/>
        <w:spacing w:after="0"/>
        <w:tabs>
          <w:tab w:leader="none" w:pos="3080" w:val="left"/>
        </w:tabs>
        <w:rPr>
          <w:sz w:val="20"/>
          <w:szCs w:val="20"/>
          <w:color w:val="auto"/>
        </w:rPr>
      </w:pPr>
      <w:r>
        <w:rPr>
          <w:rFonts w:ascii="Arial" w:cs="Arial" w:eastAsia="Arial" w:hAnsi="Arial"/>
          <w:sz w:val="16"/>
          <w:szCs w:val="16"/>
          <w:color w:val="auto"/>
        </w:rPr>
        <w:t>KBR Inc.</w:t>
      </w:r>
      <w:r>
        <w:rPr>
          <w:sz w:val="20"/>
          <w:szCs w:val="20"/>
          <w:color w:val="auto"/>
        </w:rPr>
        <w:tab/>
      </w:r>
      <w:r>
        <w:rPr>
          <w:rFonts w:ascii="Arial" w:cs="Arial" w:eastAsia="Arial" w:hAnsi="Arial"/>
          <w:sz w:val="16"/>
          <w:szCs w:val="16"/>
          <w:color w:val="auto"/>
        </w:rPr>
        <w:t>Steel Dynamics</w:t>
      </w:r>
    </w:p>
    <w:p>
      <w:pPr>
        <w:spacing w:after="0" w:line="5" w:lineRule="exact"/>
        <w:rPr>
          <w:sz w:val="20"/>
          <w:szCs w:val="20"/>
          <w:color w:val="auto"/>
        </w:rPr>
      </w:pPr>
    </w:p>
    <w:p>
      <w:pPr>
        <w:ind w:left="260"/>
        <w:spacing w:after="0"/>
        <w:tabs>
          <w:tab w:leader="none" w:pos="3080" w:val="left"/>
        </w:tabs>
        <w:rPr>
          <w:sz w:val="20"/>
          <w:szCs w:val="20"/>
          <w:color w:val="auto"/>
        </w:rPr>
      </w:pPr>
      <w:r>
        <w:rPr>
          <w:rFonts w:ascii="Arial" w:cs="Arial" w:eastAsia="Arial" w:hAnsi="Arial"/>
          <w:sz w:val="16"/>
          <w:szCs w:val="16"/>
          <w:color w:val="auto"/>
        </w:rPr>
        <w:t>Louisiana Pacific</w:t>
      </w:r>
      <w:r>
        <w:rPr>
          <w:sz w:val="20"/>
          <w:szCs w:val="20"/>
          <w:color w:val="auto"/>
        </w:rPr>
        <w:tab/>
      </w:r>
      <w:r>
        <w:rPr>
          <w:rFonts w:ascii="Arial" w:cs="Arial" w:eastAsia="Arial" w:hAnsi="Arial"/>
          <w:sz w:val="16"/>
          <w:szCs w:val="16"/>
          <w:color w:val="auto"/>
        </w:rPr>
        <w:t>Stillwater Mining</w:t>
      </w:r>
    </w:p>
    <w:p>
      <w:pPr>
        <w:spacing w:after="0" w:line="5" w:lineRule="exact"/>
        <w:rPr>
          <w:sz w:val="20"/>
          <w:szCs w:val="20"/>
          <w:color w:val="auto"/>
        </w:rPr>
      </w:pPr>
    </w:p>
    <w:p>
      <w:pPr>
        <w:ind w:left="260"/>
        <w:spacing w:after="0"/>
        <w:tabs>
          <w:tab w:leader="none" w:pos="3080" w:val="left"/>
        </w:tabs>
        <w:rPr>
          <w:sz w:val="20"/>
          <w:szCs w:val="20"/>
          <w:color w:val="auto"/>
        </w:rPr>
      </w:pPr>
      <w:r>
        <w:rPr>
          <w:rFonts w:ascii="Arial" w:cs="Arial" w:eastAsia="Arial" w:hAnsi="Arial"/>
          <w:sz w:val="16"/>
          <w:szCs w:val="16"/>
          <w:color w:val="auto"/>
        </w:rPr>
        <w:t>Newmont Mining</w:t>
      </w:r>
      <w:r>
        <w:rPr>
          <w:sz w:val="20"/>
          <w:szCs w:val="20"/>
          <w:color w:val="auto"/>
        </w:rPr>
        <w:tab/>
      </w:r>
      <w:r>
        <w:rPr>
          <w:rFonts w:ascii="Arial" w:cs="Arial" w:eastAsia="Arial" w:hAnsi="Arial"/>
          <w:sz w:val="16"/>
          <w:szCs w:val="16"/>
          <w:color w:val="auto"/>
        </w:rPr>
        <w:t>TimkenSteel Corporation</w:t>
      </w:r>
    </w:p>
    <w:p>
      <w:pPr>
        <w:spacing w:after="0" w:line="5" w:lineRule="exact"/>
        <w:rPr>
          <w:sz w:val="20"/>
          <w:szCs w:val="20"/>
          <w:color w:val="auto"/>
        </w:rPr>
      </w:pPr>
    </w:p>
    <w:p>
      <w:pPr>
        <w:ind w:left="260"/>
        <w:spacing w:after="0"/>
        <w:tabs>
          <w:tab w:leader="none" w:pos="3080" w:val="left"/>
        </w:tabs>
        <w:rPr>
          <w:sz w:val="20"/>
          <w:szCs w:val="20"/>
          <w:color w:val="auto"/>
        </w:rPr>
      </w:pPr>
      <w:r>
        <w:rPr>
          <w:rFonts w:ascii="Arial" w:cs="Arial" w:eastAsia="Arial" w:hAnsi="Arial"/>
          <w:sz w:val="16"/>
          <w:szCs w:val="16"/>
          <w:color w:val="auto"/>
        </w:rPr>
        <w:t>Nucor Corporation</w:t>
      </w:r>
      <w:r>
        <w:rPr>
          <w:sz w:val="20"/>
          <w:szCs w:val="20"/>
          <w:color w:val="auto"/>
        </w:rPr>
        <w:tab/>
      </w:r>
      <w:r>
        <w:rPr>
          <w:rFonts w:ascii="Arial" w:cs="Arial" w:eastAsia="Arial" w:hAnsi="Arial"/>
          <w:sz w:val="16"/>
          <w:szCs w:val="16"/>
          <w:color w:val="auto"/>
        </w:rPr>
        <w:t>U.S. Steel</w:t>
      </w:r>
    </w:p>
    <w:p>
      <w:pPr>
        <w:spacing w:after="0" w:line="5" w:lineRule="exact"/>
        <w:rPr>
          <w:sz w:val="20"/>
          <w:szCs w:val="20"/>
          <w:color w:val="auto"/>
        </w:rPr>
      </w:pPr>
    </w:p>
    <w:p>
      <w:pPr>
        <w:ind w:left="260"/>
        <w:spacing w:after="0"/>
        <w:tabs>
          <w:tab w:leader="none" w:pos="3080" w:val="left"/>
        </w:tabs>
        <w:rPr>
          <w:sz w:val="20"/>
          <w:szCs w:val="20"/>
          <w:color w:val="auto"/>
        </w:rPr>
      </w:pPr>
      <w:r>
        <w:rPr>
          <w:rFonts w:ascii="Arial" w:cs="Arial" w:eastAsia="Arial" w:hAnsi="Arial"/>
          <w:sz w:val="16"/>
          <w:szCs w:val="16"/>
          <w:color w:val="auto"/>
        </w:rPr>
        <w:t>Quanta Services</w:t>
      </w:r>
      <w:r>
        <w:rPr>
          <w:sz w:val="20"/>
          <w:szCs w:val="20"/>
          <w:color w:val="auto"/>
        </w:rPr>
        <w:tab/>
      </w:r>
      <w:r>
        <w:rPr>
          <w:rFonts w:ascii="Arial" w:cs="Arial" w:eastAsia="Arial" w:hAnsi="Arial"/>
          <w:sz w:val="16"/>
          <w:szCs w:val="16"/>
          <w:color w:val="auto"/>
        </w:rPr>
        <w:t>Vulcan Materials</w:t>
      </w:r>
    </w:p>
    <w:p>
      <w:pPr>
        <w:spacing w:after="0" w:line="5" w:lineRule="exact"/>
        <w:rPr>
          <w:sz w:val="20"/>
          <w:szCs w:val="20"/>
          <w:color w:val="auto"/>
        </w:rPr>
      </w:pPr>
    </w:p>
    <w:p>
      <w:pPr>
        <w:ind w:left="260"/>
        <w:spacing w:after="0"/>
        <w:tabs>
          <w:tab w:leader="none" w:pos="3080" w:val="left"/>
        </w:tabs>
        <w:rPr>
          <w:sz w:val="20"/>
          <w:szCs w:val="20"/>
          <w:color w:val="auto"/>
        </w:rPr>
      </w:pPr>
      <w:r>
        <w:rPr>
          <w:rFonts w:ascii="Arial" w:cs="Arial" w:eastAsia="Arial" w:hAnsi="Arial"/>
          <w:sz w:val="16"/>
          <w:szCs w:val="16"/>
          <w:color w:val="auto"/>
        </w:rPr>
        <w:t>Reliance Steel &amp; Aluminum</w:t>
      </w:r>
      <w:r>
        <w:rPr>
          <w:sz w:val="20"/>
          <w:szCs w:val="20"/>
          <w:color w:val="auto"/>
        </w:rPr>
        <w:tab/>
      </w:r>
      <w:r>
        <w:rPr>
          <w:rFonts w:ascii="Arial" w:cs="Arial" w:eastAsia="Arial" w:hAnsi="Arial"/>
          <w:sz w:val="16"/>
          <w:szCs w:val="16"/>
          <w:color w:val="auto"/>
        </w:rPr>
        <w:t>Worthington Industries</w:t>
      </w:r>
    </w:p>
    <w:p>
      <w:pPr>
        <w:spacing w:after="0" w:line="38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actual financial performance targets and achievement against those targets will be disclosed at the end of the three-year performance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long-term incentives that each of the NEOs received in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Borders>
              <w:right w:val="single" w:sz="8" w:color="007CBA"/>
            </w:tcBorders>
            <w:shd w:val="clear" w:color="auto" w:fill="007CBA"/>
          </w:tcPr>
          <w:p>
            <w:pPr>
              <w:spacing w:after="0"/>
              <w:rPr>
                <w:sz w:val="15"/>
                <w:szCs w:val="15"/>
                <w:color w:val="auto"/>
              </w:rPr>
            </w:pPr>
          </w:p>
        </w:tc>
        <w:tc>
          <w:tcPr>
            <w:tcW w:w="2500" w:type="dxa"/>
            <w:vAlign w:val="bottom"/>
            <w:tcBorders>
              <w:right w:val="single" w:sz="8" w:color="007CBA"/>
            </w:tcBorders>
            <w:shd w:val="clear" w:color="auto" w:fill="007CBA"/>
          </w:tcPr>
          <w:p>
            <w:pPr>
              <w:spacing w:after="0"/>
              <w:rPr>
                <w:sz w:val="15"/>
                <w:szCs w:val="15"/>
                <w:color w:val="auto"/>
              </w:rPr>
            </w:pP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PSUs – Target</w:t>
            </w:r>
          </w:p>
        </w:tc>
      </w:tr>
      <w:tr>
        <w:trPr>
          <w:trHeight w:val="189"/>
        </w:trPr>
        <w:tc>
          <w:tcPr>
            <w:tcW w:w="5840" w:type="dxa"/>
            <w:vAlign w:val="bottom"/>
            <w:tcBorders>
              <w:right w:val="single" w:sz="8" w:color="007CBA"/>
            </w:tcBorders>
            <w:shd w:val="clear" w:color="auto" w:fill="007CBA"/>
          </w:tcPr>
          <w:p>
            <w:pPr>
              <w:spacing w:after="0"/>
              <w:rPr>
                <w:sz w:val="16"/>
                <w:szCs w:val="16"/>
                <w:color w:val="auto"/>
              </w:rPr>
            </w:pPr>
          </w:p>
        </w:tc>
        <w:tc>
          <w:tcPr>
            <w:tcW w:w="2500" w:type="dxa"/>
            <w:vAlign w:val="bottom"/>
            <w:tcBorders>
              <w:right w:val="single" w:sz="8" w:color="007CBA"/>
            </w:tcBorders>
            <w:shd w:val="clear" w:color="auto" w:fill="007CBA"/>
          </w:tcPr>
          <w:p>
            <w:pPr>
              <w:spacing w:after="0"/>
              <w:rPr>
                <w:sz w:val="16"/>
                <w:szCs w:val="16"/>
                <w:color w:val="auto"/>
              </w:rPr>
            </w:pP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(3 year cliff vesting</w:t>
            </w:r>
          </w:p>
        </w:tc>
      </w:tr>
      <w:tr>
        <w:trPr>
          <w:trHeight w:val="189"/>
        </w:trPr>
        <w:tc>
          <w:tcPr>
            <w:tcW w:w="5840" w:type="dxa"/>
            <w:vAlign w:val="bottom"/>
            <w:tcBorders>
              <w:right w:val="single" w:sz="8" w:color="007CBA"/>
            </w:tcBorders>
            <w:shd w:val="clear" w:color="auto" w:fill="007CBA"/>
          </w:tcPr>
          <w:p>
            <w:pPr>
              <w:spacing w:after="0"/>
              <w:rPr>
                <w:sz w:val="16"/>
                <w:szCs w:val="16"/>
                <w:color w:val="auto"/>
              </w:rPr>
            </w:pPr>
          </w:p>
        </w:tc>
        <w:tc>
          <w:tcPr>
            <w:tcW w:w="2500" w:type="dxa"/>
            <w:vAlign w:val="bottom"/>
            <w:tcBorders>
              <w:right w:val="single" w:sz="8" w:color="007CBA"/>
            </w:tcBorders>
            <w:shd w:val="clear" w:color="auto" w:fill="007CBA"/>
          </w:tcPr>
          <w:p>
            <w:pPr>
              <w:jc w:val="center"/>
              <w:ind w:right="19"/>
              <w:spacing w:after="0"/>
              <w:rPr>
                <w:sz w:val="20"/>
                <w:szCs w:val="20"/>
                <w:color w:val="auto"/>
              </w:rPr>
            </w:pPr>
            <w:r>
              <w:rPr>
                <w:rFonts w:ascii="Arial" w:cs="Arial" w:eastAsia="Arial" w:hAnsi="Arial"/>
                <w:sz w:val="16"/>
                <w:szCs w:val="16"/>
                <w:b w:val="1"/>
                <w:bCs w:val="1"/>
                <w:color w:val="FFFFFF"/>
              </w:rPr>
              <w:t>RSUs</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subject to achievement</w:t>
            </w:r>
          </w:p>
        </w:tc>
      </w:tr>
      <w:tr>
        <w:trPr>
          <w:trHeight w:val="189"/>
        </w:trPr>
        <w:tc>
          <w:tcPr>
            <w:tcW w:w="5840" w:type="dxa"/>
            <w:vAlign w:val="bottom"/>
            <w:tcBorders>
              <w:right w:val="single" w:sz="8" w:color="007CBA"/>
            </w:tcBorders>
            <w:shd w:val="clear" w:color="auto" w:fill="007CBA"/>
          </w:tcPr>
          <w:p>
            <w:pPr>
              <w:spacing w:after="0"/>
              <w:rPr>
                <w:sz w:val="16"/>
                <w:szCs w:val="16"/>
                <w:color w:val="auto"/>
              </w:rPr>
            </w:pPr>
          </w:p>
        </w:tc>
        <w:tc>
          <w:tcPr>
            <w:tcW w:w="2500" w:type="dxa"/>
            <w:vAlign w:val="bottom"/>
            <w:tcBorders>
              <w:right w:val="single" w:sz="8" w:color="007CBA"/>
            </w:tcBorders>
            <w:shd w:val="clear" w:color="auto" w:fill="007CBA"/>
          </w:tcPr>
          <w:p>
            <w:pPr>
              <w:jc w:val="center"/>
              <w:ind w:right="19"/>
              <w:spacing w:after="0"/>
              <w:rPr>
                <w:sz w:val="20"/>
                <w:szCs w:val="20"/>
                <w:color w:val="auto"/>
              </w:rPr>
            </w:pPr>
            <w:r>
              <w:rPr>
                <w:rFonts w:ascii="Arial" w:cs="Arial" w:eastAsia="Arial" w:hAnsi="Arial"/>
                <w:sz w:val="16"/>
                <w:szCs w:val="16"/>
                <w:b w:val="1"/>
                <w:bCs w:val="1"/>
                <w:color w:val="FFFFFF"/>
                <w:w w:val="99"/>
              </w:rPr>
              <w:t>(1-year</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of performance</w:t>
            </w:r>
          </w:p>
        </w:tc>
      </w:tr>
      <w:tr>
        <w:trPr>
          <w:trHeight w:val="189"/>
        </w:trPr>
        <w:tc>
          <w:tcPr>
            <w:tcW w:w="5840" w:type="dxa"/>
            <w:vAlign w:val="bottom"/>
            <w:tcBorders>
              <w:right w:val="single" w:sz="8" w:color="007CBA"/>
            </w:tcBorders>
            <w:shd w:val="clear" w:color="auto" w:fill="007CBA"/>
          </w:tcPr>
          <w:p>
            <w:pPr>
              <w:spacing w:after="0"/>
              <w:rPr>
                <w:sz w:val="16"/>
                <w:szCs w:val="16"/>
                <w:color w:val="auto"/>
              </w:rPr>
            </w:pPr>
          </w:p>
        </w:tc>
        <w:tc>
          <w:tcPr>
            <w:tcW w:w="2500" w:type="dxa"/>
            <w:vAlign w:val="bottom"/>
            <w:tcBorders>
              <w:right w:val="single" w:sz="8" w:color="007CBA"/>
            </w:tcBorders>
            <w:shd w:val="clear" w:color="auto" w:fill="007CBA"/>
          </w:tcPr>
          <w:p>
            <w:pPr>
              <w:jc w:val="center"/>
              <w:ind w:right="19"/>
              <w:spacing w:after="0"/>
              <w:rPr>
                <w:sz w:val="20"/>
                <w:szCs w:val="20"/>
                <w:color w:val="auto"/>
              </w:rPr>
            </w:pPr>
            <w:r>
              <w:rPr>
                <w:rFonts w:ascii="Arial" w:cs="Arial" w:eastAsia="Arial" w:hAnsi="Arial"/>
                <w:sz w:val="16"/>
                <w:szCs w:val="16"/>
                <w:b w:val="1"/>
                <w:bCs w:val="1"/>
                <w:color w:val="FFFFFF"/>
              </w:rPr>
              <w:t>pro rata vesting)</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measures)</w:t>
            </w:r>
          </w:p>
        </w:tc>
      </w:tr>
      <w:tr>
        <w:trPr>
          <w:trHeight w:val="221"/>
        </w:trPr>
        <w:tc>
          <w:tcPr>
            <w:tcW w:w="58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NEO</w:t>
            </w:r>
          </w:p>
        </w:tc>
        <w:tc>
          <w:tcPr>
            <w:tcW w:w="2500" w:type="dxa"/>
            <w:vAlign w:val="bottom"/>
            <w:tcBorders>
              <w:right w:val="single" w:sz="8" w:color="007CBA"/>
            </w:tcBorders>
            <w:shd w:val="clear" w:color="auto" w:fill="007CBA"/>
          </w:tcPr>
          <w:p>
            <w:pPr>
              <w:jc w:val="center"/>
              <w:ind w:right="19"/>
              <w:spacing w:after="0"/>
              <w:rPr>
                <w:sz w:val="20"/>
                <w:szCs w:val="20"/>
                <w:color w:val="auto"/>
              </w:rPr>
            </w:pPr>
            <w:r>
              <w:rPr>
                <w:rFonts w:ascii="Arial" w:cs="Arial" w:eastAsia="Arial" w:hAnsi="Arial"/>
                <w:sz w:val="16"/>
                <w:szCs w:val="16"/>
                <w:b w:val="1"/>
                <w:bCs w:val="1"/>
                <w:color w:val="FFFFFF"/>
              </w:rPr>
              <w:t>(# of shares)</w:t>
            </w:r>
          </w:p>
        </w:tc>
        <w:tc>
          <w:tcPr>
            <w:tcW w:w="30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 of shares)</w:t>
            </w:r>
          </w:p>
        </w:tc>
      </w:tr>
      <w:tr>
        <w:trPr>
          <w:trHeight w:val="189"/>
        </w:trPr>
        <w:tc>
          <w:tcPr>
            <w:tcW w:w="58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C. Howard Nye</w:t>
            </w:r>
          </w:p>
        </w:tc>
        <w:tc>
          <w:tcPr>
            <w:tcW w:w="2500" w:type="dxa"/>
            <w:vAlign w:val="bottom"/>
            <w:tcBorders>
              <w:right w:val="single" w:sz="8" w:color="007CBA"/>
            </w:tcBorders>
            <w:shd w:val="clear" w:color="auto" w:fill="E5F1F8"/>
          </w:tcPr>
          <w:p>
            <w:pPr>
              <w:jc w:val="right"/>
              <w:ind w:right="579"/>
              <w:spacing w:after="0"/>
              <w:rPr>
                <w:sz w:val="20"/>
                <w:szCs w:val="20"/>
                <w:color w:val="auto"/>
              </w:rPr>
            </w:pPr>
            <w:r>
              <w:rPr>
                <w:rFonts w:ascii="Arial" w:cs="Arial" w:eastAsia="Arial" w:hAnsi="Arial"/>
                <w:sz w:val="16"/>
                <w:szCs w:val="16"/>
                <w:color w:val="auto"/>
              </w:rPr>
              <w:t>10,670</w:t>
            </w:r>
          </w:p>
        </w:tc>
        <w:tc>
          <w:tcPr>
            <w:tcW w:w="3080" w:type="dxa"/>
            <w:vAlign w:val="bottom"/>
            <w:shd w:val="clear" w:color="auto" w:fill="E5F1F8"/>
          </w:tcPr>
          <w:p>
            <w:pPr>
              <w:jc w:val="right"/>
              <w:ind w:right="559"/>
              <w:spacing w:after="0"/>
              <w:rPr>
                <w:sz w:val="20"/>
                <w:szCs w:val="20"/>
                <w:color w:val="auto"/>
              </w:rPr>
            </w:pPr>
            <w:r>
              <w:rPr>
                <w:rFonts w:ascii="Arial" w:cs="Arial" w:eastAsia="Arial" w:hAnsi="Arial"/>
                <w:sz w:val="16"/>
                <w:szCs w:val="16"/>
                <w:color w:val="auto"/>
              </w:rPr>
              <w:t>21,339</w:t>
            </w:r>
          </w:p>
        </w:tc>
      </w:tr>
      <w:tr>
        <w:trPr>
          <w:trHeight w:val="189"/>
        </w:trPr>
        <w:tc>
          <w:tcPr>
            <w:tcW w:w="584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Anne H. Lloyd</w:t>
            </w:r>
          </w:p>
        </w:tc>
        <w:tc>
          <w:tcPr>
            <w:tcW w:w="2500" w:type="dxa"/>
            <w:vAlign w:val="bottom"/>
            <w:tcBorders>
              <w:right w:val="single" w:sz="8" w:color="007CBA"/>
            </w:tcBorders>
          </w:tcPr>
          <w:p>
            <w:pPr>
              <w:jc w:val="right"/>
              <w:ind w:right="579"/>
              <w:spacing w:after="0"/>
              <w:rPr>
                <w:sz w:val="20"/>
                <w:szCs w:val="20"/>
                <w:color w:val="auto"/>
              </w:rPr>
            </w:pPr>
            <w:r>
              <w:rPr>
                <w:rFonts w:ascii="Arial" w:cs="Arial" w:eastAsia="Arial" w:hAnsi="Arial"/>
                <w:sz w:val="16"/>
                <w:szCs w:val="16"/>
                <w:color w:val="auto"/>
              </w:rPr>
              <w:t>2,509</w:t>
            </w:r>
          </w:p>
        </w:tc>
        <w:tc>
          <w:tcPr>
            <w:tcW w:w="3080" w:type="dxa"/>
            <w:vAlign w:val="bottom"/>
          </w:tcPr>
          <w:p>
            <w:pPr>
              <w:jc w:val="right"/>
              <w:ind w:right="559"/>
              <w:spacing w:after="0"/>
              <w:rPr>
                <w:sz w:val="20"/>
                <w:szCs w:val="20"/>
                <w:color w:val="auto"/>
              </w:rPr>
            </w:pPr>
            <w:r>
              <w:rPr>
                <w:rFonts w:ascii="Arial" w:cs="Arial" w:eastAsia="Arial" w:hAnsi="Arial"/>
                <w:sz w:val="16"/>
                <w:szCs w:val="16"/>
                <w:color w:val="auto"/>
              </w:rPr>
              <w:t>5,017</w:t>
            </w:r>
          </w:p>
        </w:tc>
      </w:tr>
      <w:tr>
        <w:trPr>
          <w:trHeight w:val="189"/>
        </w:trPr>
        <w:tc>
          <w:tcPr>
            <w:tcW w:w="58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Roselyn R. Bar</w:t>
            </w:r>
          </w:p>
        </w:tc>
        <w:tc>
          <w:tcPr>
            <w:tcW w:w="2500" w:type="dxa"/>
            <w:vAlign w:val="bottom"/>
            <w:tcBorders>
              <w:right w:val="single" w:sz="8" w:color="007CBA"/>
            </w:tcBorders>
            <w:shd w:val="clear" w:color="auto" w:fill="E5F1F8"/>
          </w:tcPr>
          <w:p>
            <w:pPr>
              <w:jc w:val="right"/>
              <w:ind w:right="579"/>
              <w:spacing w:after="0"/>
              <w:rPr>
                <w:sz w:val="20"/>
                <w:szCs w:val="20"/>
                <w:color w:val="auto"/>
              </w:rPr>
            </w:pPr>
            <w:r>
              <w:rPr>
                <w:rFonts w:ascii="Arial" w:cs="Arial" w:eastAsia="Arial" w:hAnsi="Arial"/>
                <w:sz w:val="16"/>
                <w:szCs w:val="16"/>
                <w:color w:val="auto"/>
              </w:rPr>
              <w:t>2,349</w:t>
            </w:r>
          </w:p>
        </w:tc>
        <w:tc>
          <w:tcPr>
            <w:tcW w:w="3080" w:type="dxa"/>
            <w:vAlign w:val="bottom"/>
            <w:shd w:val="clear" w:color="auto" w:fill="E5F1F8"/>
          </w:tcPr>
          <w:p>
            <w:pPr>
              <w:jc w:val="right"/>
              <w:ind w:right="559"/>
              <w:spacing w:after="0"/>
              <w:rPr>
                <w:sz w:val="20"/>
                <w:szCs w:val="20"/>
                <w:color w:val="auto"/>
              </w:rPr>
            </w:pPr>
            <w:r>
              <w:rPr>
                <w:rFonts w:ascii="Arial" w:cs="Arial" w:eastAsia="Arial" w:hAnsi="Arial"/>
                <w:sz w:val="16"/>
                <w:szCs w:val="16"/>
                <w:color w:val="auto"/>
              </w:rPr>
              <w:t>4,697</w:t>
            </w:r>
          </w:p>
        </w:tc>
      </w:tr>
      <w:tr>
        <w:trPr>
          <w:trHeight w:val="189"/>
        </w:trPr>
        <w:tc>
          <w:tcPr>
            <w:tcW w:w="584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Donald A. McCunniff</w:t>
            </w:r>
          </w:p>
        </w:tc>
        <w:tc>
          <w:tcPr>
            <w:tcW w:w="2500" w:type="dxa"/>
            <w:vAlign w:val="bottom"/>
            <w:tcBorders>
              <w:right w:val="single" w:sz="8" w:color="007CBA"/>
            </w:tcBorders>
          </w:tcPr>
          <w:p>
            <w:pPr>
              <w:jc w:val="right"/>
              <w:ind w:right="579"/>
              <w:spacing w:after="0"/>
              <w:rPr>
                <w:sz w:val="20"/>
                <w:szCs w:val="20"/>
                <w:color w:val="auto"/>
              </w:rPr>
            </w:pPr>
            <w:r>
              <w:rPr>
                <w:rFonts w:ascii="Arial" w:cs="Arial" w:eastAsia="Arial" w:hAnsi="Arial"/>
                <w:sz w:val="16"/>
                <w:szCs w:val="16"/>
                <w:color w:val="auto"/>
              </w:rPr>
              <w:t>1,471</w:t>
            </w:r>
          </w:p>
        </w:tc>
        <w:tc>
          <w:tcPr>
            <w:tcW w:w="3080" w:type="dxa"/>
            <w:vAlign w:val="bottom"/>
          </w:tcPr>
          <w:p>
            <w:pPr>
              <w:jc w:val="right"/>
              <w:ind w:right="559"/>
              <w:spacing w:after="0"/>
              <w:rPr>
                <w:sz w:val="20"/>
                <w:szCs w:val="20"/>
                <w:color w:val="auto"/>
              </w:rPr>
            </w:pPr>
            <w:r>
              <w:rPr>
                <w:rFonts w:ascii="Arial" w:cs="Arial" w:eastAsia="Arial" w:hAnsi="Arial"/>
                <w:sz w:val="16"/>
                <w:szCs w:val="16"/>
                <w:color w:val="auto"/>
              </w:rPr>
              <w:t>2,942</w:t>
            </w:r>
          </w:p>
        </w:tc>
      </w:tr>
      <w:tr>
        <w:trPr>
          <w:trHeight w:val="189"/>
        </w:trPr>
        <w:tc>
          <w:tcPr>
            <w:tcW w:w="584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Daniel L. Grant</w:t>
            </w:r>
          </w:p>
        </w:tc>
        <w:tc>
          <w:tcPr>
            <w:tcW w:w="2500" w:type="dxa"/>
            <w:vAlign w:val="bottom"/>
            <w:tcBorders>
              <w:bottom w:val="single" w:sz="8" w:color="007CBA"/>
              <w:right w:val="single" w:sz="8" w:color="007CBA"/>
            </w:tcBorders>
            <w:shd w:val="clear" w:color="auto" w:fill="E5F1F8"/>
          </w:tcPr>
          <w:p>
            <w:pPr>
              <w:jc w:val="right"/>
              <w:ind w:right="579"/>
              <w:spacing w:after="0"/>
              <w:rPr>
                <w:sz w:val="20"/>
                <w:szCs w:val="20"/>
                <w:color w:val="auto"/>
              </w:rPr>
            </w:pPr>
            <w:r>
              <w:rPr>
                <w:rFonts w:ascii="Arial" w:cs="Arial" w:eastAsia="Arial" w:hAnsi="Arial"/>
                <w:sz w:val="16"/>
                <w:szCs w:val="16"/>
                <w:color w:val="auto"/>
              </w:rPr>
              <w:t>1,204</w:t>
            </w:r>
          </w:p>
        </w:tc>
        <w:tc>
          <w:tcPr>
            <w:tcW w:w="3080" w:type="dxa"/>
            <w:vAlign w:val="bottom"/>
            <w:tcBorders>
              <w:bottom w:val="single" w:sz="8" w:color="007CBA"/>
            </w:tcBorders>
            <w:shd w:val="clear" w:color="auto" w:fill="E5F1F8"/>
          </w:tcPr>
          <w:p>
            <w:pPr>
              <w:jc w:val="right"/>
              <w:ind w:right="559"/>
              <w:spacing w:after="0"/>
              <w:rPr>
                <w:sz w:val="20"/>
                <w:szCs w:val="20"/>
                <w:color w:val="auto"/>
              </w:rPr>
            </w:pPr>
            <w:r>
              <w:rPr>
                <w:rFonts w:ascii="Arial" w:cs="Arial" w:eastAsia="Arial" w:hAnsi="Arial"/>
                <w:sz w:val="16"/>
                <w:szCs w:val="16"/>
                <w:color w:val="auto"/>
              </w:rPr>
              <w:t>2,407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94615</wp:posOffset>
            </wp:positionV>
            <wp:extent cx="411480" cy="248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5900"/>
        <w:spacing w:after="0" w:line="276" w:lineRule="exact"/>
        <w:rPr>
          <w:sz w:val="20"/>
          <w:szCs w:val="20"/>
          <w:color w:val="auto"/>
        </w:rPr>
      </w:pPr>
      <w:r>
        <w:rPr>
          <w:rFonts w:ascii="Arial" w:cs="Arial" w:eastAsia="Arial" w:hAnsi="Arial"/>
          <w:sz w:val="13"/>
          <w:szCs w:val="13"/>
          <w:color w:val="auto"/>
        </w:rPr>
        <w:t xml:space="preserve">Considerations Regarding 2016 Compensation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 Long-Term Incentive Vesting of Prior Grants</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PSUs that were granted in 2014 vested on December 31, 2016, because the applicable performance criteria were satisfied. These PSUs were certified and paid out in February 2017 at 107.91% of the amount of the original grant made in 2014. The PSU payment percentage of 107.91% was based on: (1) 3-year average ROS of 17.3% as against a target of 19.5%; (2) 3-year cumulative EBITDA of $2.34 billion as against a target of $2.64 billion, and (3) TSR performance of our common stock relative to the TSR Peer Group of 96th percentile as against a target of the 50th percentile.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shd w:val="clear" w:color="auto" w:fill="007CBA"/>
          </w:tcPr>
          <w:p>
            <w:pPr>
              <w:spacing w:after="0"/>
              <w:rPr>
                <w:sz w:val="16"/>
                <w:szCs w:val="16"/>
                <w:color w:val="auto"/>
              </w:rPr>
            </w:pPr>
          </w:p>
        </w:tc>
        <w:tc>
          <w:tcPr>
            <w:tcW w:w="5560" w:type="dxa"/>
            <w:vAlign w:val="bottom"/>
            <w:tcBorders>
              <w:right w:val="single" w:sz="8" w:color="007CBA"/>
            </w:tcBorders>
            <w:gridSpan w:val="2"/>
            <w:shd w:val="clear" w:color="auto" w:fill="007CBA"/>
          </w:tcPr>
          <w:p>
            <w:pPr>
              <w:jc w:val="right"/>
              <w:ind w:right="819"/>
              <w:spacing w:after="0"/>
              <w:rPr>
                <w:sz w:val="20"/>
                <w:szCs w:val="20"/>
                <w:color w:val="auto"/>
              </w:rPr>
            </w:pPr>
            <w:r>
              <w:rPr>
                <w:rFonts w:ascii="Arial" w:cs="Arial" w:eastAsia="Arial" w:hAnsi="Arial"/>
                <w:sz w:val="16"/>
                <w:szCs w:val="16"/>
                <w:b w:val="1"/>
                <w:bCs w:val="1"/>
                <w:color w:val="FFFFFF"/>
              </w:rPr>
              <w:t>Payment Calculation for PSUs Granted in 2014</w:t>
            </w:r>
          </w:p>
        </w:tc>
        <w:tc>
          <w:tcPr>
            <w:tcW w:w="1700" w:type="dxa"/>
            <w:vAlign w:val="bottom"/>
            <w:tcBorders>
              <w:right w:val="single" w:sz="8" w:color="007CBA"/>
            </w:tcBorders>
            <w:shd w:val="clear" w:color="auto" w:fill="007CBA"/>
          </w:tcPr>
          <w:p>
            <w:pPr>
              <w:spacing w:after="0"/>
              <w:rPr>
                <w:sz w:val="16"/>
                <w:szCs w:val="16"/>
                <w:color w:val="auto"/>
              </w:rPr>
            </w:pPr>
          </w:p>
        </w:tc>
        <w:tc>
          <w:tcPr>
            <w:tcW w:w="1520" w:type="dxa"/>
            <w:vAlign w:val="bottom"/>
            <w:shd w:val="clear" w:color="auto" w:fill="007CBA"/>
          </w:tcPr>
          <w:p>
            <w:pPr>
              <w:spacing w:after="0"/>
              <w:rPr>
                <w:sz w:val="16"/>
                <w:szCs w:val="16"/>
                <w:color w:val="auto"/>
              </w:rPr>
            </w:pPr>
          </w:p>
        </w:tc>
      </w:tr>
      <w:tr>
        <w:trPr>
          <w:trHeight w:val="203"/>
        </w:trPr>
        <w:tc>
          <w:tcPr>
            <w:tcW w:w="2640" w:type="dxa"/>
            <w:vAlign w:val="bottom"/>
            <w:shd w:val="clear" w:color="auto" w:fill="007CBA"/>
          </w:tcPr>
          <w:p>
            <w:pPr>
              <w:spacing w:after="0"/>
              <w:rPr>
                <w:sz w:val="17"/>
                <w:szCs w:val="17"/>
                <w:color w:val="auto"/>
              </w:rPr>
            </w:pPr>
          </w:p>
        </w:tc>
        <w:tc>
          <w:tcPr>
            <w:tcW w:w="5560" w:type="dxa"/>
            <w:vAlign w:val="bottom"/>
            <w:tcBorders>
              <w:right w:val="single" w:sz="8" w:color="007CBA"/>
            </w:tcBorders>
            <w:gridSpan w:val="2"/>
            <w:shd w:val="clear" w:color="auto" w:fill="007CBA"/>
          </w:tcPr>
          <w:p>
            <w:pPr>
              <w:jc w:val="right"/>
              <w:ind w:right="1459"/>
              <w:spacing w:after="0"/>
              <w:rPr>
                <w:sz w:val="20"/>
                <w:szCs w:val="20"/>
                <w:color w:val="auto"/>
              </w:rPr>
            </w:pPr>
            <w:r>
              <w:rPr>
                <w:rFonts w:ascii="Arial" w:cs="Arial" w:eastAsia="Arial" w:hAnsi="Arial"/>
                <w:sz w:val="16"/>
                <w:szCs w:val="16"/>
                <w:b w:val="1"/>
                <w:bCs w:val="1"/>
                <w:color w:val="FFFFFF"/>
              </w:rPr>
              <w:t>Certified on February 23, 2017</w:t>
            </w:r>
          </w:p>
        </w:tc>
        <w:tc>
          <w:tcPr>
            <w:tcW w:w="1700" w:type="dxa"/>
            <w:vAlign w:val="bottom"/>
            <w:tcBorders>
              <w:right w:val="single" w:sz="8" w:color="007CBA"/>
            </w:tcBorders>
            <w:shd w:val="clear" w:color="auto" w:fill="007CBA"/>
          </w:tcPr>
          <w:p>
            <w:pPr>
              <w:spacing w:after="0"/>
              <w:rPr>
                <w:sz w:val="17"/>
                <w:szCs w:val="17"/>
                <w:color w:val="auto"/>
              </w:rPr>
            </w:pPr>
          </w:p>
        </w:tc>
        <w:tc>
          <w:tcPr>
            <w:tcW w:w="1520" w:type="dxa"/>
            <w:vAlign w:val="bottom"/>
            <w:shd w:val="clear" w:color="auto" w:fill="007CBA"/>
          </w:tcPr>
          <w:p>
            <w:pPr>
              <w:spacing w:after="0"/>
              <w:rPr>
                <w:sz w:val="17"/>
                <w:szCs w:val="17"/>
                <w:color w:val="auto"/>
              </w:rPr>
            </w:pPr>
          </w:p>
        </w:tc>
      </w:tr>
      <w:tr>
        <w:trPr>
          <w:trHeight w:val="189"/>
        </w:trPr>
        <w:tc>
          <w:tcPr>
            <w:tcW w:w="2640" w:type="dxa"/>
            <w:vAlign w:val="bottom"/>
            <w:shd w:val="clear" w:color="auto" w:fill="007CBA"/>
          </w:tcPr>
          <w:p>
            <w:pPr>
              <w:spacing w:after="0"/>
              <w:rPr>
                <w:sz w:val="16"/>
                <w:szCs w:val="16"/>
                <w:color w:val="auto"/>
              </w:rPr>
            </w:pPr>
          </w:p>
        </w:tc>
        <w:tc>
          <w:tcPr>
            <w:tcW w:w="3780" w:type="dxa"/>
            <w:vAlign w:val="bottom"/>
            <w:tcBorders>
              <w:right w:val="single" w:sz="8" w:color="007CBA"/>
            </w:tcBorders>
            <w:shd w:val="clear" w:color="auto" w:fill="007CBA"/>
          </w:tcPr>
          <w:p>
            <w:pPr>
              <w:spacing w:after="0"/>
              <w:rPr>
                <w:sz w:val="16"/>
                <w:szCs w:val="16"/>
                <w:color w:val="auto"/>
              </w:rPr>
            </w:pPr>
          </w:p>
        </w:tc>
        <w:tc>
          <w:tcPr>
            <w:tcW w:w="1780" w:type="dxa"/>
            <w:vAlign w:val="bottom"/>
            <w:tcBorders>
              <w:right w:val="single" w:sz="8" w:color="007CBA"/>
            </w:tcBorders>
            <w:shd w:val="clear" w:color="auto" w:fill="007CBA"/>
          </w:tcPr>
          <w:p>
            <w:pPr>
              <w:jc w:val="right"/>
              <w:ind w:right="639"/>
              <w:spacing w:after="0"/>
              <w:rPr>
                <w:sz w:val="20"/>
                <w:szCs w:val="20"/>
                <w:color w:val="auto"/>
              </w:rPr>
            </w:pPr>
            <w:r>
              <w:rPr>
                <w:rFonts w:ascii="Arial" w:cs="Arial" w:eastAsia="Arial" w:hAnsi="Arial"/>
                <w:sz w:val="16"/>
                <w:szCs w:val="16"/>
                <w:b w:val="1"/>
                <w:bCs w:val="1"/>
                <w:color w:val="FFFFFF"/>
              </w:rPr>
              <w:t>Target</w:t>
            </w:r>
          </w:p>
        </w:tc>
        <w:tc>
          <w:tcPr>
            <w:tcW w:w="1700" w:type="dxa"/>
            <w:vAlign w:val="bottom"/>
            <w:tcBorders>
              <w:right w:val="single" w:sz="8" w:color="007CBA"/>
            </w:tcBorders>
            <w:shd w:val="clear" w:color="auto" w:fill="007CBA"/>
          </w:tcPr>
          <w:p>
            <w:pPr>
              <w:spacing w:after="0"/>
              <w:rPr>
                <w:sz w:val="16"/>
                <w:szCs w:val="16"/>
                <w:color w:val="auto"/>
              </w:rPr>
            </w:pPr>
          </w:p>
        </w:tc>
        <w:tc>
          <w:tcPr>
            <w:tcW w:w="1520" w:type="dxa"/>
            <w:vAlign w:val="bottom"/>
            <w:shd w:val="clear" w:color="auto" w:fill="007CBA"/>
          </w:tcPr>
          <w:p>
            <w:pPr>
              <w:spacing w:after="0"/>
              <w:rPr>
                <w:sz w:val="16"/>
                <w:szCs w:val="16"/>
                <w:color w:val="auto"/>
              </w:rPr>
            </w:pPr>
          </w:p>
        </w:tc>
      </w:tr>
      <w:tr>
        <w:trPr>
          <w:trHeight w:val="189"/>
        </w:trPr>
        <w:tc>
          <w:tcPr>
            <w:tcW w:w="2640" w:type="dxa"/>
            <w:vAlign w:val="bottom"/>
            <w:shd w:val="clear" w:color="auto" w:fill="007CBA"/>
          </w:tcPr>
          <w:p>
            <w:pPr>
              <w:spacing w:after="0"/>
              <w:rPr>
                <w:sz w:val="16"/>
                <w:szCs w:val="16"/>
                <w:color w:val="auto"/>
              </w:rPr>
            </w:pPr>
          </w:p>
        </w:tc>
        <w:tc>
          <w:tcPr>
            <w:tcW w:w="3780" w:type="dxa"/>
            <w:vAlign w:val="bottom"/>
            <w:tcBorders>
              <w:right w:val="single" w:sz="8" w:color="007CBA"/>
            </w:tcBorders>
            <w:shd w:val="clear" w:color="auto" w:fill="007CBA"/>
          </w:tcPr>
          <w:p>
            <w:pPr>
              <w:spacing w:after="0"/>
              <w:rPr>
                <w:sz w:val="16"/>
                <w:szCs w:val="16"/>
                <w:color w:val="auto"/>
              </w:rPr>
            </w:pPr>
          </w:p>
        </w:tc>
        <w:tc>
          <w:tcPr>
            <w:tcW w:w="1780" w:type="dxa"/>
            <w:vAlign w:val="bottom"/>
            <w:tcBorders>
              <w:right w:val="single" w:sz="8" w:color="007CBA"/>
            </w:tcBorders>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Units Granted</w:t>
            </w:r>
          </w:p>
        </w:tc>
        <w:tc>
          <w:tcPr>
            <w:tcW w:w="1700" w:type="dxa"/>
            <w:vAlign w:val="bottom"/>
            <w:tcBorders>
              <w:right w:val="single" w:sz="8" w:color="007CBA"/>
            </w:tcBorders>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Percentage</w:t>
            </w:r>
          </w:p>
        </w:tc>
        <w:tc>
          <w:tcPr>
            <w:tcW w:w="1520" w:type="dxa"/>
            <w:vAlign w:val="bottom"/>
            <w:shd w:val="clear" w:color="auto" w:fill="007CBA"/>
          </w:tcPr>
          <w:p>
            <w:pPr>
              <w:jc w:val="right"/>
              <w:ind w:right="519"/>
              <w:spacing w:after="0"/>
              <w:rPr>
                <w:sz w:val="20"/>
                <w:szCs w:val="20"/>
                <w:color w:val="auto"/>
              </w:rPr>
            </w:pPr>
            <w:r>
              <w:rPr>
                <w:rFonts w:ascii="Arial" w:cs="Arial" w:eastAsia="Arial" w:hAnsi="Arial"/>
                <w:sz w:val="16"/>
                <w:szCs w:val="16"/>
                <w:b w:val="1"/>
                <w:bCs w:val="1"/>
                <w:color w:val="FFFFFF"/>
              </w:rPr>
              <w:t>Units</w:t>
            </w:r>
          </w:p>
        </w:tc>
      </w:tr>
      <w:tr>
        <w:trPr>
          <w:trHeight w:val="207"/>
        </w:trPr>
        <w:tc>
          <w:tcPr>
            <w:tcW w:w="2640" w:type="dxa"/>
            <w:vAlign w:val="bottom"/>
            <w:shd w:val="clear" w:color="auto" w:fill="007CBA"/>
          </w:tcPr>
          <w:p>
            <w:pPr>
              <w:ind w:left="80"/>
              <w:spacing w:after="0"/>
              <w:rPr>
                <w:sz w:val="20"/>
                <w:szCs w:val="20"/>
                <w:color w:val="auto"/>
              </w:rPr>
            </w:pPr>
            <w:r>
              <w:rPr>
                <w:rFonts w:ascii="Arial" w:cs="Arial" w:eastAsia="Arial" w:hAnsi="Arial"/>
                <w:sz w:val="16"/>
                <w:szCs w:val="16"/>
                <w:b w:val="1"/>
                <w:bCs w:val="1"/>
                <w:color w:val="FFFFFF"/>
              </w:rPr>
              <w:t>NEO</w:t>
            </w:r>
          </w:p>
        </w:tc>
        <w:tc>
          <w:tcPr>
            <w:tcW w:w="3780" w:type="dxa"/>
            <w:vAlign w:val="bottom"/>
            <w:tcBorders>
              <w:right w:val="single" w:sz="8" w:color="007CBA"/>
            </w:tcBorders>
            <w:shd w:val="clear" w:color="auto" w:fill="007CBA"/>
          </w:tcPr>
          <w:p>
            <w:pPr>
              <w:spacing w:after="0"/>
              <w:rPr>
                <w:sz w:val="18"/>
                <w:szCs w:val="18"/>
                <w:color w:val="auto"/>
              </w:rPr>
            </w:pPr>
          </w:p>
        </w:tc>
        <w:tc>
          <w:tcPr>
            <w:tcW w:w="1780" w:type="dxa"/>
            <w:vAlign w:val="bottom"/>
            <w:tcBorders>
              <w:right w:val="single" w:sz="8" w:color="007CBA"/>
            </w:tcBorders>
            <w:shd w:val="clear" w:color="auto" w:fill="007CBA"/>
          </w:tcPr>
          <w:p>
            <w:pPr>
              <w:jc w:val="right"/>
              <w:ind w:right="599"/>
              <w:spacing w:after="0"/>
              <w:rPr>
                <w:sz w:val="20"/>
                <w:szCs w:val="20"/>
                <w:color w:val="auto"/>
              </w:rPr>
            </w:pPr>
            <w:r>
              <w:rPr>
                <w:rFonts w:ascii="Arial" w:cs="Arial" w:eastAsia="Arial" w:hAnsi="Arial"/>
                <w:sz w:val="16"/>
                <w:szCs w:val="16"/>
                <w:b w:val="1"/>
                <w:bCs w:val="1"/>
                <w:color w:val="FFFFFF"/>
              </w:rPr>
              <w:t>in 2014</w:t>
            </w:r>
          </w:p>
        </w:tc>
        <w:tc>
          <w:tcPr>
            <w:tcW w:w="1700" w:type="dxa"/>
            <w:vAlign w:val="bottom"/>
            <w:tcBorders>
              <w:right w:val="single" w:sz="8" w:color="007CBA"/>
            </w:tcBorders>
            <w:shd w:val="clear" w:color="auto" w:fill="007CBA"/>
          </w:tcPr>
          <w:p>
            <w:pPr>
              <w:jc w:val="right"/>
              <w:ind w:right="499"/>
              <w:spacing w:after="0"/>
              <w:rPr>
                <w:sz w:val="20"/>
                <w:szCs w:val="20"/>
                <w:color w:val="auto"/>
              </w:rPr>
            </w:pPr>
            <w:r>
              <w:rPr>
                <w:rFonts w:ascii="Arial" w:cs="Arial" w:eastAsia="Arial" w:hAnsi="Arial"/>
                <w:sz w:val="16"/>
                <w:szCs w:val="16"/>
                <w:b w:val="1"/>
                <w:bCs w:val="1"/>
                <w:color w:val="FFFFFF"/>
              </w:rPr>
              <w:t>Payable</w:t>
            </w:r>
          </w:p>
        </w:tc>
        <w:tc>
          <w:tcPr>
            <w:tcW w:w="1520" w:type="dxa"/>
            <w:vAlign w:val="bottom"/>
            <w:shd w:val="clear" w:color="auto" w:fill="007CBA"/>
          </w:tcPr>
          <w:p>
            <w:pPr>
              <w:jc w:val="right"/>
              <w:ind w:right="419"/>
              <w:spacing w:after="0"/>
              <w:rPr>
                <w:sz w:val="20"/>
                <w:szCs w:val="20"/>
                <w:color w:val="auto"/>
              </w:rPr>
            </w:pPr>
            <w:r>
              <w:rPr>
                <w:rFonts w:ascii="Arial" w:cs="Arial" w:eastAsia="Arial" w:hAnsi="Arial"/>
                <w:sz w:val="16"/>
                <w:szCs w:val="16"/>
                <w:b w:val="1"/>
                <w:bCs w:val="1"/>
                <w:color w:val="FFFFFF"/>
              </w:rPr>
              <w:t>Payable</w:t>
            </w:r>
          </w:p>
        </w:tc>
      </w:tr>
      <w:tr>
        <w:trPr>
          <w:trHeight w:val="189"/>
        </w:trPr>
        <w:tc>
          <w:tcPr>
            <w:tcW w:w="2640" w:type="dxa"/>
            <w:vAlign w:val="bottom"/>
            <w:shd w:val="clear" w:color="auto" w:fill="E5F1F8"/>
          </w:tcPr>
          <w:p>
            <w:pPr>
              <w:ind w:left="80"/>
              <w:spacing w:after="0"/>
              <w:rPr>
                <w:sz w:val="20"/>
                <w:szCs w:val="20"/>
                <w:color w:val="auto"/>
              </w:rPr>
            </w:pPr>
            <w:r>
              <w:rPr>
                <w:rFonts w:ascii="Arial" w:cs="Arial" w:eastAsia="Arial" w:hAnsi="Arial"/>
                <w:sz w:val="16"/>
                <w:szCs w:val="16"/>
                <w:color w:val="auto"/>
              </w:rPr>
              <w:t>C. Howard Nye</w:t>
            </w:r>
          </w:p>
        </w:tc>
        <w:tc>
          <w:tcPr>
            <w:tcW w:w="3780" w:type="dxa"/>
            <w:vAlign w:val="bottom"/>
            <w:tcBorders>
              <w:right w:val="single" w:sz="8" w:color="007CBA"/>
            </w:tcBorders>
            <w:shd w:val="clear" w:color="auto" w:fill="E5F1F8"/>
          </w:tcPr>
          <w:p>
            <w:pPr>
              <w:spacing w:after="0"/>
              <w:rPr>
                <w:sz w:val="16"/>
                <w:szCs w:val="16"/>
                <w:color w:val="auto"/>
              </w:rPr>
            </w:pPr>
          </w:p>
        </w:tc>
        <w:tc>
          <w:tcPr>
            <w:tcW w:w="1780" w:type="dxa"/>
            <w:vAlign w:val="bottom"/>
            <w:tcBorders>
              <w:right w:val="single" w:sz="8" w:color="007CBA"/>
            </w:tcBorders>
            <w:shd w:val="clear" w:color="auto" w:fill="E5F1F8"/>
          </w:tcPr>
          <w:p>
            <w:pPr>
              <w:jc w:val="right"/>
              <w:ind w:right="339"/>
              <w:spacing w:after="0"/>
              <w:rPr>
                <w:sz w:val="20"/>
                <w:szCs w:val="20"/>
                <w:color w:val="auto"/>
              </w:rPr>
            </w:pPr>
            <w:r>
              <w:rPr>
                <w:rFonts w:ascii="Arial" w:cs="Arial" w:eastAsia="Arial" w:hAnsi="Arial"/>
                <w:sz w:val="16"/>
                <w:szCs w:val="16"/>
                <w:color w:val="auto"/>
              </w:rPr>
              <w:t>2,799</w:t>
            </w:r>
          </w:p>
        </w:tc>
        <w:tc>
          <w:tcPr>
            <w:tcW w:w="1700" w:type="dxa"/>
            <w:vAlign w:val="bottom"/>
            <w:tcBorders>
              <w:right w:val="single" w:sz="8" w:color="007CBA"/>
            </w:tcBorders>
            <w:shd w:val="clear" w:color="auto" w:fill="E5F1F8"/>
          </w:tcPr>
          <w:p>
            <w:pPr>
              <w:jc w:val="right"/>
              <w:ind w:right="219"/>
              <w:spacing w:after="0"/>
              <w:rPr>
                <w:sz w:val="20"/>
                <w:szCs w:val="20"/>
                <w:color w:val="auto"/>
              </w:rPr>
            </w:pPr>
            <w:r>
              <w:rPr>
                <w:rFonts w:ascii="Arial" w:cs="Arial" w:eastAsia="Arial" w:hAnsi="Arial"/>
                <w:sz w:val="16"/>
                <w:szCs w:val="16"/>
                <w:color w:val="auto"/>
              </w:rPr>
              <w:t>107.91%</w:t>
            </w:r>
          </w:p>
        </w:tc>
        <w:tc>
          <w:tcPr>
            <w:tcW w:w="1520" w:type="dxa"/>
            <w:vAlign w:val="bottom"/>
            <w:shd w:val="clear" w:color="auto" w:fill="E5F1F8"/>
          </w:tcPr>
          <w:p>
            <w:pPr>
              <w:jc w:val="right"/>
              <w:ind w:right="419"/>
              <w:spacing w:after="0"/>
              <w:rPr>
                <w:sz w:val="20"/>
                <w:szCs w:val="20"/>
                <w:color w:val="auto"/>
              </w:rPr>
            </w:pPr>
            <w:r>
              <w:rPr>
                <w:rFonts w:ascii="Arial" w:cs="Arial" w:eastAsia="Arial" w:hAnsi="Arial"/>
                <w:sz w:val="16"/>
                <w:szCs w:val="16"/>
                <w:color w:val="auto"/>
              </w:rPr>
              <w:t>3,021</w:t>
            </w:r>
          </w:p>
        </w:tc>
      </w:tr>
      <w:tr>
        <w:trPr>
          <w:trHeight w:val="189"/>
        </w:trPr>
        <w:tc>
          <w:tcPr>
            <w:tcW w:w="2640" w:type="dxa"/>
            <w:vAlign w:val="bottom"/>
          </w:tcPr>
          <w:p>
            <w:pPr>
              <w:ind w:left="80"/>
              <w:spacing w:after="0"/>
              <w:rPr>
                <w:sz w:val="20"/>
                <w:szCs w:val="20"/>
                <w:color w:val="auto"/>
              </w:rPr>
            </w:pPr>
            <w:r>
              <w:rPr>
                <w:rFonts w:ascii="Arial" w:cs="Arial" w:eastAsia="Arial" w:hAnsi="Arial"/>
                <w:sz w:val="16"/>
                <w:szCs w:val="16"/>
                <w:color w:val="auto"/>
              </w:rPr>
              <w:t>Anne H. Lloyd</w:t>
            </w:r>
          </w:p>
        </w:tc>
        <w:tc>
          <w:tcPr>
            <w:tcW w:w="3780" w:type="dxa"/>
            <w:vAlign w:val="bottom"/>
            <w:tcBorders>
              <w:right w:val="single" w:sz="8" w:color="007CBA"/>
            </w:tcBorders>
          </w:tcPr>
          <w:p>
            <w:pPr>
              <w:spacing w:after="0"/>
              <w:rPr>
                <w:sz w:val="16"/>
                <w:szCs w:val="16"/>
                <w:color w:val="auto"/>
              </w:rPr>
            </w:pPr>
          </w:p>
        </w:tc>
        <w:tc>
          <w:tcPr>
            <w:tcW w:w="1780" w:type="dxa"/>
            <w:vAlign w:val="bottom"/>
            <w:tcBorders>
              <w:right w:val="single" w:sz="8" w:color="007CBA"/>
            </w:tcBorders>
          </w:tcPr>
          <w:p>
            <w:pPr>
              <w:jc w:val="right"/>
              <w:ind w:right="339"/>
              <w:spacing w:after="0"/>
              <w:rPr>
                <w:sz w:val="20"/>
                <w:szCs w:val="20"/>
                <w:color w:val="auto"/>
              </w:rPr>
            </w:pPr>
            <w:r>
              <w:rPr>
                <w:rFonts w:ascii="Arial" w:cs="Arial" w:eastAsia="Arial" w:hAnsi="Arial"/>
                <w:sz w:val="16"/>
                <w:szCs w:val="16"/>
                <w:color w:val="auto"/>
              </w:rPr>
              <w:t>1,584</w:t>
            </w:r>
          </w:p>
        </w:tc>
        <w:tc>
          <w:tcPr>
            <w:tcW w:w="1700" w:type="dxa"/>
            <w:vAlign w:val="bottom"/>
            <w:tcBorders>
              <w:right w:val="single" w:sz="8" w:color="007CBA"/>
            </w:tcBorders>
          </w:tcPr>
          <w:p>
            <w:pPr>
              <w:jc w:val="right"/>
              <w:ind w:right="219"/>
              <w:spacing w:after="0"/>
              <w:rPr>
                <w:sz w:val="20"/>
                <w:szCs w:val="20"/>
                <w:color w:val="auto"/>
              </w:rPr>
            </w:pPr>
            <w:r>
              <w:rPr>
                <w:rFonts w:ascii="Arial" w:cs="Arial" w:eastAsia="Arial" w:hAnsi="Arial"/>
                <w:sz w:val="16"/>
                <w:szCs w:val="16"/>
                <w:color w:val="auto"/>
              </w:rPr>
              <w:t>107.91%</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1,710</w:t>
            </w:r>
          </w:p>
        </w:tc>
      </w:tr>
      <w:tr>
        <w:trPr>
          <w:trHeight w:val="189"/>
        </w:trPr>
        <w:tc>
          <w:tcPr>
            <w:tcW w:w="2640" w:type="dxa"/>
            <w:vAlign w:val="bottom"/>
            <w:shd w:val="clear" w:color="auto" w:fill="E5F1F8"/>
          </w:tcPr>
          <w:p>
            <w:pPr>
              <w:ind w:left="80"/>
              <w:spacing w:after="0"/>
              <w:rPr>
                <w:sz w:val="20"/>
                <w:szCs w:val="20"/>
                <w:color w:val="auto"/>
              </w:rPr>
            </w:pPr>
            <w:r>
              <w:rPr>
                <w:rFonts w:ascii="Arial" w:cs="Arial" w:eastAsia="Arial" w:hAnsi="Arial"/>
                <w:sz w:val="16"/>
                <w:szCs w:val="16"/>
                <w:color w:val="auto"/>
              </w:rPr>
              <w:t>Roselyn R. Bar</w:t>
            </w:r>
          </w:p>
        </w:tc>
        <w:tc>
          <w:tcPr>
            <w:tcW w:w="3780" w:type="dxa"/>
            <w:vAlign w:val="bottom"/>
            <w:tcBorders>
              <w:right w:val="single" w:sz="8" w:color="007CBA"/>
            </w:tcBorders>
            <w:shd w:val="clear" w:color="auto" w:fill="E5F1F8"/>
          </w:tcPr>
          <w:p>
            <w:pPr>
              <w:spacing w:after="0"/>
              <w:rPr>
                <w:sz w:val="16"/>
                <w:szCs w:val="16"/>
                <w:color w:val="auto"/>
              </w:rPr>
            </w:pPr>
          </w:p>
        </w:tc>
        <w:tc>
          <w:tcPr>
            <w:tcW w:w="1780" w:type="dxa"/>
            <w:vAlign w:val="bottom"/>
            <w:tcBorders>
              <w:right w:val="single" w:sz="8" w:color="007CBA"/>
            </w:tcBorders>
            <w:shd w:val="clear" w:color="auto" w:fill="E5F1F8"/>
          </w:tcPr>
          <w:p>
            <w:pPr>
              <w:jc w:val="right"/>
              <w:ind w:right="339"/>
              <w:spacing w:after="0"/>
              <w:rPr>
                <w:sz w:val="20"/>
                <w:szCs w:val="20"/>
                <w:color w:val="auto"/>
              </w:rPr>
            </w:pPr>
            <w:r>
              <w:rPr>
                <w:rFonts w:ascii="Arial" w:cs="Arial" w:eastAsia="Arial" w:hAnsi="Arial"/>
                <w:sz w:val="16"/>
                <w:szCs w:val="16"/>
                <w:color w:val="auto"/>
              </w:rPr>
              <w:t>1,322</w:t>
            </w:r>
          </w:p>
        </w:tc>
        <w:tc>
          <w:tcPr>
            <w:tcW w:w="1700" w:type="dxa"/>
            <w:vAlign w:val="bottom"/>
            <w:tcBorders>
              <w:right w:val="single" w:sz="8" w:color="007CBA"/>
            </w:tcBorders>
            <w:shd w:val="clear" w:color="auto" w:fill="E5F1F8"/>
          </w:tcPr>
          <w:p>
            <w:pPr>
              <w:jc w:val="right"/>
              <w:ind w:right="219"/>
              <w:spacing w:after="0"/>
              <w:rPr>
                <w:sz w:val="20"/>
                <w:szCs w:val="20"/>
                <w:color w:val="auto"/>
              </w:rPr>
            </w:pPr>
            <w:r>
              <w:rPr>
                <w:rFonts w:ascii="Arial" w:cs="Arial" w:eastAsia="Arial" w:hAnsi="Arial"/>
                <w:sz w:val="16"/>
                <w:szCs w:val="16"/>
                <w:color w:val="auto"/>
              </w:rPr>
              <w:t>107.91%</w:t>
            </w:r>
          </w:p>
        </w:tc>
        <w:tc>
          <w:tcPr>
            <w:tcW w:w="1520" w:type="dxa"/>
            <w:vAlign w:val="bottom"/>
            <w:shd w:val="clear" w:color="auto" w:fill="E5F1F8"/>
          </w:tcPr>
          <w:p>
            <w:pPr>
              <w:jc w:val="right"/>
              <w:ind w:right="419"/>
              <w:spacing w:after="0"/>
              <w:rPr>
                <w:sz w:val="20"/>
                <w:szCs w:val="20"/>
                <w:color w:val="auto"/>
              </w:rPr>
            </w:pPr>
            <w:r>
              <w:rPr>
                <w:rFonts w:ascii="Arial" w:cs="Arial" w:eastAsia="Arial" w:hAnsi="Arial"/>
                <w:sz w:val="16"/>
                <w:szCs w:val="16"/>
                <w:color w:val="auto"/>
              </w:rPr>
              <w:t>1,427</w:t>
            </w:r>
          </w:p>
        </w:tc>
      </w:tr>
      <w:tr>
        <w:trPr>
          <w:trHeight w:val="189"/>
        </w:trPr>
        <w:tc>
          <w:tcPr>
            <w:tcW w:w="2640" w:type="dxa"/>
            <w:vAlign w:val="bottom"/>
          </w:tcPr>
          <w:p>
            <w:pPr>
              <w:ind w:left="80"/>
              <w:spacing w:after="0"/>
              <w:rPr>
                <w:sz w:val="20"/>
                <w:szCs w:val="20"/>
                <w:color w:val="auto"/>
              </w:rPr>
            </w:pPr>
            <w:r>
              <w:rPr>
                <w:rFonts w:ascii="Arial" w:cs="Arial" w:eastAsia="Arial" w:hAnsi="Arial"/>
                <w:sz w:val="16"/>
                <w:szCs w:val="16"/>
                <w:color w:val="auto"/>
              </w:rPr>
              <w:t>Donald A. McCunniff</w:t>
            </w:r>
          </w:p>
        </w:tc>
        <w:tc>
          <w:tcPr>
            <w:tcW w:w="3780" w:type="dxa"/>
            <w:vAlign w:val="bottom"/>
            <w:tcBorders>
              <w:right w:val="single" w:sz="8" w:color="007CBA"/>
            </w:tcBorders>
          </w:tcPr>
          <w:p>
            <w:pPr>
              <w:spacing w:after="0"/>
              <w:rPr>
                <w:sz w:val="16"/>
                <w:szCs w:val="16"/>
                <w:color w:val="auto"/>
              </w:rPr>
            </w:pPr>
          </w:p>
        </w:tc>
        <w:tc>
          <w:tcPr>
            <w:tcW w:w="1780" w:type="dxa"/>
            <w:vAlign w:val="bottom"/>
            <w:tcBorders>
              <w:right w:val="single" w:sz="8" w:color="007CBA"/>
            </w:tcBorders>
          </w:tcPr>
          <w:p>
            <w:pPr>
              <w:jc w:val="right"/>
              <w:ind w:right="339"/>
              <w:spacing w:after="0"/>
              <w:rPr>
                <w:sz w:val="20"/>
                <w:szCs w:val="20"/>
                <w:color w:val="auto"/>
              </w:rPr>
            </w:pPr>
            <w:r>
              <w:rPr>
                <w:rFonts w:ascii="Arial" w:cs="Arial" w:eastAsia="Arial" w:hAnsi="Arial"/>
                <w:sz w:val="16"/>
                <w:szCs w:val="16"/>
                <w:color w:val="auto"/>
              </w:rPr>
              <w:t>1,084</w:t>
            </w:r>
          </w:p>
        </w:tc>
        <w:tc>
          <w:tcPr>
            <w:tcW w:w="1700" w:type="dxa"/>
            <w:vAlign w:val="bottom"/>
            <w:tcBorders>
              <w:right w:val="single" w:sz="8" w:color="007CBA"/>
            </w:tcBorders>
          </w:tcPr>
          <w:p>
            <w:pPr>
              <w:jc w:val="right"/>
              <w:ind w:right="219"/>
              <w:spacing w:after="0"/>
              <w:rPr>
                <w:sz w:val="20"/>
                <w:szCs w:val="20"/>
                <w:color w:val="auto"/>
              </w:rPr>
            </w:pPr>
            <w:r>
              <w:rPr>
                <w:rFonts w:ascii="Arial" w:cs="Arial" w:eastAsia="Arial" w:hAnsi="Arial"/>
                <w:sz w:val="16"/>
                <w:szCs w:val="16"/>
                <w:color w:val="auto"/>
              </w:rPr>
              <w:t>107.91%</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1,170</w:t>
            </w:r>
          </w:p>
        </w:tc>
      </w:tr>
      <w:tr>
        <w:trPr>
          <w:trHeight w:val="189"/>
        </w:trPr>
        <w:tc>
          <w:tcPr>
            <w:tcW w:w="2640" w:type="dxa"/>
            <w:vAlign w:val="bottom"/>
            <w:tcBorders>
              <w:bottom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Daniel L. Grant</w:t>
            </w:r>
          </w:p>
        </w:tc>
        <w:tc>
          <w:tcPr>
            <w:tcW w:w="3780" w:type="dxa"/>
            <w:vAlign w:val="bottom"/>
            <w:tcBorders>
              <w:bottom w:val="single" w:sz="8" w:color="007CBA"/>
              <w:right w:val="single" w:sz="8" w:color="007CBA"/>
            </w:tcBorders>
            <w:shd w:val="clear" w:color="auto" w:fill="E5F1F8"/>
          </w:tcPr>
          <w:p>
            <w:pPr>
              <w:spacing w:after="0"/>
              <w:rPr>
                <w:sz w:val="16"/>
                <w:szCs w:val="16"/>
                <w:color w:val="auto"/>
              </w:rPr>
            </w:pPr>
          </w:p>
        </w:tc>
        <w:tc>
          <w:tcPr>
            <w:tcW w:w="1780" w:type="dxa"/>
            <w:vAlign w:val="bottom"/>
            <w:tcBorders>
              <w:bottom w:val="single" w:sz="8" w:color="007CBA"/>
              <w:right w:val="single" w:sz="8" w:color="007CBA"/>
            </w:tcBorders>
            <w:shd w:val="clear" w:color="auto" w:fill="E5F1F8"/>
          </w:tcPr>
          <w:p>
            <w:pPr>
              <w:jc w:val="right"/>
              <w:ind w:right="339"/>
              <w:spacing w:after="0"/>
              <w:rPr>
                <w:sz w:val="20"/>
                <w:szCs w:val="20"/>
                <w:color w:val="auto"/>
              </w:rPr>
            </w:pPr>
            <w:r>
              <w:rPr>
                <w:rFonts w:ascii="Arial" w:cs="Arial" w:eastAsia="Arial" w:hAnsi="Arial"/>
                <w:sz w:val="16"/>
                <w:szCs w:val="16"/>
                <w:color w:val="auto"/>
              </w:rPr>
              <w:t>1,029</w:t>
            </w:r>
          </w:p>
        </w:tc>
        <w:tc>
          <w:tcPr>
            <w:tcW w:w="1700" w:type="dxa"/>
            <w:vAlign w:val="bottom"/>
            <w:tcBorders>
              <w:bottom w:val="single" w:sz="8" w:color="007CBA"/>
              <w:right w:val="single" w:sz="8" w:color="007CBA"/>
            </w:tcBorders>
            <w:shd w:val="clear" w:color="auto" w:fill="E5F1F8"/>
          </w:tcPr>
          <w:p>
            <w:pPr>
              <w:jc w:val="right"/>
              <w:ind w:right="219"/>
              <w:spacing w:after="0"/>
              <w:rPr>
                <w:sz w:val="20"/>
                <w:szCs w:val="20"/>
                <w:color w:val="auto"/>
              </w:rPr>
            </w:pPr>
            <w:r>
              <w:rPr>
                <w:rFonts w:ascii="Arial" w:cs="Arial" w:eastAsia="Arial" w:hAnsi="Arial"/>
                <w:sz w:val="16"/>
                <w:szCs w:val="16"/>
                <w:color w:val="auto"/>
              </w:rPr>
              <w:t>107.91%</w:t>
            </w:r>
          </w:p>
        </w:tc>
        <w:tc>
          <w:tcPr>
            <w:tcW w:w="1520" w:type="dxa"/>
            <w:vAlign w:val="bottom"/>
            <w:tcBorders>
              <w:bottom w:val="single" w:sz="8" w:color="007CBA"/>
            </w:tcBorders>
            <w:shd w:val="clear" w:color="auto" w:fill="E5F1F8"/>
          </w:tcPr>
          <w:p>
            <w:pPr>
              <w:jc w:val="right"/>
              <w:ind w:right="419"/>
              <w:spacing w:after="0"/>
              <w:rPr>
                <w:sz w:val="20"/>
                <w:szCs w:val="20"/>
                <w:color w:val="auto"/>
              </w:rPr>
            </w:pPr>
            <w:r>
              <w:rPr>
                <w:rFonts w:ascii="Arial" w:cs="Arial" w:eastAsia="Arial" w:hAnsi="Arial"/>
                <w:sz w:val="16"/>
                <w:szCs w:val="16"/>
                <w:color w:val="auto"/>
              </w:rPr>
              <w:t>1,111</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Stock-Based Awards Generally</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stock purchase awards under our Incentive Stock Plan and the PSUs and RSUs awarded under our LTI program, each as described above, were granted in 2016 at the Committee’s regularly scheduled meetings in February following the availability of financial results for the prior year. Newly hired executive officers may, subject to the discretion of the Committee, receive an award of RSUs as of the date of their hire. The number of RSUs is based on the average New York Stock Exchange closing price of Martin Marietta’s common stock for the 20-day period ending on the date of the grant. The Committee’s schedule is determined several months in advance and the proximity of any awards to earnings announcements or other market events is coincidental.</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Martin Marietta’s active equity-based award plans have been approved by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Stock Ownership Guidelines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stock ownership levels of our NEOs are consistent with typical tiered stock ownership guidelines employed by major U.S. companies. We employ stock ownership guidelines in the form of a required holding period of annual cash bonuses converted to Martin Marietta shares, with vesting generally in three years rather than stock ownership guidelines expressed as a multiple of salary. There is no additional holding period beyond the vesting date, however a significant portion of the executive compensation program is in the form of equity awards that vest over three-, four- or five-year periods.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CEO must invest a minimum of 35% of each year’s cash bonus award in common stock units of Martin Marietta. Executive officers must invest a minimum of 20% of their annual bonus. Stock is purchased at a 20% discount to the price on the grant date to account for the additional risk of taking a</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auto"/>
        </w:rPr>
        <w:t>common stock unit payment in lieu of a risk-free cash payment. In 2016, Mr. Nye deferred the maximum of 50% of his cash bonus in common stock units.</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Perquisites</w:t>
      </w:r>
    </w:p>
    <w:p>
      <w:pPr>
        <w:spacing w:after="0" w:line="150"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Martin Marietta provides executives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NEOs. The value of each of the NEO’s perquisites is included in the annual compensation set forth in the Summary Compensation Table.</w:t>
      </w:r>
    </w:p>
    <w:p>
      <w:pPr>
        <w:spacing w:after="0" w:line="16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In 2016, we provided personal use of leased automobiles to NEOs. We pay for the insurance, maintenance and fuel for such vehicles, and the value of personal mileage and use is charged to the NEO as imputed income. Martin Marietta also provides to executive officers and other employees certain other fringe benefits such as tuition reimbursement, airline club dues, professional society dues, and food and recreational fees incidental to official company functions. We do not provide other perquisites, such as country club memberships or financial planning services, to the NEOs.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Retirement and Other Benefits</w:t>
      </w:r>
    </w:p>
    <w:p>
      <w:pPr>
        <w:spacing w:after="0" w:line="150"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NEOs and other employees, including:</w:t>
      </w:r>
    </w:p>
    <w:p>
      <w:pPr>
        <w:spacing w:after="0" w:line="61" w:lineRule="exact"/>
        <w:rPr>
          <w:sz w:val="20"/>
          <w:szCs w:val="20"/>
          <w:color w:val="auto"/>
        </w:rPr>
      </w:pPr>
    </w:p>
    <w:p>
      <w:pPr>
        <w:ind w:left="380" w:hanging="291"/>
        <w:spacing w:after="0"/>
        <w:tabs>
          <w:tab w:leader="none" w:pos="380" w:val="left"/>
        </w:tabs>
        <w:numPr>
          <w:ilvl w:val="0"/>
          <w:numId w:val="86"/>
        </w:numPr>
        <w:rPr>
          <w:rFonts w:ascii="Arial" w:cs="Arial" w:eastAsia="Arial" w:hAnsi="Arial"/>
          <w:sz w:val="16"/>
          <w:szCs w:val="16"/>
          <w:color w:val="007CBA"/>
        </w:rPr>
      </w:pPr>
      <w:r>
        <w:rPr>
          <w:rFonts w:ascii="Arial" w:cs="Arial" w:eastAsia="Arial" w:hAnsi="Arial"/>
          <w:sz w:val="16"/>
          <w:szCs w:val="16"/>
          <w:color w:val="auto"/>
        </w:rPr>
        <w:t>Medical and dental benefits</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86"/>
        </w:numPr>
        <w:rPr>
          <w:rFonts w:ascii="Arial" w:cs="Arial" w:eastAsia="Arial" w:hAnsi="Arial"/>
          <w:sz w:val="16"/>
          <w:szCs w:val="16"/>
          <w:color w:val="007CBA"/>
        </w:rPr>
      </w:pPr>
      <w:r>
        <w:rPr>
          <w:rFonts w:ascii="Arial" w:cs="Arial" w:eastAsia="Arial" w:hAnsi="Arial"/>
          <w:sz w:val="16"/>
          <w:szCs w:val="16"/>
          <w:color w:val="auto"/>
        </w:rPr>
        <w:t>Life, accidental death and disability insurance</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86"/>
        </w:numPr>
        <w:rPr>
          <w:rFonts w:ascii="Arial" w:cs="Arial" w:eastAsia="Arial" w:hAnsi="Arial"/>
          <w:sz w:val="16"/>
          <w:szCs w:val="16"/>
          <w:color w:val="007CBA"/>
        </w:rPr>
      </w:pPr>
      <w:r>
        <w:rPr>
          <w:rFonts w:ascii="Arial" w:cs="Arial" w:eastAsia="Arial" w:hAnsi="Arial"/>
          <w:sz w:val="16"/>
          <w:szCs w:val="16"/>
          <w:color w:val="auto"/>
        </w:rPr>
        <w:t>Pension and savings plans</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benefits under the defined benefit pension plan are more valuable for employees who remain with Martin Marietta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165735</wp:posOffset>
            </wp:positionV>
            <wp:extent cx="411480" cy="2489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80"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41</w:t>
            </w:r>
          </w:p>
        </w:tc>
      </w:tr>
    </w:tbl>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Compensation Discussion and Analysis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Potential Payments upon Termination or Change of Control</w:t>
      </w:r>
    </w:p>
    <w:p>
      <w:pPr>
        <w:sectPr>
          <w:pgSz w:w="11900" w:h="16838" w:orient="portrait"/>
          <w:cols w:equalWidth="0" w:num="1">
            <w:col w:w="11300"/>
          </w:cols>
          <w:pgMar w:left="240" w:top="459" w:right="359" w:bottom="1440" w:gutter="0" w:footer="0" w:header="0"/>
        </w:sect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longer periods, thereby furthering our objectives of retaining individuals with more expertise in relevant areas and who can also participate in management development for purposes of executive succession planning. All of Martin Marietta’s salaried employees in the United States are eligible to participate in our retirement and other plans, and the NEOs participate in the plans on the same terms as Martin Marietta’s other salaried employees.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 information regarding these benefits is under the heading Pension Benefits Table on page 50 and the accompanying narrative.</w:t>
      </w:r>
    </w:p>
    <w:p>
      <w:pPr>
        <w:spacing w:after="0" w:line="123" w:lineRule="exact"/>
        <w:rPr>
          <w:sz w:val="20"/>
          <w:szCs w:val="20"/>
          <w:color w:val="auto"/>
        </w:rPr>
      </w:pPr>
    </w:p>
    <w:p>
      <w:pPr>
        <w:ind w:right="640"/>
        <w:spacing w:after="0" w:line="288" w:lineRule="auto"/>
        <w:rPr>
          <w:sz w:val="20"/>
          <w:szCs w:val="20"/>
          <w:color w:val="auto"/>
        </w:rPr>
      </w:pPr>
      <w:r>
        <w:rPr>
          <w:rFonts w:ascii="Arial" w:cs="Arial" w:eastAsia="Arial" w:hAnsi="Arial"/>
          <w:sz w:val="25"/>
          <w:szCs w:val="25"/>
          <w:b w:val="1"/>
          <w:bCs w:val="1"/>
          <w:color w:val="007CBA"/>
        </w:rPr>
        <w:t>Potential Payments upon Termination or Change of Control</w:t>
      </w:r>
    </w:p>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do not have written employment agreements with executives. Instead, each of our NEOs has a change of control severance agreement (an “Employment Protection Agreement”) that provides for retention and continuity in order to minimize disruptions during a pending or anticipated change of control. The agreements are triggered only by a qualifying termination of employment following a change of control. Martin Marietta’s equity-based award plans and retirement plans also provide for certain post-termination payments and benefits, as well as the acceleration of time periods for purposes of vesting in, or realizing gain from, any outstanding equity award in the event of a change of control. The Committee believes these payments and benefits are also important to align the interests of the executive officers with the interests of the shareholders because the agreements will reduce or eliminate the reluctance to pursue potential change of control transactions that may ultimately lead</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termination of their employment but would otherwise be in the best interests of our shareholders. The Employment Protection Agreement is described on pages 51 and 52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Tax and Accounting Implications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administering the compensation program for NEOs, the Committee considers the applicability of Section 162(m) of the Code, the consequences under financial accounting standards, the tax consequences in our analysis of total compensation and the mix of compensation elements, base, bonus and long-term incentives. For example, we do not issue incentive stock options, which would provide potential tax savings to the recipient, because of the negative tax and accounting consequences to the Company. Section 162(m) prohibits public companies from taking a tax deduction for compensation that is paid to any one of certain employees in excess of one million dollars, unless the compensation is “qualified performance-based compensation” within the meaning of the Code.</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preserve the deductibility of compensation, grants in 2016 of some of our long-term incentives are intended to qualify as “qualified performance-based compensation.” The Committee has the discretion to design and implement compensation elements that may not be deductible under Section 162(m) if the Committee determines that, despite the tax consequences, those elements are in our Company’s best interest to adopt. The Committee believes that Martin Marietta’s general compensation policies and objectives that are currently in place best serves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370840</wp:posOffset>
            </wp:positionV>
            <wp:extent cx="411480" cy="248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2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300"/>
          </w:cols>
          <w:pgMar w:left="240" w:top="459" w:right="3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320"/>
        <w:spacing w:after="0"/>
        <w:rPr>
          <w:sz w:val="20"/>
          <w:szCs w:val="20"/>
          <w:color w:val="auto"/>
        </w:rPr>
      </w:pPr>
      <w:r>
        <w:rPr>
          <w:rFonts w:ascii="Arial" w:cs="Arial" w:eastAsia="Arial" w:hAnsi="Arial"/>
          <w:sz w:val="43"/>
          <w:szCs w:val="43"/>
          <w:color w:val="auto"/>
        </w:rPr>
        <w:t>Executive Compensation</w:t>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Executive Officer Compensation</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following tables show annual and long-term compensation, for services in all capacities to Martin Marietta, earned by the Chief Executive Officer, the Chief Financial Officer, and three other executive officers serving as such on December 31, 2016, which we refer to collectively as the “named executive officers” or “NEOs.” These tables and the accompanying narratives should be read in conjunction with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of this proxy statement, which provides a detailed overview of the methods used by Martin Marietta to compensate its officers, including the named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Summary Compensation Table</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table below summarizes the total compensation paid to or earned by each of the named executive officers for the fiscal years set forth below. Martin Marietta has not entered into any employment agreements with any of the named executive officers.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Borders>
              <w:right w:val="single" w:sz="8" w:color="007CBA"/>
            </w:tcBorders>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Change in</w:t>
            </w:r>
          </w:p>
        </w:tc>
        <w:tc>
          <w:tcPr>
            <w:tcW w:w="122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Pension Value</w:t>
            </w:r>
          </w:p>
        </w:tc>
        <w:tc>
          <w:tcPr>
            <w:tcW w:w="122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 Non-</w:t>
            </w:r>
          </w:p>
        </w:tc>
        <w:tc>
          <w:tcPr>
            <w:tcW w:w="122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spacing w:after="0"/>
              <w:rPr>
                <w:sz w:val="14"/>
                <w:szCs w:val="14"/>
                <w:color w:val="auto"/>
              </w:rPr>
            </w:pP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Qualified</w:t>
            </w:r>
          </w:p>
        </w:tc>
        <w:tc>
          <w:tcPr>
            <w:tcW w:w="122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Non-Equity</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Deferred</w:t>
            </w:r>
          </w:p>
        </w:tc>
        <w:tc>
          <w:tcPr>
            <w:tcW w:w="1220" w:type="dxa"/>
            <w:vAlign w:val="bottom"/>
            <w:tcBorders>
              <w:right w:val="single" w:sz="8" w:color="007CBA"/>
            </w:tcBorders>
            <w:shd w:val="clear" w:color="auto" w:fill="007CBA"/>
          </w:tcPr>
          <w:p>
            <w:pPr>
              <w:spacing w:after="0"/>
              <w:rPr>
                <w:sz w:val="14"/>
                <w:szCs w:val="14"/>
                <w:color w:val="auto"/>
              </w:rPr>
            </w:pP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spacing w:after="0"/>
              <w:rPr>
                <w:sz w:val="14"/>
                <w:szCs w:val="14"/>
                <w:color w:val="auto"/>
              </w:rPr>
            </w:pPr>
          </w:p>
        </w:tc>
        <w:tc>
          <w:tcPr>
            <w:tcW w:w="860" w:type="dxa"/>
            <w:vAlign w:val="bottom"/>
            <w:tcBorders>
              <w:right w:val="single" w:sz="8" w:color="007CBA"/>
            </w:tcBorders>
            <w:shd w:val="clear" w:color="auto" w:fill="007CBA"/>
          </w:tcPr>
          <w:p>
            <w:pPr>
              <w:spacing w:after="0"/>
              <w:rPr>
                <w:sz w:val="14"/>
                <w:szCs w:val="14"/>
                <w:color w:val="auto"/>
              </w:rPr>
            </w:pP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Option</w:t>
            </w:r>
          </w:p>
        </w:tc>
        <w:tc>
          <w:tcPr>
            <w:tcW w:w="12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Incentive Plan</w:t>
            </w:r>
          </w:p>
        </w:tc>
        <w:tc>
          <w:tcPr>
            <w:tcW w:w="1240" w:type="dxa"/>
            <w:vAlign w:val="bottom"/>
            <w:tcBorders>
              <w:right w:val="single" w:sz="8" w:color="007CBA"/>
            </w:tcBorders>
            <w:shd w:val="clear" w:color="auto" w:fill="007CBA"/>
          </w:tcPr>
          <w:p>
            <w:pPr>
              <w:jc w:val="right"/>
              <w:ind w:right="89"/>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All Other</w:t>
            </w:r>
          </w:p>
        </w:tc>
        <w:tc>
          <w:tcPr>
            <w:tcW w:w="86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6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Name and</w:t>
            </w:r>
          </w:p>
        </w:tc>
        <w:tc>
          <w:tcPr>
            <w:tcW w:w="560" w:type="dxa"/>
            <w:vAlign w:val="bottom"/>
            <w:tcBorders>
              <w:right w:val="single" w:sz="8" w:color="007CBA"/>
            </w:tcBorders>
            <w:shd w:val="clear" w:color="auto" w:fill="007CBA"/>
          </w:tcPr>
          <w:p>
            <w:pPr>
              <w:spacing w:after="0"/>
              <w:rPr>
                <w:sz w:val="13"/>
                <w:szCs w:val="13"/>
                <w:color w:val="auto"/>
              </w:rPr>
            </w:pPr>
          </w:p>
        </w:tc>
        <w:tc>
          <w:tcPr>
            <w:tcW w:w="880" w:type="dxa"/>
            <w:vAlign w:val="bottom"/>
            <w:tcBorders>
              <w:right w:val="single" w:sz="8" w:color="007CBA"/>
            </w:tcBorders>
            <w:shd w:val="clear" w:color="auto" w:fill="007CBA"/>
          </w:tcPr>
          <w:p>
            <w:pPr>
              <w:jc w:val="right"/>
              <w:ind w:right="208"/>
              <w:spacing w:after="0" w:line="159" w:lineRule="exact"/>
              <w:rPr>
                <w:sz w:val="20"/>
                <w:szCs w:val="20"/>
                <w:color w:val="auto"/>
              </w:rPr>
            </w:pPr>
            <w:r>
              <w:rPr>
                <w:rFonts w:ascii="Arial" w:cs="Arial" w:eastAsia="Arial" w:hAnsi="Arial"/>
                <w:sz w:val="14"/>
                <w:szCs w:val="14"/>
                <w:b w:val="1"/>
                <w:bCs w:val="1"/>
                <w:color w:val="FFFFFF"/>
              </w:rPr>
              <w:t>Salary</w:t>
            </w:r>
          </w:p>
        </w:tc>
        <w:tc>
          <w:tcPr>
            <w:tcW w:w="860" w:type="dxa"/>
            <w:vAlign w:val="bottom"/>
            <w:tcBorders>
              <w:right w:val="single" w:sz="8" w:color="007CBA"/>
            </w:tcBorders>
            <w:shd w:val="clear" w:color="auto" w:fill="007CBA"/>
          </w:tcPr>
          <w:p>
            <w:pPr>
              <w:jc w:val="right"/>
              <w:ind w:right="169"/>
              <w:spacing w:after="0" w:line="159" w:lineRule="exact"/>
              <w:rPr>
                <w:sz w:val="20"/>
                <w:szCs w:val="20"/>
                <w:color w:val="auto"/>
              </w:rPr>
            </w:pPr>
            <w:r>
              <w:rPr>
                <w:rFonts w:ascii="Arial" w:cs="Arial" w:eastAsia="Arial" w:hAnsi="Arial"/>
                <w:sz w:val="14"/>
                <w:szCs w:val="14"/>
                <w:b w:val="1"/>
                <w:bCs w:val="1"/>
                <w:color w:val="FFFFFF"/>
              </w:rPr>
              <w:t>Bonus</w:t>
            </w:r>
          </w:p>
        </w:tc>
        <w:tc>
          <w:tcPr>
            <w:tcW w:w="880" w:type="dxa"/>
            <w:vAlign w:val="bottom"/>
            <w:tcBorders>
              <w:right w:val="single" w:sz="8" w:color="007CBA"/>
            </w:tcBorders>
            <w:shd w:val="clear" w:color="auto" w:fill="007CBA"/>
          </w:tcPr>
          <w:p>
            <w:pPr>
              <w:jc w:val="center"/>
              <w:ind w:right="9"/>
              <w:spacing w:after="0" w:line="159" w:lineRule="exact"/>
              <w:rPr>
                <w:sz w:val="20"/>
                <w:szCs w:val="20"/>
                <w:color w:val="auto"/>
              </w:rPr>
            </w:pPr>
            <w:r>
              <w:rPr>
                <w:rFonts w:ascii="Arial" w:cs="Arial" w:eastAsia="Arial" w:hAnsi="Arial"/>
                <w:sz w:val="14"/>
                <w:szCs w:val="14"/>
                <w:b w:val="1"/>
                <w:bCs w:val="1"/>
                <w:color w:val="FFFFFF"/>
              </w:rPr>
              <w:t>Awards</w:t>
            </w:r>
          </w:p>
        </w:tc>
        <w:tc>
          <w:tcPr>
            <w:tcW w:w="760" w:type="dxa"/>
            <w:vAlign w:val="bottom"/>
            <w:tcBorders>
              <w:right w:val="single" w:sz="8" w:color="007CBA"/>
            </w:tcBorders>
            <w:shd w:val="clear" w:color="auto" w:fill="007CBA"/>
          </w:tcPr>
          <w:p>
            <w:pPr>
              <w:jc w:val="center"/>
              <w:ind w:right="9"/>
              <w:spacing w:after="0" w:line="159" w:lineRule="exact"/>
              <w:rPr>
                <w:sz w:val="20"/>
                <w:szCs w:val="20"/>
                <w:color w:val="auto"/>
              </w:rPr>
            </w:pPr>
            <w:r>
              <w:rPr>
                <w:rFonts w:ascii="Arial" w:cs="Arial" w:eastAsia="Arial" w:hAnsi="Arial"/>
                <w:sz w:val="14"/>
                <w:szCs w:val="14"/>
                <w:b w:val="1"/>
                <w:bCs w:val="1"/>
                <w:color w:val="FFFFFF"/>
              </w:rPr>
              <w:t>Awards</w:t>
            </w:r>
          </w:p>
        </w:tc>
        <w:tc>
          <w:tcPr>
            <w:tcW w:w="120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Earnings</w:t>
            </w:r>
          </w:p>
        </w:tc>
        <w:tc>
          <w:tcPr>
            <w:tcW w:w="1220" w:type="dxa"/>
            <w:vAlign w:val="bottom"/>
            <w:tcBorders>
              <w:right w:val="single" w:sz="8" w:color="007CBA"/>
            </w:tcBorders>
            <w:shd w:val="clear" w:color="auto" w:fill="007CBA"/>
          </w:tcPr>
          <w:p>
            <w:pPr>
              <w:jc w:val="right"/>
              <w:ind w:right="89"/>
              <w:spacing w:after="0" w:line="159" w:lineRule="exact"/>
              <w:rPr>
                <w:sz w:val="20"/>
                <w:szCs w:val="20"/>
                <w:color w:val="auto"/>
              </w:rPr>
            </w:pPr>
            <w:r>
              <w:rPr>
                <w:rFonts w:ascii="Arial" w:cs="Arial" w:eastAsia="Arial" w:hAnsi="Arial"/>
                <w:sz w:val="14"/>
                <w:szCs w:val="14"/>
                <w:b w:val="1"/>
                <w:bCs w:val="1"/>
                <w:color w:val="FFFFFF"/>
              </w:rPr>
              <w:t>Compensation</w:t>
            </w:r>
          </w:p>
        </w:tc>
        <w:tc>
          <w:tcPr>
            <w:tcW w:w="860" w:type="dxa"/>
            <w:vAlign w:val="bottom"/>
            <w:shd w:val="clear" w:color="auto" w:fill="007CBA"/>
          </w:tcPr>
          <w:p>
            <w:pPr>
              <w:jc w:val="right"/>
              <w:ind w:right="228"/>
              <w:spacing w:after="0" w:line="15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6"/>
        </w:trPr>
        <w:tc>
          <w:tcPr>
            <w:tcW w:w="29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Principal Position</w:t>
            </w:r>
          </w:p>
        </w:tc>
        <w:tc>
          <w:tcPr>
            <w:tcW w:w="56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Year</w:t>
            </w:r>
          </w:p>
        </w:tc>
        <w:tc>
          <w:tcPr>
            <w:tcW w:w="880" w:type="dxa"/>
            <w:vAlign w:val="bottom"/>
            <w:tcBorders>
              <w:right w:val="single" w:sz="8" w:color="007CBA"/>
            </w:tcBorders>
            <w:shd w:val="clear" w:color="auto" w:fill="007CBA"/>
          </w:tcPr>
          <w:p>
            <w:pPr>
              <w:jc w:val="right"/>
              <w:ind w:right="308"/>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right w:val="single" w:sz="8" w:color="007CBA"/>
            </w:tcBorders>
            <w:shd w:val="clear" w:color="auto" w:fill="007CBA"/>
          </w:tcPr>
          <w:p>
            <w:pPr>
              <w:jc w:val="right"/>
              <w:ind w:right="249"/>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1</w:t>
            </w:r>
          </w:p>
        </w:tc>
        <w:tc>
          <w:tcPr>
            <w:tcW w:w="88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2</w:t>
            </w:r>
          </w:p>
        </w:tc>
        <w:tc>
          <w:tcPr>
            <w:tcW w:w="76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3</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4</w:t>
            </w:r>
          </w:p>
        </w:tc>
        <w:tc>
          <w:tcPr>
            <w:tcW w:w="1220" w:type="dxa"/>
            <w:vAlign w:val="bottom"/>
            <w:tcBorders>
              <w:right w:val="single" w:sz="8" w:color="007CBA"/>
            </w:tcBorders>
            <w:shd w:val="clear" w:color="auto" w:fill="007CBA"/>
          </w:tcPr>
          <w:p>
            <w:pPr>
              <w:jc w:val="center"/>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5</w:t>
            </w:r>
          </w:p>
        </w:tc>
        <w:tc>
          <w:tcPr>
            <w:tcW w:w="860" w:type="dxa"/>
            <w:vAlign w:val="bottom"/>
            <w:shd w:val="clear" w:color="auto" w:fill="007CBA"/>
          </w:tcPr>
          <w:p>
            <w:pPr>
              <w:jc w:val="right"/>
              <w:ind w:right="2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29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w:t>
            </w:r>
          </w:p>
        </w:tc>
        <w:tc>
          <w:tcPr>
            <w:tcW w:w="560" w:type="dxa"/>
            <w:vAlign w:val="bottom"/>
            <w:tcBorders>
              <w:right w:val="single" w:sz="8" w:color="007CBA"/>
            </w:tcBorders>
            <w:shd w:val="clear" w:color="auto" w:fill="007CBA"/>
          </w:tcPr>
          <w:p>
            <w:pPr>
              <w:jc w:val="right"/>
              <w:ind w:right="148"/>
              <w:spacing w:after="0"/>
              <w:rPr>
                <w:sz w:val="20"/>
                <w:szCs w:val="20"/>
                <w:color w:val="auto"/>
              </w:rPr>
            </w:pPr>
            <w:r>
              <w:rPr>
                <w:rFonts w:ascii="Arial" w:cs="Arial" w:eastAsia="Arial" w:hAnsi="Arial"/>
                <w:sz w:val="14"/>
                <w:szCs w:val="14"/>
                <w:b w:val="1"/>
                <w:bCs w:val="1"/>
                <w:color w:val="FFFFFF"/>
              </w:rPr>
              <w:t>(b)</w:t>
            </w:r>
          </w:p>
        </w:tc>
        <w:tc>
          <w:tcPr>
            <w:tcW w:w="880" w:type="dxa"/>
            <w:vAlign w:val="bottom"/>
            <w:tcBorders>
              <w:right w:val="single" w:sz="8" w:color="007CBA"/>
            </w:tcBorders>
            <w:shd w:val="clear" w:color="auto" w:fill="007CBA"/>
          </w:tcPr>
          <w:p>
            <w:pPr>
              <w:jc w:val="right"/>
              <w:ind w:right="308"/>
              <w:spacing w:after="0"/>
              <w:rPr>
                <w:sz w:val="20"/>
                <w:szCs w:val="20"/>
                <w:color w:val="auto"/>
              </w:rPr>
            </w:pPr>
            <w:r>
              <w:rPr>
                <w:rFonts w:ascii="Arial" w:cs="Arial" w:eastAsia="Arial" w:hAnsi="Arial"/>
                <w:sz w:val="14"/>
                <w:szCs w:val="14"/>
                <w:b w:val="1"/>
                <w:bCs w:val="1"/>
                <w:color w:val="FFFFFF"/>
              </w:rPr>
              <w:t>(c)</w:t>
            </w:r>
          </w:p>
        </w:tc>
        <w:tc>
          <w:tcPr>
            <w:tcW w:w="860" w:type="dxa"/>
            <w:vAlign w:val="bottom"/>
            <w:tcBorders>
              <w:right w:val="single" w:sz="8" w:color="007CBA"/>
            </w:tcBorders>
            <w:shd w:val="clear" w:color="auto" w:fill="007CBA"/>
          </w:tcPr>
          <w:p>
            <w:pPr>
              <w:jc w:val="right"/>
              <w:ind w:right="289"/>
              <w:spacing w:after="0"/>
              <w:rPr>
                <w:sz w:val="20"/>
                <w:szCs w:val="20"/>
                <w:color w:val="auto"/>
              </w:rPr>
            </w:pPr>
            <w:r>
              <w:rPr>
                <w:rFonts w:ascii="Arial" w:cs="Arial" w:eastAsia="Arial" w:hAnsi="Arial"/>
                <w:sz w:val="14"/>
                <w:szCs w:val="14"/>
                <w:b w:val="1"/>
                <w:bCs w:val="1"/>
                <w:color w:val="FFFFFF"/>
              </w:rPr>
              <w:t>(d)</w:t>
            </w:r>
          </w:p>
        </w:tc>
        <w:tc>
          <w:tcPr>
            <w:tcW w:w="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(e)</w:t>
            </w:r>
          </w:p>
        </w:tc>
        <w:tc>
          <w:tcPr>
            <w:tcW w:w="7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(f)</w:t>
            </w:r>
          </w:p>
        </w:tc>
        <w:tc>
          <w:tcPr>
            <w:tcW w:w="12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(g)</w:t>
            </w:r>
          </w:p>
        </w:tc>
        <w:tc>
          <w:tcPr>
            <w:tcW w:w="12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(h)</w:t>
            </w:r>
          </w:p>
        </w:tc>
        <w:tc>
          <w:tcPr>
            <w:tcW w:w="12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w:t>
            </w:r>
          </w:p>
        </w:tc>
        <w:tc>
          <w:tcPr>
            <w:tcW w:w="860" w:type="dxa"/>
            <w:vAlign w:val="bottom"/>
            <w:shd w:val="clear" w:color="auto" w:fill="007CBA"/>
          </w:tcPr>
          <w:p>
            <w:pPr>
              <w:jc w:val="right"/>
              <w:ind w:right="308"/>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167"/>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C. Howard Nye</w:t>
            </w:r>
          </w:p>
        </w:tc>
        <w:tc>
          <w:tcPr>
            <w:tcW w:w="56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2016</w:t>
            </w:r>
          </w:p>
        </w:tc>
        <w:tc>
          <w:tcPr>
            <w:tcW w:w="8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1,005,000</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1,300,000</w:t>
            </w:r>
          </w:p>
        </w:tc>
        <w:tc>
          <w:tcPr>
            <w:tcW w:w="8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4,682,240</w:t>
            </w:r>
          </w:p>
        </w:tc>
        <w:tc>
          <w:tcPr>
            <w:tcW w:w="76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687,864</w:t>
            </w:r>
          </w:p>
        </w:tc>
        <w:tc>
          <w:tcPr>
            <w:tcW w:w="12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364,227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8,039,331</w:t>
            </w: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Chairman, President</w:t>
            </w:r>
          </w:p>
        </w:tc>
        <w:tc>
          <w:tcPr>
            <w:tcW w:w="56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2015</w:t>
            </w:r>
          </w:p>
        </w:tc>
        <w:tc>
          <w:tcPr>
            <w:tcW w:w="8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977,500</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603,606</w:t>
            </w:r>
          </w:p>
        </w:tc>
        <w:tc>
          <w:tcPr>
            <w:tcW w:w="8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1,697,067</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731,763</w:t>
            </w: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496,430</w:t>
            </w:r>
          </w:p>
        </w:tc>
        <w:tc>
          <w:tcPr>
            <w:tcW w:w="12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241,027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4,747,393</w:t>
            </w:r>
          </w:p>
        </w:tc>
        <w:tc>
          <w:tcPr>
            <w:tcW w:w="0" w:type="dxa"/>
            <w:vAlign w:val="bottom"/>
          </w:tcPr>
          <w:p>
            <w:pPr>
              <w:spacing w:after="0"/>
              <w:rPr>
                <w:sz w:val="1"/>
                <w:szCs w:val="1"/>
                <w:color w:val="auto"/>
              </w:rPr>
            </w:pPr>
          </w:p>
        </w:tc>
      </w:tr>
      <w:tr>
        <w:trPr>
          <w:trHeight w:val="171"/>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and CEO</w:t>
            </w:r>
          </w:p>
        </w:tc>
        <w:tc>
          <w:tcPr>
            <w:tcW w:w="56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928,755</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715,000</w:t>
            </w:r>
          </w:p>
        </w:tc>
        <w:tc>
          <w:tcPr>
            <w:tcW w:w="8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4,418,415</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589,817</w:t>
            </w: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710,125</w:t>
            </w:r>
          </w:p>
        </w:tc>
        <w:tc>
          <w:tcPr>
            <w:tcW w:w="12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241,092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7,603,204</w:t>
            </w: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Anne H. Lloyd</w:t>
            </w:r>
          </w:p>
        </w:tc>
        <w:tc>
          <w:tcPr>
            <w:tcW w:w="56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2016</w:t>
            </w:r>
          </w:p>
        </w:tc>
        <w:tc>
          <w:tcPr>
            <w:tcW w:w="8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540,850</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526,139</w:t>
            </w:r>
          </w:p>
        </w:tc>
        <w:tc>
          <w:tcPr>
            <w:tcW w:w="8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1,067,845</w:t>
            </w:r>
          </w:p>
        </w:tc>
        <w:tc>
          <w:tcPr>
            <w:tcW w:w="760" w:type="dxa"/>
            <w:vAlign w:val="bottom"/>
            <w:tcBorders>
              <w:right w:val="single" w:sz="8" w:color="007CBA"/>
            </w:tcBorders>
            <w:shd w:val="clear" w:color="auto" w:fill="E5F1F8"/>
          </w:tcPr>
          <w:p>
            <w:pPr>
              <w:spacing w:after="0"/>
              <w:rPr>
                <w:sz w:val="14"/>
                <w:szCs w:val="14"/>
                <w:color w:val="auto"/>
              </w:rPr>
            </w:pPr>
          </w:p>
        </w:tc>
        <w:tc>
          <w:tcPr>
            <w:tcW w:w="1200" w:type="dxa"/>
            <w:vAlign w:val="bottom"/>
            <w:tcBorders>
              <w:right w:val="single" w:sz="8" w:color="007CBA"/>
            </w:tcBorders>
            <w:shd w:val="clear" w:color="auto" w:fill="E5F1F8"/>
          </w:tcPr>
          <w:p>
            <w:pPr>
              <w:spacing w:after="0"/>
              <w:rPr>
                <w:sz w:val="14"/>
                <w:szCs w:val="14"/>
                <w:color w:val="auto"/>
              </w:rPr>
            </w:pPr>
          </w:p>
        </w:tc>
        <w:tc>
          <w:tcPr>
            <w:tcW w:w="12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490,109</w:t>
            </w:r>
          </w:p>
        </w:tc>
        <w:tc>
          <w:tcPr>
            <w:tcW w:w="12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91,421</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2,716,364</w:t>
            </w: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Executive Vice</w:t>
            </w:r>
          </w:p>
        </w:tc>
        <w:tc>
          <w:tcPr>
            <w:tcW w:w="56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2015</w:t>
            </w:r>
          </w:p>
        </w:tc>
        <w:tc>
          <w:tcPr>
            <w:tcW w:w="8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525,325</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319,398</w:t>
            </w:r>
          </w:p>
        </w:tc>
        <w:tc>
          <w:tcPr>
            <w:tcW w:w="8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603,530</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233,668</w:t>
            </w:r>
          </w:p>
        </w:tc>
        <w:tc>
          <w:tcPr>
            <w:tcW w:w="1200" w:type="dxa"/>
            <w:vAlign w:val="bottom"/>
            <w:tcBorders>
              <w:right w:val="single" w:sz="8" w:color="007CBA"/>
            </w:tcBorders>
            <w:shd w:val="clear" w:color="auto" w:fill="E5F1F8"/>
          </w:tcPr>
          <w:p>
            <w:pPr>
              <w:spacing w:after="0"/>
              <w:rPr>
                <w:sz w:val="14"/>
                <w:szCs w:val="14"/>
                <w:color w:val="auto"/>
              </w:rPr>
            </w:pPr>
          </w:p>
        </w:tc>
        <w:tc>
          <w:tcPr>
            <w:tcW w:w="12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253,253</w:t>
            </w:r>
          </w:p>
        </w:tc>
        <w:tc>
          <w:tcPr>
            <w:tcW w:w="12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88,118</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2,023,292</w:t>
            </w:r>
          </w:p>
        </w:tc>
        <w:tc>
          <w:tcPr>
            <w:tcW w:w="0" w:type="dxa"/>
            <w:vAlign w:val="bottom"/>
          </w:tcPr>
          <w:p>
            <w:pPr>
              <w:spacing w:after="0"/>
              <w:rPr>
                <w:sz w:val="1"/>
                <w:szCs w:val="1"/>
                <w:color w:val="auto"/>
              </w:rPr>
            </w:pPr>
          </w:p>
        </w:tc>
      </w:tr>
      <w:tr>
        <w:trPr>
          <w:trHeight w:val="176"/>
        </w:trPr>
        <w:tc>
          <w:tcPr>
            <w:tcW w:w="29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President and CFO</w:t>
            </w:r>
          </w:p>
        </w:tc>
        <w:tc>
          <w:tcPr>
            <w:tcW w:w="56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510,775</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407,280</w:t>
            </w:r>
          </w:p>
        </w:tc>
        <w:tc>
          <w:tcPr>
            <w:tcW w:w="8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2,093,845</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199,906</w:t>
            </w:r>
          </w:p>
        </w:tc>
        <w:tc>
          <w:tcPr>
            <w:tcW w:w="1200" w:type="dxa"/>
            <w:vAlign w:val="bottom"/>
            <w:tcBorders>
              <w:right w:val="single" w:sz="8" w:color="007CBA"/>
            </w:tcBorders>
            <w:shd w:val="clear" w:color="auto" w:fill="E5F1F8"/>
          </w:tcPr>
          <w:p>
            <w:pPr>
              <w:spacing w:after="0"/>
              <w:rPr>
                <w:sz w:val="15"/>
                <w:szCs w:val="15"/>
                <w:color w:val="auto"/>
              </w:rPr>
            </w:pPr>
          </w:p>
        </w:tc>
        <w:tc>
          <w:tcPr>
            <w:tcW w:w="12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604,298</w:t>
            </w:r>
          </w:p>
        </w:tc>
        <w:tc>
          <w:tcPr>
            <w:tcW w:w="12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79,879</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3,895,983</w:t>
            </w:r>
          </w:p>
        </w:tc>
        <w:tc>
          <w:tcPr>
            <w:tcW w:w="0" w:type="dxa"/>
            <w:vAlign w:val="bottom"/>
          </w:tcPr>
          <w:p>
            <w:pPr>
              <w:spacing w:after="0"/>
              <w:rPr>
                <w:sz w:val="1"/>
                <w:szCs w:val="1"/>
                <w:color w:val="auto"/>
              </w:rPr>
            </w:pPr>
          </w:p>
        </w:tc>
      </w:tr>
      <w:tr>
        <w:trPr>
          <w:trHeight w:val="167"/>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Roselyn R. Bar</w:t>
            </w:r>
          </w:p>
        </w:tc>
        <w:tc>
          <w:tcPr>
            <w:tcW w:w="560" w:type="dxa"/>
            <w:vAlign w:val="bottom"/>
            <w:tcBorders>
              <w:right w:val="single" w:sz="8" w:color="007CBA"/>
            </w:tcBorders>
            <w:vMerge w:val="restart"/>
          </w:tcPr>
          <w:p>
            <w:pPr>
              <w:jc w:val="right"/>
              <w:ind w:right="48"/>
              <w:spacing w:after="0"/>
              <w:rPr>
                <w:sz w:val="20"/>
                <w:szCs w:val="20"/>
                <w:color w:val="auto"/>
              </w:rPr>
            </w:pPr>
            <w:r>
              <w:rPr>
                <w:rFonts w:ascii="Arial" w:cs="Arial" w:eastAsia="Arial" w:hAnsi="Arial"/>
                <w:sz w:val="14"/>
                <w:szCs w:val="14"/>
                <w:color w:val="auto"/>
              </w:rPr>
              <w:t>2016</w:t>
            </w:r>
          </w:p>
        </w:tc>
        <w:tc>
          <w:tcPr>
            <w:tcW w:w="880" w:type="dxa"/>
            <w:vAlign w:val="bottom"/>
            <w:tcBorders>
              <w:right w:val="single" w:sz="8" w:color="007CBA"/>
            </w:tcBorders>
            <w:vMerge w:val="restart"/>
          </w:tcPr>
          <w:p>
            <w:pPr>
              <w:jc w:val="right"/>
              <w:ind w:right="48"/>
              <w:spacing w:after="0"/>
              <w:rPr>
                <w:sz w:val="20"/>
                <w:szCs w:val="20"/>
                <w:color w:val="auto"/>
              </w:rPr>
            </w:pPr>
            <w:r>
              <w:rPr>
                <w:rFonts w:ascii="Arial" w:cs="Arial" w:eastAsia="Arial" w:hAnsi="Arial"/>
                <w:sz w:val="14"/>
                <w:szCs w:val="14"/>
                <w:color w:val="auto"/>
              </w:rPr>
              <w:t>496,583</w:t>
            </w:r>
          </w:p>
        </w:tc>
        <w:tc>
          <w:tcPr>
            <w:tcW w:w="86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498,967</w:t>
            </w:r>
          </w:p>
        </w:tc>
        <w:tc>
          <w:tcPr>
            <w:tcW w:w="88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1,001,335</w:t>
            </w:r>
          </w:p>
        </w:tc>
        <w:tc>
          <w:tcPr>
            <w:tcW w:w="76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528,522</w:t>
            </w:r>
          </w:p>
        </w:tc>
        <w:tc>
          <w:tcPr>
            <w:tcW w:w="122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100,915</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2,626,322</w:t>
            </w:r>
          </w:p>
        </w:tc>
        <w:tc>
          <w:tcPr>
            <w:tcW w:w="0" w:type="dxa"/>
            <w:vAlign w:val="bottom"/>
          </w:tcPr>
          <w:p>
            <w:pPr>
              <w:spacing w:after="0"/>
              <w:rPr>
                <w:sz w:val="1"/>
                <w:szCs w:val="1"/>
                <w:color w:val="auto"/>
              </w:rPr>
            </w:pPr>
          </w:p>
        </w:tc>
      </w:tr>
      <w:tr>
        <w:trPr>
          <w:trHeight w:val="64"/>
        </w:trPr>
        <w:tc>
          <w:tcPr>
            <w:tcW w:w="2960" w:type="dxa"/>
            <w:vAlign w:val="bottom"/>
            <w:tcBorders>
              <w:right w:val="single" w:sz="8" w:color="007CBA"/>
            </w:tcBorders>
            <w:vMerge w:val="restart"/>
          </w:tcPr>
          <w:p>
            <w:pPr>
              <w:ind w:left="80"/>
              <w:spacing w:after="0"/>
              <w:rPr>
                <w:sz w:val="20"/>
                <w:szCs w:val="20"/>
                <w:color w:val="auto"/>
              </w:rPr>
            </w:pPr>
            <w:r>
              <w:rPr>
                <w:rFonts w:ascii="Arial" w:cs="Arial" w:eastAsia="Arial" w:hAnsi="Arial"/>
                <w:sz w:val="14"/>
                <w:szCs w:val="14"/>
                <w:color w:val="auto"/>
              </w:rPr>
              <w:t>Executive Vice President,</w:t>
            </w:r>
          </w:p>
        </w:tc>
        <w:tc>
          <w:tcPr>
            <w:tcW w:w="560" w:type="dxa"/>
            <w:vAlign w:val="bottom"/>
            <w:tcBorders>
              <w:right w:val="single" w:sz="8" w:color="007CBA"/>
            </w:tcBorders>
            <w:vMerge w:val="continue"/>
          </w:tcPr>
          <w:p>
            <w:pPr>
              <w:spacing w:after="0"/>
              <w:rPr>
                <w:sz w:val="5"/>
                <w:szCs w:val="5"/>
                <w:color w:val="auto"/>
              </w:rPr>
            </w:pPr>
          </w:p>
        </w:tc>
        <w:tc>
          <w:tcPr>
            <w:tcW w:w="880" w:type="dxa"/>
            <w:vAlign w:val="bottom"/>
            <w:tcBorders>
              <w:right w:val="single" w:sz="8" w:color="007CBA"/>
            </w:tcBorders>
            <w:vMerge w:val="continue"/>
          </w:tcPr>
          <w:p>
            <w:pPr>
              <w:spacing w:after="0"/>
              <w:rPr>
                <w:sz w:val="5"/>
                <w:szCs w:val="5"/>
                <w:color w:val="auto"/>
              </w:rPr>
            </w:pPr>
          </w:p>
        </w:tc>
        <w:tc>
          <w:tcPr>
            <w:tcW w:w="860" w:type="dxa"/>
            <w:vAlign w:val="bottom"/>
            <w:tcBorders>
              <w:right w:val="single" w:sz="8" w:color="007CBA"/>
            </w:tcBorders>
            <w:vMerge w:val="continue"/>
          </w:tcPr>
          <w:p>
            <w:pPr>
              <w:spacing w:after="0"/>
              <w:rPr>
                <w:sz w:val="5"/>
                <w:szCs w:val="5"/>
                <w:color w:val="auto"/>
              </w:rPr>
            </w:pPr>
          </w:p>
        </w:tc>
        <w:tc>
          <w:tcPr>
            <w:tcW w:w="880" w:type="dxa"/>
            <w:vAlign w:val="bottom"/>
            <w:tcBorders>
              <w:right w:val="single" w:sz="8" w:color="007CBA"/>
            </w:tcBorders>
            <w:vMerge w:val="continue"/>
          </w:tcPr>
          <w:p>
            <w:pPr>
              <w:spacing w:after="0"/>
              <w:rPr>
                <w:sz w:val="5"/>
                <w:szCs w:val="5"/>
                <w:color w:val="auto"/>
              </w:rPr>
            </w:pPr>
          </w:p>
        </w:tc>
        <w:tc>
          <w:tcPr>
            <w:tcW w:w="760" w:type="dxa"/>
            <w:vAlign w:val="bottom"/>
            <w:tcBorders>
              <w:right w:val="single" w:sz="8" w:color="007CBA"/>
            </w:tcBorders>
          </w:tcPr>
          <w:p>
            <w:pPr>
              <w:spacing w:after="0"/>
              <w:rPr>
                <w:sz w:val="5"/>
                <w:szCs w:val="5"/>
                <w:color w:val="auto"/>
              </w:rPr>
            </w:pPr>
          </w:p>
        </w:tc>
        <w:tc>
          <w:tcPr>
            <w:tcW w:w="1200" w:type="dxa"/>
            <w:vAlign w:val="bottom"/>
            <w:tcBorders>
              <w:right w:val="single" w:sz="8" w:color="007CBA"/>
            </w:tcBorders>
          </w:tcPr>
          <w:p>
            <w:pPr>
              <w:spacing w:after="0"/>
              <w:rPr>
                <w:sz w:val="5"/>
                <w:szCs w:val="5"/>
                <w:color w:val="auto"/>
              </w:rPr>
            </w:pPr>
          </w:p>
        </w:tc>
        <w:tc>
          <w:tcPr>
            <w:tcW w:w="1240" w:type="dxa"/>
            <w:vAlign w:val="bottom"/>
            <w:tcBorders>
              <w:right w:val="single" w:sz="8" w:color="007CBA"/>
            </w:tcBorders>
            <w:vMerge w:val="continue"/>
          </w:tcPr>
          <w:p>
            <w:pPr>
              <w:spacing w:after="0"/>
              <w:rPr>
                <w:sz w:val="5"/>
                <w:szCs w:val="5"/>
                <w:color w:val="auto"/>
              </w:rPr>
            </w:pPr>
          </w:p>
        </w:tc>
        <w:tc>
          <w:tcPr>
            <w:tcW w:w="1220" w:type="dxa"/>
            <w:vAlign w:val="bottom"/>
            <w:tcBorders>
              <w:right w:val="single" w:sz="8" w:color="007CBA"/>
            </w:tcBorders>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960" w:type="dxa"/>
            <w:vAlign w:val="bottom"/>
            <w:tcBorders>
              <w:right w:val="single" w:sz="8" w:color="007CBA"/>
            </w:tcBorders>
            <w:vMerge w:val="continue"/>
          </w:tcPr>
          <w:p>
            <w:pPr>
              <w:spacing w:after="0"/>
              <w:rPr>
                <w:sz w:val="8"/>
                <w:szCs w:val="8"/>
                <w:color w:val="auto"/>
              </w:rPr>
            </w:pPr>
          </w:p>
        </w:tc>
        <w:tc>
          <w:tcPr>
            <w:tcW w:w="560" w:type="dxa"/>
            <w:vAlign w:val="bottom"/>
            <w:tcBorders>
              <w:right w:val="single" w:sz="8" w:color="007CBA"/>
            </w:tcBorders>
            <w:vMerge w:val="restart"/>
          </w:tcPr>
          <w:p>
            <w:pPr>
              <w:jc w:val="right"/>
              <w:ind w:right="48"/>
              <w:spacing w:after="0"/>
              <w:rPr>
                <w:sz w:val="20"/>
                <w:szCs w:val="20"/>
                <w:color w:val="auto"/>
              </w:rPr>
            </w:pPr>
            <w:r>
              <w:rPr>
                <w:rFonts w:ascii="Arial" w:cs="Arial" w:eastAsia="Arial" w:hAnsi="Arial"/>
                <w:sz w:val="14"/>
                <w:szCs w:val="14"/>
                <w:color w:val="auto"/>
              </w:rPr>
              <w:t>2015</w:t>
            </w:r>
          </w:p>
        </w:tc>
        <w:tc>
          <w:tcPr>
            <w:tcW w:w="880" w:type="dxa"/>
            <w:vAlign w:val="bottom"/>
            <w:tcBorders>
              <w:right w:val="single" w:sz="8" w:color="007CBA"/>
            </w:tcBorders>
            <w:vMerge w:val="restart"/>
          </w:tcPr>
          <w:p>
            <w:pPr>
              <w:jc w:val="right"/>
              <w:ind w:right="48"/>
              <w:spacing w:after="0"/>
              <w:rPr>
                <w:sz w:val="20"/>
                <w:szCs w:val="20"/>
                <w:color w:val="auto"/>
              </w:rPr>
            </w:pPr>
            <w:r>
              <w:rPr>
                <w:rFonts w:ascii="Arial" w:cs="Arial" w:eastAsia="Arial" w:hAnsi="Arial"/>
                <w:sz w:val="14"/>
                <w:szCs w:val="14"/>
                <w:color w:val="auto"/>
              </w:rPr>
              <w:t>445,121</w:t>
            </w:r>
          </w:p>
        </w:tc>
        <w:tc>
          <w:tcPr>
            <w:tcW w:w="86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241,033</w:t>
            </w:r>
          </w:p>
        </w:tc>
        <w:tc>
          <w:tcPr>
            <w:tcW w:w="880" w:type="dxa"/>
            <w:vAlign w:val="bottom"/>
            <w:tcBorders>
              <w:right w:val="single" w:sz="8" w:color="007CBA"/>
            </w:tcBorders>
            <w:vMerge w:val="restart"/>
          </w:tcPr>
          <w:p>
            <w:pPr>
              <w:jc w:val="right"/>
              <w:ind w:right="29"/>
              <w:spacing w:after="0"/>
              <w:rPr>
                <w:sz w:val="20"/>
                <w:szCs w:val="20"/>
                <w:color w:val="auto"/>
              </w:rPr>
            </w:pPr>
            <w:r>
              <w:rPr>
                <w:rFonts w:ascii="Arial" w:cs="Arial" w:eastAsia="Arial" w:hAnsi="Arial"/>
                <w:sz w:val="14"/>
                <w:szCs w:val="14"/>
                <w:color w:val="auto"/>
              </w:rPr>
              <w:t>491,597</w:t>
            </w:r>
          </w:p>
        </w:tc>
        <w:tc>
          <w:tcPr>
            <w:tcW w:w="76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190,732</w:t>
            </w:r>
          </w:p>
        </w:tc>
        <w:tc>
          <w:tcPr>
            <w:tcW w:w="1200" w:type="dxa"/>
            <w:vAlign w:val="bottom"/>
            <w:tcBorders>
              <w:right w:val="single" w:sz="8" w:color="007CBA"/>
            </w:tcBorders>
          </w:tcPr>
          <w:p>
            <w:pPr>
              <w:spacing w:after="0"/>
              <w:rPr>
                <w:sz w:val="8"/>
                <w:szCs w:val="8"/>
                <w:color w:val="auto"/>
              </w:rPr>
            </w:pPr>
          </w:p>
        </w:tc>
        <w:tc>
          <w:tcPr>
            <w:tcW w:w="124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276,972</w:t>
            </w:r>
          </w:p>
        </w:tc>
        <w:tc>
          <w:tcPr>
            <w:tcW w:w="1220" w:type="dxa"/>
            <w:vAlign w:val="bottom"/>
            <w:tcBorders>
              <w:right w:val="single" w:sz="8" w:color="007CBA"/>
            </w:tcBorders>
            <w:vMerge w:val="restart"/>
          </w:tcPr>
          <w:p>
            <w:pPr>
              <w:jc w:val="right"/>
              <w:ind w:right="49"/>
              <w:spacing w:after="0"/>
              <w:rPr>
                <w:sz w:val="20"/>
                <w:szCs w:val="20"/>
                <w:color w:val="auto"/>
              </w:rPr>
            </w:pPr>
            <w:r>
              <w:rPr>
                <w:rFonts w:ascii="Arial" w:cs="Arial" w:eastAsia="Arial" w:hAnsi="Arial"/>
                <w:sz w:val="14"/>
                <w:szCs w:val="14"/>
                <w:color w:val="auto"/>
              </w:rPr>
              <w:t>76,735</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1,722,190</w:t>
            </w:r>
          </w:p>
        </w:tc>
        <w:tc>
          <w:tcPr>
            <w:tcW w:w="0" w:type="dxa"/>
            <w:vAlign w:val="bottom"/>
          </w:tcPr>
          <w:p>
            <w:pPr>
              <w:spacing w:after="0"/>
              <w:rPr>
                <w:sz w:val="1"/>
                <w:szCs w:val="1"/>
                <w:color w:val="auto"/>
              </w:rPr>
            </w:pPr>
          </w:p>
        </w:tc>
      </w:tr>
      <w:tr>
        <w:trPr>
          <w:trHeight w:val="118"/>
        </w:trPr>
        <w:tc>
          <w:tcPr>
            <w:tcW w:w="2960" w:type="dxa"/>
            <w:vAlign w:val="bottom"/>
            <w:tcBorders>
              <w:right w:val="single" w:sz="8" w:color="007CBA"/>
            </w:tcBorders>
            <w:vMerge w:val="restart"/>
          </w:tcPr>
          <w:p>
            <w:pPr>
              <w:ind w:left="80"/>
              <w:spacing w:after="0"/>
              <w:rPr>
                <w:sz w:val="20"/>
                <w:szCs w:val="20"/>
                <w:color w:val="auto"/>
              </w:rPr>
            </w:pPr>
            <w:r>
              <w:rPr>
                <w:rFonts w:ascii="Arial" w:cs="Arial" w:eastAsia="Arial" w:hAnsi="Arial"/>
                <w:sz w:val="14"/>
                <w:szCs w:val="14"/>
                <w:color w:val="auto"/>
              </w:rPr>
              <w:t>General Counsel and</w:t>
            </w:r>
          </w:p>
        </w:tc>
        <w:tc>
          <w:tcPr>
            <w:tcW w:w="560" w:type="dxa"/>
            <w:vAlign w:val="bottom"/>
            <w:tcBorders>
              <w:right w:val="single" w:sz="8" w:color="007CBA"/>
            </w:tcBorders>
            <w:vMerge w:val="continue"/>
          </w:tcPr>
          <w:p>
            <w:pPr>
              <w:spacing w:after="0"/>
              <w:rPr>
                <w:sz w:val="10"/>
                <w:szCs w:val="10"/>
                <w:color w:val="auto"/>
              </w:rPr>
            </w:pPr>
          </w:p>
        </w:tc>
        <w:tc>
          <w:tcPr>
            <w:tcW w:w="880" w:type="dxa"/>
            <w:vAlign w:val="bottom"/>
            <w:tcBorders>
              <w:right w:val="single" w:sz="8" w:color="007CBA"/>
            </w:tcBorders>
            <w:vMerge w:val="continue"/>
          </w:tcPr>
          <w:p>
            <w:pPr>
              <w:spacing w:after="0"/>
              <w:rPr>
                <w:sz w:val="10"/>
                <w:szCs w:val="10"/>
                <w:color w:val="auto"/>
              </w:rPr>
            </w:pPr>
          </w:p>
        </w:tc>
        <w:tc>
          <w:tcPr>
            <w:tcW w:w="860" w:type="dxa"/>
            <w:vAlign w:val="bottom"/>
            <w:tcBorders>
              <w:right w:val="single" w:sz="8" w:color="007CBA"/>
            </w:tcBorders>
            <w:vMerge w:val="continue"/>
          </w:tcPr>
          <w:p>
            <w:pPr>
              <w:spacing w:after="0"/>
              <w:rPr>
                <w:sz w:val="10"/>
                <w:szCs w:val="10"/>
                <w:color w:val="auto"/>
              </w:rPr>
            </w:pPr>
          </w:p>
        </w:tc>
        <w:tc>
          <w:tcPr>
            <w:tcW w:w="880" w:type="dxa"/>
            <w:vAlign w:val="bottom"/>
            <w:tcBorders>
              <w:right w:val="single" w:sz="8" w:color="007CBA"/>
            </w:tcBorders>
            <w:vMerge w:val="continue"/>
          </w:tcPr>
          <w:p>
            <w:pPr>
              <w:spacing w:after="0"/>
              <w:rPr>
                <w:sz w:val="10"/>
                <w:szCs w:val="10"/>
                <w:color w:val="auto"/>
              </w:rPr>
            </w:pPr>
          </w:p>
        </w:tc>
        <w:tc>
          <w:tcPr>
            <w:tcW w:w="760" w:type="dxa"/>
            <w:vAlign w:val="bottom"/>
            <w:tcBorders>
              <w:right w:val="single" w:sz="8" w:color="007CBA"/>
            </w:tcBorders>
            <w:vMerge w:val="continue"/>
          </w:tcPr>
          <w:p>
            <w:pPr>
              <w:spacing w:after="0"/>
              <w:rPr>
                <w:sz w:val="10"/>
                <w:szCs w:val="10"/>
                <w:color w:val="auto"/>
              </w:rPr>
            </w:pPr>
          </w:p>
        </w:tc>
        <w:tc>
          <w:tcPr>
            <w:tcW w:w="1200" w:type="dxa"/>
            <w:vAlign w:val="bottom"/>
            <w:tcBorders>
              <w:right w:val="single" w:sz="8" w:color="007CBA"/>
            </w:tcBorders>
          </w:tcPr>
          <w:p>
            <w:pPr>
              <w:spacing w:after="0"/>
              <w:rPr>
                <w:sz w:val="10"/>
                <w:szCs w:val="10"/>
                <w:color w:val="auto"/>
              </w:rPr>
            </w:pPr>
          </w:p>
        </w:tc>
        <w:tc>
          <w:tcPr>
            <w:tcW w:w="1240" w:type="dxa"/>
            <w:vAlign w:val="bottom"/>
            <w:tcBorders>
              <w:right w:val="single" w:sz="8" w:color="007CBA"/>
            </w:tcBorders>
            <w:vMerge w:val="continue"/>
          </w:tcPr>
          <w:p>
            <w:pPr>
              <w:spacing w:after="0"/>
              <w:rPr>
                <w:sz w:val="10"/>
                <w:szCs w:val="10"/>
                <w:color w:val="auto"/>
              </w:rPr>
            </w:pPr>
          </w:p>
        </w:tc>
        <w:tc>
          <w:tcPr>
            <w:tcW w:w="1220" w:type="dxa"/>
            <w:vAlign w:val="bottom"/>
            <w:tcBorders>
              <w:right w:val="single" w:sz="8" w:color="007CBA"/>
            </w:tcBorders>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960" w:type="dxa"/>
            <w:vAlign w:val="bottom"/>
            <w:tcBorders>
              <w:right w:val="single" w:sz="8" w:color="007CBA"/>
            </w:tcBorders>
            <w:vMerge w:val="continue"/>
          </w:tcPr>
          <w:p>
            <w:pPr>
              <w:spacing w:after="0"/>
              <w:rPr>
                <w:sz w:val="3"/>
                <w:szCs w:val="3"/>
                <w:color w:val="auto"/>
              </w:rPr>
            </w:pPr>
          </w:p>
        </w:tc>
        <w:tc>
          <w:tcPr>
            <w:tcW w:w="5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860" w:type="dxa"/>
            <w:vAlign w:val="bottom"/>
            <w:tcBorders>
              <w:right w:val="single" w:sz="8" w:color="007CBA"/>
            </w:tcBorders>
          </w:tcPr>
          <w:p>
            <w:pPr>
              <w:spacing w:after="0"/>
              <w:rPr>
                <w:sz w:val="3"/>
                <w:szCs w:val="3"/>
                <w:color w:val="auto"/>
              </w:rPr>
            </w:pPr>
          </w:p>
        </w:tc>
        <w:tc>
          <w:tcPr>
            <w:tcW w:w="880" w:type="dxa"/>
            <w:vAlign w:val="bottom"/>
            <w:tcBorders>
              <w:right w:val="single" w:sz="8" w:color="007CBA"/>
            </w:tcBorders>
          </w:tcPr>
          <w:p>
            <w:pPr>
              <w:spacing w:after="0"/>
              <w:rPr>
                <w:sz w:val="3"/>
                <w:szCs w:val="3"/>
                <w:color w:val="auto"/>
              </w:rPr>
            </w:pPr>
          </w:p>
        </w:tc>
        <w:tc>
          <w:tcPr>
            <w:tcW w:w="760" w:type="dxa"/>
            <w:vAlign w:val="bottom"/>
            <w:tcBorders>
              <w:right w:val="single" w:sz="8" w:color="007CBA"/>
            </w:tcBorders>
          </w:tcPr>
          <w:p>
            <w:pPr>
              <w:spacing w:after="0"/>
              <w:rPr>
                <w:sz w:val="3"/>
                <w:szCs w:val="3"/>
                <w:color w:val="auto"/>
              </w:rPr>
            </w:pPr>
          </w:p>
        </w:tc>
        <w:tc>
          <w:tcPr>
            <w:tcW w:w="1200" w:type="dxa"/>
            <w:vAlign w:val="bottom"/>
            <w:tcBorders>
              <w:right w:val="single" w:sz="8" w:color="007CBA"/>
            </w:tcBorders>
          </w:tcPr>
          <w:p>
            <w:pPr>
              <w:spacing w:after="0"/>
              <w:rPr>
                <w:sz w:val="3"/>
                <w:szCs w:val="3"/>
                <w:color w:val="auto"/>
              </w:rPr>
            </w:pPr>
          </w:p>
        </w:tc>
        <w:tc>
          <w:tcPr>
            <w:tcW w:w="1240" w:type="dxa"/>
            <w:vAlign w:val="bottom"/>
            <w:tcBorders>
              <w:right w:val="single" w:sz="8" w:color="007CBA"/>
            </w:tcBorders>
          </w:tcPr>
          <w:p>
            <w:pPr>
              <w:spacing w:after="0"/>
              <w:rPr>
                <w:sz w:val="3"/>
                <w:szCs w:val="3"/>
                <w:color w:val="auto"/>
              </w:rPr>
            </w:pPr>
          </w:p>
        </w:tc>
        <w:tc>
          <w:tcPr>
            <w:tcW w:w="1220" w:type="dxa"/>
            <w:vAlign w:val="bottom"/>
            <w:tcBorders>
              <w:right w:val="single" w:sz="8" w:color="007CBA"/>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Corporate Secretary</w:t>
            </w:r>
          </w:p>
        </w:tc>
        <w:tc>
          <w:tcPr>
            <w:tcW w:w="56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425,496</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346,400</w:t>
            </w:r>
          </w:p>
        </w:tc>
        <w:tc>
          <w:tcPr>
            <w:tcW w:w="8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1,734,847</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163,129</w:t>
            </w: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591,148</w:t>
            </w:r>
          </w:p>
        </w:tc>
        <w:tc>
          <w:tcPr>
            <w:tcW w:w="12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69,356</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3,330,376</w:t>
            </w: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Donald A. McCunniff</w:t>
            </w:r>
          </w:p>
        </w:tc>
        <w:tc>
          <w:tcPr>
            <w:tcW w:w="56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2016</w:t>
            </w:r>
          </w:p>
        </w:tc>
        <w:tc>
          <w:tcPr>
            <w:tcW w:w="8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370,050</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323,276</w:t>
            </w:r>
          </w:p>
        </w:tc>
        <w:tc>
          <w:tcPr>
            <w:tcW w:w="8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629,840</w:t>
            </w:r>
          </w:p>
        </w:tc>
        <w:tc>
          <w:tcPr>
            <w:tcW w:w="760" w:type="dxa"/>
            <w:vAlign w:val="bottom"/>
            <w:tcBorders>
              <w:right w:val="single" w:sz="8" w:color="007CBA"/>
            </w:tcBorders>
            <w:shd w:val="clear" w:color="auto" w:fill="E5F1F8"/>
          </w:tcPr>
          <w:p>
            <w:pPr>
              <w:spacing w:after="0"/>
              <w:rPr>
                <w:sz w:val="14"/>
                <w:szCs w:val="14"/>
                <w:color w:val="auto"/>
              </w:rPr>
            </w:pPr>
          </w:p>
        </w:tc>
        <w:tc>
          <w:tcPr>
            <w:tcW w:w="1200" w:type="dxa"/>
            <w:vAlign w:val="bottom"/>
            <w:tcBorders>
              <w:right w:val="single" w:sz="8" w:color="007CBA"/>
            </w:tcBorders>
            <w:shd w:val="clear" w:color="auto" w:fill="E5F1F8"/>
          </w:tcPr>
          <w:p>
            <w:pPr>
              <w:spacing w:after="0"/>
              <w:rPr>
                <w:sz w:val="14"/>
                <w:szCs w:val="14"/>
                <w:color w:val="auto"/>
              </w:rPr>
            </w:pPr>
          </w:p>
        </w:tc>
        <w:tc>
          <w:tcPr>
            <w:tcW w:w="12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160,803</w:t>
            </w:r>
          </w:p>
        </w:tc>
        <w:tc>
          <w:tcPr>
            <w:tcW w:w="12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71,038</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1,555,007</w:t>
            </w: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Senior Vice President,</w:t>
            </w:r>
          </w:p>
        </w:tc>
        <w:tc>
          <w:tcPr>
            <w:tcW w:w="56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2015</w:t>
            </w:r>
          </w:p>
        </w:tc>
        <w:tc>
          <w:tcPr>
            <w:tcW w:w="8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359,425</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191,214</w:t>
            </w:r>
          </w:p>
        </w:tc>
        <w:tc>
          <w:tcPr>
            <w:tcW w:w="8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397,832</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153,682</w:t>
            </w:r>
          </w:p>
        </w:tc>
        <w:tc>
          <w:tcPr>
            <w:tcW w:w="1200" w:type="dxa"/>
            <w:vAlign w:val="bottom"/>
            <w:tcBorders>
              <w:right w:val="single" w:sz="8" w:color="007CBA"/>
            </w:tcBorders>
            <w:shd w:val="clear" w:color="auto" w:fill="E5F1F8"/>
          </w:tcPr>
          <w:p>
            <w:pPr>
              <w:spacing w:after="0"/>
              <w:rPr>
                <w:sz w:val="14"/>
                <w:szCs w:val="14"/>
                <w:color w:val="auto"/>
              </w:rPr>
            </w:pPr>
          </w:p>
        </w:tc>
        <w:tc>
          <w:tcPr>
            <w:tcW w:w="12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116,533</w:t>
            </w:r>
          </w:p>
        </w:tc>
        <w:tc>
          <w:tcPr>
            <w:tcW w:w="12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64,564</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1,283,250</w:t>
            </w:r>
          </w:p>
        </w:tc>
        <w:tc>
          <w:tcPr>
            <w:tcW w:w="0" w:type="dxa"/>
            <w:vAlign w:val="bottom"/>
          </w:tcPr>
          <w:p>
            <w:pPr>
              <w:spacing w:after="0"/>
              <w:rPr>
                <w:sz w:val="1"/>
                <w:szCs w:val="1"/>
                <w:color w:val="auto"/>
              </w:rPr>
            </w:pPr>
          </w:p>
        </w:tc>
      </w:tr>
      <w:tr>
        <w:trPr>
          <w:trHeight w:val="176"/>
        </w:trPr>
        <w:tc>
          <w:tcPr>
            <w:tcW w:w="29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Human Resources</w:t>
            </w:r>
          </w:p>
        </w:tc>
        <w:tc>
          <w:tcPr>
            <w:tcW w:w="56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2014</w:t>
            </w:r>
          </w:p>
        </w:tc>
        <w:tc>
          <w:tcPr>
            <w:tcW w:w="880" w:type="dxa"/>
            <w:vAlign w:val="bottom"/>
            <w:tcBorders>
              <w:right w:val="single" w:sz="8" w:color="007CBA"/>
            </w:tcBorders>
            <w:shd w:val="clear" w:color="auto" w:fill="E5F1F8"/>
          </w:tcPr>
          <w:p>
            <w:pPr>
              <w:jc w:val="right"/>
              <w:ind w:right="48"/>
              <w:spacing w:after="0"/>
              <w:rPr>
                <w:sz w:val="20"/>
                <w:szCs w:val="20"/>
                <w:color w:val="auto"/>
              </w:rPr>
            </w:pPr>
            <w:r>
              <w:rPr>
                <w:rFonts w:ascii="Arial" w:cs="Arial" w:eastAsia="Arial" w:hAnsi="Arial"/>
                <w:sz w:val="14"/>
                <w:szCs w:val="14"/>
                <w:color w:val="auto"/>
              </w:rPr>
              <w:t>349,442</w:t>
            </w:r>
          </w:p>
        </w:tc>
        <w:tc>
          <w:tcPr>
            <w:tcW w:w="8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282,000</w:t>
            </w:r>
          </w:p>
        </w:tc>
        <w:tc>
          <w:tcPr>
            <w:tcW w:w="88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1,418,203</w:t>
            </w:r>
          </w:p>
        </w:tc>
        <w:tc>
          <w:tcPr>
            <w:tcW w:w="76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131,432</w:t>
            </w:r>
          </w:p>
        </w:tc>
        <w:tc>
          <w:tcPr>
            <w:tcW w:w="1200" w:type="dxa"/>
            <w:vAlign w:val="bottom"/>
            <w:tcBorders>
              <w:right w:val="single" w:sz="8" w:color="007CBA"/>
            </w:tcBorders>
            <w:shd w:val="clear" w:color="auto" w:fill="E5F1F8"/>
          </w:tcPr>
          <w:p>
            <w:pPr>
              <w:spacing w:after="0"/>
              <w:rPr>
                <w:sz w:val="15"/>
                <w:szCs w:val="15"/>
                <w:color w:val="auto"/>
              </w:rPr>
            </w:pPr>
          </w:p>
        </w:tc>
        <w:tc>
          <w:tcPr>
            <w:tcW w:w="124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141,894</w:t>
            </w:r>
          </w:p>
        </w:tc>
        <w:tc>
          <w:tcPr>
            <w:tcW w:w="12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4"/>
                <w:szCs w:val="14"/>
                <w:color w:val="auto"/>
              </w:rPr>
              <w:t>54,572</w:t>
            </w:r>
          </w:p>
        </w:tc>
        <w:tc>
          <w:tcPr>
            <w:tcW w:w="8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2,377,543</w:t>
            </w:r>
          </w:p>
        </w:tc>
        <w:tc>
          <w:tcPr>
            <w:tcW w:w="0" w:type="dxa"/>
            <w:vAlign w:val="bottom"/>
          </w:tcPr>
          <w:p>
            <w:pPr>
              <w:spacing w:after="0"/>
              <w:rPr>
                <w:sz w:val="1"/>
                <w:szCs w:val="1"/>
                <w:color w:val="auto"/>
              </w:rPr>
            </w:pPr>
          </w:p>
        </w:tc>
      </w:tr>
      <w:tr>
        <w:trPr>
          <w:trHeight w:val="167"/>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Daniel L. Grant</w:t>
            </w:r>
          </w:p>
        </w:tc>
        <w:tc>
          <w:tcPr>
            <w:tcW w:w="56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2016</w:t>
            </w:r>
          </w:p>
        </w:tc>
        <w:tc>
          <w:tcPr>
            <w:tcW w:w="8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349,250</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303,149</w:t>
            </w:r>
          </w:p>
        </w:tc>
        <w:tc>
          <w:tcPr>
            <w:tcW w:w="8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525,032</w:t>
            </w:r>
          </w:p>
        </w:tc>
        <w:tc>
          <w:tcPr>
            <w:tcW w:w="76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98,052</w:t>
            </w:r>
          </w:p>
        </w:tc>
        <w:tc>
          <w:tcPr>
            <w:tcW w:w="12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63,434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1,338,917</w:t>
            </w:r>
          </w:p>
        </w:tc>
        <w:tc>
          <w:tcPr>
            <w:tcW w:w="0" w:type="dxa"/>
            <w:vAlign w:val="bottom"/>
          </w:tcPr>
          <w:p>
            <w:pPr>
              <w:spacing w:after="0"/>
              <w:rPr>
                <w:sz w:val="1"/>
                <w:szCs w:val="1"/>
                <w:color w:val="auto"/>
              </w:rPr>
            </w:pPr>
          </w:p>
        </w:tc>
      </w:tr>
      <w:tr>
        <w:trPr>
          <w:trHeight w:val="162"/>
        </w:trPr>
        <w:tc>
          <w:tcPr>
            <w:tcW w:w="296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Senior Vice President –</w:t>
            </w:r>
          </w:p>
        </w:tc>
        <w:tc>
          <w:tcPr>
            <w:tcW w:w="56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2015</w:t>
            </w:r>
          </w:p>
        </w:tc>
        <w:tc>
          <w:tcPr>
            <w:tcW w:w="880" w:type="dxa"/>
            <w:vAlign w:val="bottom"/>
            <w:tcBorders>
              <w:right w:val="single" w:sz="8" w:color="007CBA"/>
            </w:tcBorders>
          </w:tcPr>
          <w:p>
            <w:pPr>
              <w:jc w:val="right"/>
              <w:ind w:right="48"/>
              <w:spacing w:after="0"/>
              <w:rPr>
                <w:sz w:val="20"/>
                <w:szCs w:val="20"/>
                <w:color w:val="auto"/>
              </w:rPr>
            </w:pPr>
            <w:r>
              <w:rPr>
                <w:rFonts w:ascii="Arial" w:cs="Arial" w:eastAsia="Arial" w:hAnsi="Arial"/>
                <w:sz w:val="14"/>
                <w:szCs w:val="14"/>
                <w:color w:val="auto"/>
              </w:rPr>
              <w:t>339,083</w:t>
            </w:r>
          </w:p>
        </w:tc>
        <w:tc>
          <w:tcPr>
            <w:tcW w:w="8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180,392</w:t>
            </w:r>
          </w:p>
        </w:tc>
        <w:tc>
          <w:tcPr>
            <w:tcW w:w="88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292,075</w:t>
            </w:r>
          </w:p>
        </w:tc>
        <w:tc>
          <w:tcPr>
            <w:tcW w:w="76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83,853</w:t>
            </w:r>
          </w:p>
        </w:tc>
        <w:tc>
          <w:tcPr>
            <w:tcW w:w="120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130,575</w:t>
            </w:r>
          </w:p>
        </w:tc>
        <w:tc>
          <w:tcPr>
            <w:tcW w:w="1220" w:type="dxa"/>
            <w:vAlign w:val="bottom"/>
            <w:tcBorders>
              <w:right w:val="single" w:sz="8" w:color="007CBA"/>
            </w:tcBorders>
          </w:tcPr>
          <w:p>
            <w:pPr>
              <w:jc w:val="right"/>
              <w:ind w:right="49"/>
              <w:spacing w:after="0"/>
              <w:rPr>
                <w:sz w:val="20"/>
                <w:szCs w:val="20"/>
                <w:color w:val="auto"/>
              </w:rPr>
            </w:pPr>
            <w:r>
              <w:rPr>
                <w:rFonts w:ascii="Arial" w:cs="Arial" w:eastAsia="Arial" w:hAnsi="Arial"/>
                <w:sz w:val="14"/>
                <w:szCs w:val="14"/>
                <w:color w:val="auto"/>
              </w:rPr>
              <w:t>56,853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1,082,831</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Strategy &amp; Development</w:t>
            </w:r>
          </w:p>
        </w:tc>
        <w:tc>
          <w:tcPr>
            <w:tcW w:w="560" w:type="dxa"/>
            <w:vAlign w:val="bottom"/>
            <w:tcBorders>
              <w:bottom w:val="single" w:sz="8" w:color="007CBA"/>
              <w:right w:val="single" w:sz="8" w:color="007CBA"/>
            </w:tcBorders>
          </w:tcPr>
          <w:p>
            <w:pPr>
              <w:jc w:val="right"/>
              <w:ind w:right="48"/>
              <w:spacing w:after="0"/>
              <w:rPr>
                <w:sz w:val="20"/>
                <w:szCs w:val="20"/>
                <w:color w:val="auto"/>
              </w:rPr>
            </w:pPr>
            <w:r>
              <w:rPr>
                <w:rFonts w:ascii="Arial" w:cs="Arial" w:eastAsia="Arial" w:hAnsi="Arial"/>
                <w:sz w:val="14"/>
                <w:szCs w:val="14"/>
                <w:color w:val="auto"/>
              </w:rPr>
              <w:t>2014</w:t>
            </w:r>
          </w:p>
        </w:tc>
        <w:tc>
          <w:tcPr>
            <w:tcW w:w="880" w:type="dxa"/>
            <w:vAlign w:val="bottom"/>
            <w:tcBorders>
              <w:bottom w:val="single" w:sz="8" w:color="007CBA"/>
              <w:right w:val="single" w:sz="8" w:color="007CBA"/>
            </w:tcBorders>
          </w:tcPr>
          <w:p>
            <w:pPr>
              <w:jc w:val="right"/>
              <w:ind w:right="48"/>
              <w:spacing w:after="0"/>
              <w:rPr>
                <w:sz w:val="20"/>
                <w:szCs w:val="20"/>
                <w:color w:val="auto"/>
              </w:rPr>
            </w:pPr>
            <w:r>
              <w:rPr>
                <w:rFonts w:ascii="Arial" w:cs="Arial" w:eastAsia="Arial" w:hAnsi="Arial"/>
                <w:sz w:val="14"/>
                <w:szCs w:val="14"/>
                <w:color w:val="auto"/>
              </w:rPr>
              <w:t>328,667</w:t>
            </w:r>
          </w:p>
        </w:tc>
        <w:tc>
          <w:tcPr>
            <w:tcW w:w="860" w:type="dxa"/>
            <w:vAlign w:val="bottom"/>
            <w:tcBorders>
              <w:bottom w:val="single" w:sz="8" w:color="007CBA"/>
              <w:right w:val="single" w:sz="8" w:color="007CBA"/>
            </w:tcBorders>
          </w:tcPr>
          <w:p>
            <w:pPr>
              <w:jc w:val="right"/>
              <w:ind w:right="29"/>
              <w:spacing w:after="0"/>
              <w:rPr>
                <w:sz w:val="20"/>
                <w:szCs w:val="20"/>
                <w:color w:val="auto"/>
              </w:rPr>
            </w:pPr>
            <w:r>
              <w:rPr>
                <w:rFonts w:ascii="Arial" w:cs="Arial" w:eastAsia="Arial" w:hAnsi="Arial"/>
                <w:sz w:val="14"/>
                <w:szCs w:val="14"/>
                <w:color w:val="auto"/>
              </w:rPr>
              <w:t>234,360</w:t>
            </w:r>
          </w:p>
        </w:tc>
        <w:tc>
          <w:tcPr>
            <w:tcW w:w="880" w:type="dxa"/>
            <w:vAlign w:val="bottom"/>
            <w:tcBorders>
              <w:bottom w:val="single" w:sz="8" w:color="007CBA"/>
              <w:right w:val="single" w:sz="8" w:color="007CBA"/>
            </w:tcBorders>
          </w:tcPr>
          <w:p>
            <w:pPr>
              <w:jc w:val="right"/>
              <w:ind w:right="29"/>
              <w:spacing w:after="0"/>
              <w:rPr>
                <w:sz w:val="20"/>
                <w:szCs w:val="20"/>
                <w:color w:val="auto"/>
              </w:rPr>
            </w:pPr>
            <w:r>
              <w:rPr>
                <w:rFonts w:ascii="Arial" w:cs="Arial" w:eastAsia="Arial" w:hAnsi="Arial"/>
                <w:sz w:val="14"/>
                <w:szCs w:val="14"/>
                <w:color w:val="auto"/>
              </w:rPr>
              <w:t>1,260,978</w:t>
            </w:r>
          </w:p>
        </w:tc>
        <w:tc>
          <w:tcPr>
            <w:tcW w:w="760" w:type="dxa"/>
            <w:vAlign w:val="bottom"/>
            <w:tcBorders>
              <w:bottom w:val="single" w:sz="8" w:color="007CBA"/>
              <w:right w:val="single" w:sz="8" w:color="007CBA"/>
            </w:tcBorders>
          </w:tcPr>
          <w:p>
            <w:pPr>
              <w:jc w:val="right"/>
              <w:ind w:right="49"/>
              <w:spacing w:after="0"/>
              <w:rPr>
                <w:sz w:val="20"/>
                <w:szCs w:val="20"/>
                <w:color w:val="auto"/>
              </w:rPr>
            </w:pPr>
            <w:r>
              <w:rPr>
                <w:rFonts w:ascii="Arial" w:cs="Arial" w:eastAsia="Arial" w:hAnsi="Arial"/>
                <w:sz w:val="14"/>
                <w:szCs w:val="14"/>
                <w:color w:val="auto"/>
              </w:rPr>
              <w:t>70,861</w:t>
            </w:r>
          </w:p>
        </w:tc>
        <w:tc>
          <w:tcPr>
            <w:tcW w:w="1200" w:type="dxa"/>
            <w:vAlign w:val="bottom"/>
            <w:tcBorders>
              <w:bottom w:val="single" w:sz="8" w:color="007CBA"/>
              <w:right w:val="single" w:sz="8" w:color="007CBA"/>
            </w:tcBorders>
          </w:tcPr>
          <w:p>
            <w:pPr>
              <w:spacing w:after="0"/>
              <w:rPr>
                <w:sz w:val="14"/>
                <w:szCs w:val="14"/>
                <w:color w:val="auto"/>
              </w:rPr>
            </w:pPr>
          </w:p>
        </w:tc>
        <w:tc>
          <w:tcPr>
            <w:tcW w:w="1240" w:type="dxa"/>
            <w:vAlign w:val="bottom"/>
            <w:tcBorders>
              <w:bottom w:val="single" w:sz="8" w:color="007CBA"/>
              <w:right w:val="single" w:sz="8" w:color="007CBA"/>
            </w:tcBorders>
          </w:tcPr>
          <w:p>
            <w:pPr>
              <w:jc w:val="right"/>
              <w:ind w:right="49"/>
              <w:spacing w:after="0"/>
              <w:rPr>
                <w:sz w:val="20"/>
                <w:szCs w:val="20"/>
                <w:color w:val="auto"/>
              </w:rPr>
            </w:pPr>
            <w:r>
              <w:rPr>
                <w:rFonts w:ascii="Arial" w:cs="Arial" w:eastAsia="Arial" w:hAnsi="Arial"/>
                <w:sz w:val="14"/>
                <w:szCs w:val="14"/>
                <w:color w:val="auto"/>
              </w:rPr>
              <w:t>107,937</w:t>
            </w:r>
          </w:p>
        </w:tc>
        <w:tc>
          <w:tcPr>
            <w:tcW w:w="1220" w:type="dxa"/>
            <w:vAlign w:val="bottom"/>
            <w:tcBorders>
              <w:bottom w:val="single" w:sz="8" w:color="007CBA"/>
              <w:right w:val="single" w:sz="8" w:color="007CBA"/>
            </w:tcBorders>
          </w:tcPr>
          <w:p>
            <w:pPr>
              <w:jc w:val="right"/>
              <w:ind w:right="49"/>
              <w:spacing w:after="0"/>
              <w:rPr>
                <w:sz w:val="20"/>
                <w:szCs w:val="20"/>
                <w:color w:val="auto"/>
              </w:rPr>
            </w:pPr>
            <w:r>
              <w:rPr>
                <w:rFonts w:ascii="Arial" w:cs="Arial" w:eastAsia="Arial" w:hAnsi="Arial"/>
                <w:sz w:val="14"/>
                <w:szCs w:val="14"/>
                <w:color w:val="auto"/>
              </w:rPr>
              <w:t>42,373</w:t>
            </w:r>
          </w:p>
        </w:tc>
        <w:tc>
          <w:tcPr>
            <w:tcW w:w="860" w:type="dxa"/>
            <w:vAlign w:val="bottom"/>
            <w:tcBorders>
              <w:bottom w:val="single" w:sz="8" w:color="007CBA"/>
            </w:tcBorders>
          </w:tcPr>
          <w:p>
            <w:pPr>
              <w:jc w:val="right"/>
              <w:ind w:right="28"/>
              <w:spacing w:after="0"/>
              <w:rPr>
                <w:sz w:val="20"/>
                <w:szCs w:val="20"/>
                <w:color w:val="auto"/>
              </w:rPr>
            </w:pPr>
            <w:r>
              <w:rPr>
                <w:rFonts w:ascii="Arial" w:cs="Arial" w:eastAsia="Arial" w:hAnsi="Arial"/>
                <w:sz w:val="14"/>
                <w:szCs w:val="14"/>
                <w:color w:val="auto"/>
              </w:rPr>
              <w:t>2,045,176</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120" w:hanging="112"/>
        <w:spacing w:after="0" w:line="221" w:lineRule="auto"/>
        <w:tabs>
          <w:tab w:leader="none" w:pos="12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(d) for 2016 reflect the cash bonuses to the named individuals earned in 2016 and paid in 2017 under annual incentive arrangements discussed in further detail on pages 36 to 38 under the headings </w:t>
      </w:r>
      <w:r>
        <w:rPr>
          <w:rFonts w:ascii="Arial" w:cs="Arial" w:eastAsia="Arial" w:hAnsi="Arial"/>
          <w:sz w:val="14"/>
          <w:szCs w:val="14"/>
          <w:i w:val="1"/>
          <w:iCs w:val="1"/>
          <w:color w:val="auto"/>
        </w:rPr>
        <w:t>“Annual Cash Incentive: Executive Incentive Plan”</w:t>
      </w:r>
      <w:r>
        <w:rPr>
          <w:rFonts w:ascii="Arial" w:cs="Arial" w:eastAsia="Arial" w:hAnsi="Arial"/>
          <w:sz w:val="14"/>
          <w:szCs w:val="14"/>
          <w:color w:val="auto"/>
        </w:rPr>
        <w:t xml:space="preserve"> and “</w:t>
      </w:r>
      <w:r>
        <w:rPr>
          <w:rFonts w:ascii="Arial" w:cs="Arial" w:eastAsia="Arial" w:hAnsi="Arial"/>
          <w:sz w:val="14"/>
          <w:szCs w:val="14"/>
          <w:i w:val="1"/>
          <w:iCs w:val="1"/>
          <w:color w:val="auto"/>
        </w:rPr>
        <w:t>2016 CEO Annual Incentive Award Earned</w:t>
      </w:r>
      <w:r>
        <w:rPr>
          <w:rFonts w:ascii="Arial" w:cs="Arial" w:eastAsia="Arial" w:hAnsi="Arial"/>
          <w:sz w:val="14"/>
          <w:szCs w:val="14"/>
          <w:color w:val="auto"/>
        </w:rPr>
        <w:t xml:space="preserve">.” The amounts in this column include the amounts of bonus irrevocably deferred in common stock units at the election of each named executive officer pursuant to Martin Marietta’s Incentive Stock Plan, which is discussed in further detail on page 39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xml:space="preserve"> The amounts deferred in 2016 for each of the named executive officers at his or her election are as follows: Mr. Nye, $300,000; Ms. Lloyd, $0; Ms. Bar, $62,371; Mr. McCunniff, $0; and Mr. Grant, $18,947. The number of stock units and the related grant date fair value attributable to the amounts of bonus so deferred by the named executive officers appear in columns (i) and (l), respectively, of the Grants of Plan-Based Awards Table on page 45. Column (e) includes the amounts mandatorily deferred in 2016 under the Incentive Stock Plan.</w:t>
      </w:r>
    </w:p>
    <w:p>
      <w:pPr>
        <w:spacing w:after="0" w:line="72" w:lineRule="exact"/>
        <w:rPr>
          <w:sz w:val="20"/>
          <w:szCs w:val="20"/>
          <w:color w:val="auto"/>
        </w:rPr>
      </w:pPr>
    </w:p>
    <w:p>
      <w:pPr>
        <w:jc w:val="both"/>
        <w:ind w:left="120" w:hanging="112"/>
        <w:spacing w:after="0" w:line="208" w:lineRule="auto"/>
        <w:tabs>
          <w:tab w:leader="none" w:pos="12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 xml:space="preserve">The amounts in column (e) reflect the aggregate grant date fair value of awards made in the year reported, determined in accordance with FASB ASC Topic 718 (without any assumption for early forfeiture), of awards of RSUs; awards related to the amount of cash bonus irrevocably and mandatorily deferred in common stock units by each named executive officer pursuant to Martin Marietta’s Incentive Stock Plan, which is discussed in further detail on page 39 under the heading </w:t>
      </w:r>
      <w:r>
        <w:rPr>
          <w:rFonts w:ascii="Arial" w:cs="Arial" w:eastAsia="Arial" w:hAnsi="Arial"/>
          <w:sz w:val="14"/>
          <w:szCs w:val="14"/>
          <w:i w:val="1"/>
          <w:iCs w:val="1"/>
          <w:color w:val="auto"/>
        </w:rPr>
        <w:t>“Annual Incentive Feature: Performance-Based Stock Purchase Plan”</w:t>
      </w:r>
      <w:r>
        <w:rPr>
          <w:rFonts w:ascii="Arial" w:cs="Arial" w:eastAsia="Arial" w:hAnsi="Arial"/>
          <w:sz w:val="14"/>
          <w:szCs w:val="14"/>
          <w:color w:val="auto"/>
        </w:rPr>
        <w:t>; and awards of PSUs, which are described in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85090</wp:posOffset>
            </wp:positionV>
            <wp:extent cx="411480" cy="248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3"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Summary Compensation Table</w:t>
      </w:r>
    </w:p>
    <w:p>
      <w:pPr>
        <w:spacing w:after="0" w:line="213" w:lineRule="exact"/>
        <w:rPr>
          <w:sz w:val="20"/>
          <w:szCs w:val="20"/>
          <w:color w:val="auto"/>
        </w:rPr>
      </w:pPr>
    </w:p>
    <w:p>
      <w:pPr>
        <w:jc w:val="both"/>
        <w:ind w:left="120"/>
        <w:spacing w:after="0" w:line="245" w:lineRule="auto"/>
        <w:rPr>
          <w:sz w:val="20"/>
          <w:szCs w:val="20"/>
          <w:color w:val="auto"/>
        </w:rPr>
      </w:pPr>
      <w:r>
        <w:rPr>
          <w:rFonts w:ascii="Arial" w:cs="Arial" w:eastAsia="Arial" w:hAnsi="Arial"/>
          <w:sz w:val="14"/>
          <w:szCs w:val="14"/>
          <w:color w:val="auto"/>
        </w:rPr>
        <w:t xml:space="preserve">detail on pages 39 to 40 under the heading </w:t>
      </w:r>
      <w:r>
        <w:rPr>
          <w:rFonts w:ascii="Arial" w:cs="Arial" w:eastAsia="Arial" w:hAnsi="Arial"/>
          <w:sz w:val="14"/>
          <w:szCs w:val="14"/>
          <w:i w:val="1"/>
          <w:iCs w:val="1"/>
          <w:color w:val="auto"/>
        </w:rPr>
        <w:t>“Long-Term Incentive Compensation.”</w:t>
      </w:r>
      <w:r>
        <w:rPr>
          <w:rFonts w:ascii="Arial" w:cs="Arial" w:eastAsia="Arial" w:hAnsi="Arial"/>
          <w:sz w:val="14"/>
          <w:szCs w:val="14"/>
          <w:color w:val="auto"/>
        </w:rPr>
        <w:t xml:space="preserve"> The amounts included in the table reflects the value of the units granted, which is subject to forfeiture if the executive does not remain in the employment of Martin Marietta for the requisite time period (generally three or four years) and, in the case of the PSUs, if Martin Marietta does not achieve the applicable performance criteria. The amounts in column (e) do not include the 20% discount on the Incentive Stock Plan units, which is reported in column (i). The amount in column (e) also includes PSUs, which were first awarded in 2014, and assumes the number of shares based on the target level of performance. Assuming the maximum payout under the PSUs granted in 2015, which will be determined in January 2018 based on the Company’s performance in 2015-2017 for awards granted in 2015, the amounts reported above for 2015 would be as follows: Mr. Nye, $784,021; Ms. Lloyd, $421,313; Ms. Bar, $351,637; Mr. McCunniff, $288,256; and Mr. Grant, $271,976. Assuming the maximum payout under the PSUs granted in 2016, which will be determined in January 2019 based on the Company’s performance in 2016-2018 for awards granted in 2016, the amounts reported above for 2016 would be as follows: Mr. Nye, $5,309,570; Ms. Lloyd, $1,248,330; Ms. Bar, $1,168,708; Mr. McCunniff, $732,028; and Mr. Grant, $598,910. Assumptions used in the calculation of these amounts are included in Note A to Martin Marietta’s audited financial statements for the fiscal year ended December 31, 2016, included in Martin Marietta’s Annual Report on Form 10-K filed with the SEC on February 24, 2017. The amounts of cash bonus deferred in 2016 at the election of each named executive officer are included in column (d). The amounts of cash bonus mandatorily deferred in 2016 for each of the named executive officers are as follows: Mr. Nye, $700,000; Ms. Lloyd, $131,535; Ms. Bar, $124,742; Mr. McCunniff, $80,819; and Mr. Grant, $75,787.</w:t>
      </w:r>
    </w:p>
    <w:p>
      <w:pPr>
        <w:spacing w:after="0" w:line="68" w:lineRule="exact"/>
        <w:rPr>
          <w:sz w:val="20"/>
          <w:szCs w:val="20"/>
          <w:color w:val="auto"/>
        </w:rPr>
      </w:pPr>
    </w:p>
    <w:p>
      <w:pPr>
        <w:ind w:left="120" w:hanging="112"/>
        <w:spacing w:after="0" w:line="183" w:lineRule="auto"/>
        <w:tabs>
          <w:tab w:leader="none" w:pos="12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The amounts in column (f) reflect the grant date fair value, determined in accordance with FASB ASC Topic 718 (without any assumption for early forfeiture), of option awards made in the year reported.</w:t>
      </w:r>
    </w:p>
    <w:p>
      <w:pPr>
        <w:spacing w:after="0" w:line="72" w:lineRule="exact"/>
        <w:rPr>
          <w:sz w:val="20"/>
          <w:szCs w:val="20"/>
          <w:color w:val="auto"/>
        </w:rPr>
      </w:pPr>
    </w:p>
    <w:p>
      <w:pPr>
        <w:jc w:val="both"/>
        <w:ind w:left="120" w:hanging="112"/>
        <w:spacing w:after="0" w:line="199" w:lineRule="auto"/>
        <w:tabs>
          <w:tab w:leader="none" w:pos="12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amounts in column (h) reflect the aggregate increase in the actuarial present value of the named executive officer’s accumulated benefits during 2016, 2015 and 2014,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w:t>
      </w:r>
    </w:p>
    <w:p>
      <w:pPr>
        <w:spacing w:after="0" w:line="71" w:lineRule="exact"/>
        <w:rPr>
          <w:sz w:val="20"/>
          <w:szCs w:val="20"/>
          <w:color w:val="auto"/>
        </w:rPr>
      </w:pPr>
    </w:p>
    <w:p>
      <w:pPr>
        <w:jc w:val="both"/>
        <w:ind w:left="120" w:hanging="112"/>
        <w:spacing w:after="0" w:line="225" w:lineRule="auto"/>
        <w:tabs>
          <w:tab w:leader="none" w:pos="12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for 2016 reflects for each named executive officer: matching contributions allocated by Martin Marietta to each of the named executive officers pursuant to the Savings and Investment Plan, which is more fully described on page 49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the value attributable to life insurance benefits provided to the named executive officers, which is more fully described on page 49 under the heading “</w:t>
      </w:r>
      <w:r>
        <w:rPr>
          <w:rFonts w:ascii="Arial" w:cs="Arial" w:eastAsia="Arial" w:hAnsi="Arial"/>
          <w:sz w:val="14"/>
          <w:szCs w:val="14"/>
          <w:i w:val="1"/>
          <w:iCs w:val="1"/>
          <w:color w:val="auto"/>
        </w:rPr>
        <w:t>Retirement and Other Benefits</w:t>
      </w:r>
      <w:r>
        <w:rPr>
          <w:rFonts w:ascii="Arial" w:cs="Arial" w:eastAsia="Arial" w:hAnsi="Arial"/>
          <w:sz w:val="14"/>
          <w:szCs w:val="14"/>
          <w:color w:val="auto"/>
        </w:rPr>
        <w:t>”; the value attributable to personal use of leased automobiles provided by Martin Marietta; and personal use of the corporate plane in 2016. These values are included as compensation on the W-2 of named executive officers who receive such benefits. Each such named executive officer is responsible for paying income tax on such amount.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2016, 2015 and 2014, and the dollar value of dividend equivalents on units credited under the equity awards as computed for financial statement reporting purposes for each fiscal year ended December 31, 2016, 2015 and 2014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86360</wp:posOffset>
            </wp:positionV>
            <wp:extent cx="411480" cy="248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7800"/>
        <w:spacing w:after="0" w:line="276" w:lineRule="exact"/>
        <w:rPr>
          <w:sz w:val="20"/>
          <w:szCs w:val="20"/>
          <w:color w:val="auto"/>
        </w:rPr>
      </w:pPr>
      <w:r>
        <w:rPr>
          <w:rFonts w:ascii="Arial" w:cs="Arial" w:eastAsia="Arial" w:hAnsi="Arial"/>
          <w:sz w:val="13"/>
          <w:szCs w:val="13"/>
          <w:color w:val="auto"/>
        </w:rPr>
        <w:t xml:space="preserve">Grants of Plan-Based Awards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Grants of Plan-Based Awards</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2016. This includes equity awards made to the named executive officers under the Stock Plan and the Incentive Stock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Borders>
              <w:right w:val="single" w:sz="8" w:color="007CBA"/>
            </w:tcBorders>
            <w:shd w:val="clear" w:color="auto" w:fill="007CBA"/>
          </w:tcPr>
          <w:p>
            <w:pPr>
              <w:spacing w:after="0"/>
              <w:rPr>
                <w:sz w:val="14"/>
                <w:szCs w:val="14"/>
                <w:color w:val="auto"/>
              </w:rPr>
            </w:pPr>
          </w:p>
        </w:tc>
        <w:tc>
          <w:tcPr>
            <w:tcW w:w="600" w:type="dxa"/>
            <w:vAlign w:val="bottom"/>
            <w:shd w:val="clear" w:color="auto" w:fill="007CBA"/>
          </w:tcPr>
          <w:p>
            <w:pPr>
              <w:spacing w:after="0"/>
              <w:rPr>
                <w:sz w:val="14"/>
                <w:szCs w:val="14"/>
                <w:color w:val="auto"/>
              </w:rPr>
            </w:pPr>
          </w:p>
        </w:tc>
        <w:tc>
          <w:tcPr>
            <w:tcW w:w="160" w:type="dxa"/>
            <w:vAlign w:val="bottom"/>
            <w:tcBorders>
              <w:right w:val="single" w:sz="8" w:color="007CBA"/>
            </w:tcBorders>
            <w:shd w:val="clear" w:color="auto" w:fill="007CBA"/>
          </w:tcPr>
          <w:p>
            <w:pPr>
              <w:spacing w:after="0"/>
              <w:rPr>
                <w:sz w:val="14"/>
                <w:szCs w:val="14"/>
                <w:color w:val="auto"/>
              </w:rPr>
            </w:pPr>
          </w:p>
        </w:tc>
        <w:tc>
          <w:tcPr>
            <w:tcW w:w="720" w:type="dxa"/>
            <w:vAlign w:val="bottom"/>
            <w:shd w:val="clear" w:color="auto" w:fill="007CBA"/>
          </w:tcPr>
          <w:p>
            <w:pPr>
              <w:spacing w:after="0"/>
              <w:rPr>
                <w:sz w:val="14"/>
                <w:szCs w:val="14"/>
                <w:color w:val="auto"/>
              </w:rPr>
            </w:pPr>
          </w:p>
        </w:tc>
        <w:tc>
          <w:tcPr>
            <w:tcW w:w="100" w:type="dxa"/>
            <w:vAlign w:val="bottom"/>
            <w:tcBorders>
              <w:right w:val="single" w:sz="8" w:color="007CBA"/>
            </w:tcBorders>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740" w:type="dxa"/>
            <w:vAlign w:val="bottom"/>
            <w:shd w:val="clear" w:color="auto" w:fill="007CBA"/>
          </w:tcPr>
          <w:p>
            <w:pPr>
              <w:spacing w:after="0"/>
              <w:rPr>
                <w:sz w:val="14"/>
                <w:szCs w:val="14"/>
                <w:color w:val="auto"/>
              </w:rPr>
            </w:pPr>
          </w:p>
        </w:tc>
        <w:tc>
          <w:tcPr>
            <w:tcW w:w="10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76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center"/>
              <w:ind w:right="10"/>
              <w:spacing w:after="0"/>
              <w:rPr>
                <w:sz w:val="20"/>
                <w:szCs w:val="20"/>
                <w:color w:val="auto"/>
              </w:rPr>
            </w:pPr>
            <w:r>
              <w:rPr>
                <w:rFonts w:ascii="Arial" w:cs="Arial" w:eastAsia="Arial" w:hAnsi="Arial"/>
                <w:sz w:val="14"/>
                <w:szCs w:val="14"/>
                <w:b w:val="1"/>
                <w:bCs w:val="1"/>
                <w:color w:val="FFFFFF"/>
                <w:w w:val="94"/>
              </w:rPr>
              <w:t>All Other</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4"/>
              </w:rPr>
              <w:t>All Other</w:t>
            </w:r>
          </w:p>
        </w:tc>
        <w:tc>
          <w:tcPr>
            <w:tcW w:w="740" w:type="dxa"/>
            <w:vAlign w:val="bottom"/>
            <w:tcBorders>
              <w:right w:val="single" w:sz="8" w:color="007CBA"/>
            </w:tcBorders>
            <w:shd w:val="clear" w:color="auto" w:fill="007CBA"/>
          </w:tcPr>
          <w:p>
            <w:pPr>
              <w:spacing w:after="0"/>
              <w:rPr>
                <w:sz w:val="14"/>
                <w:szCs w:val="14"/>
                <w:color w:val="auto"/>
              </w:rPr>
            </w:pPr>
          </w:p>
        </w:tc>
        <w:tc>
          <w:tcPr>
            <w:tcW w:w="78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007CBA"/>
            </w:tcBorders>
            <w:shd w:val="clear" w:color="auto" w:fill="007CBA"/>
          </w:tcPr>
          <w:p>
            <w:pPr>
              <w:spacing w:after="0"/>
              <w:rPr>
                <w:sz w:val="12"/>
                <w:szCs w:val="12"/>
                <w:color w:val="auto"/>
              </w:rPr>
            </w:pPr>
          </w:p>
        </w:tc>
        <w:tc>
          <w:tcPr>
            <w:tcW w:w="600" w:type="dxa"/>
            <w:vAlign w:val="bottom"/>
            <w:shd w:val="clear" w:color="auto" w:fill="007CBA"/>
          </w:tcPr>
          <w:p>
            <w:pPr>
              <w:spacing w:after="0"/>
              <w:rPr>
                <w:sz w:val="12"/>
                <w:szCs w:val="12"/>
                <w:color w:val="auto"/>
              </w:rPr>
            </w:pPr>
          </w:p>
        </w:tc>
        <w:tc>
          <w:tcPr>
            <w:tcW w:w="160" w:type="dxa"/>
            <w:vAlign w:val="bottom"/>
            <w:tcBorders>
              <w:right w:val="single" w:sz="8" w:color="007CBA"/>
            </w:tcBorders>
            <w:shd w:val="clear" w:color="auto" w:fill="007CBA"/>
          </w:tcPr>
          <w:p>
            <w:pPr>
              <w:spacing w:after="0"/>
              <w:rPr>
                <w:sz w:val="12"/>
                <w:szCs w:val="12"/>
                <w:color w:val="auto"/>
              </w:rPr>
            </w:pPr>
          </w:p>
        </w:tc>
        <w:tc>
          <w:tcPr>
            <w:tcW w:w="720" w:type="dxa"/>
            <w:vAlign w:val="bottom"/>
            <w:shd w:val="clear" w:color="auto" w:fill="007CBA"/>
          </w:tcPr>
          <w:p>
            <w:pPr>
              <w:spacing w:after="0"/>
              <w:rPr>
                <w:sz w:val="12"/>
                <w:szCs w:val="12"/>
                <w:color w:val="auto"/>
              </w:rPr>
            </w:pPr>
          </w:p>
        </w:tc>
        <w:tc>
          <w:tcPr>
            <w:tcW w:w="10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740" w:type="dxa"/>
            <w:vAlign w:val="bottom"/>
            <w:shd w:val="clear" w:color="auto" w:fill="007CBA"/>
          </w:tcPr>
          <w:p>
            <w:pPr>
              <w:spacing w:after="0"/>
              <w:rPr>
                <w:sz w:val="12"/>
                <w:szCs w:val="12"/>
                <w:color w:val="auto"/>
              </w:rPr>
            </w:pPr>
          </w:p>
        </w:tc>
        <w:tc>
          <w:tcPr>
            <w:tcW w:w="100" w:type="dxa"/>
            <w:vAlign w:val="bottom"/>
            <w:tcBorders>
              <w:right w:val="single" w:sz="8" w:color="007CBA"/>
            </w:tcBorders>
            <w:shd w:val="clear" w:color="auto" w:fill="007CBA"/>
          </w:tcPr>
          <w:p>
            <w:pPr>
              <w:spacing w:after="0"/>
              <w:rPr>
                <w:sz w:val="12"/>
                <w:szCs w:val="12"/>
                <w:color w:val="auto"/>
              </w:rPr>
            </w:pPr>
          </w:p>
        </w:tc>
        <w:tc>
          <w:tcPr>
            <w:tcW w:w="6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7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jc w:val="center"/>
              <w:ind w:right="10"/>
              <w:spacing w:after="0" w:line="149" w:lineRule="exact"/>
              <w:rPr>
                <w:sz w:val="20"/>
                <w:szCs w:val="20"/>
                <w:color w:val="auto"/>
              </w:rPr>
            </w:pPr>
            <w:r>
              <w:rPr>
                <w:rFonts w:ascii="Arial" w:cs="Arial" w:eastAsia="Arial" w:hAnsi="Arial"/>
                <w:sz w:val="14"/>
                <w:szCs w:val="14"/>
                <w:b w:val="1"/>
                <w:bCs w:val="1"/>
                <w:color w:val="FFFFFF"/>
                <w:w w:val="94"/>
              </w:rPr>
              <w:t>Stock</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740" w:type="dxa"/>
            <w:vAlign w:val="bottom"/>
            <w:tcBorders>
              <w:right w:val="single" w:sz="8" w:color="007CBA"/>
            </w:tcBorders>
            <w:shd w:val="clear" w:color="auto" w:fill="007CBA"/>
          </w:tcPr>
          <w:p>
            <w:pPr>
              <w:spacing w:after="0"/>
              <w:rPr>
                <w:sz w:val="12"/>
                <w:szCs w:val="12"/>
                <w:color w:val="auto"/>
              </w:rPr>
            </w:pPr>
          </w:p>
        </w:tc>
        <w:tc>
          <w:tcPr>
            <w:tcW w:w="780" w:type="dxa"/>
            <w:vAlign w:val="bottom"/>
            <w:shd w:val="clear" w:color="auto" w:fill="007CBA"/>
          </w:tcPr>
          <w:p>
            <w:pPr>
              <w:spacing w:after="0"/>
              <w:rPr>
                <w:sz w:val="12"/>
                <w:szCs w:val="12"/>
                <w:color w:val="auto"/>
              </w:rPr>
            </w:pP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40" w:type="dxa"/>
            <w:vAlign w:val="bottom"/>
            <w:tcBorders>
              <w:right w:val="single" w:sz="8" w:color="007CBA"/>
            </w:tcBorders>
            <w:shd w:val="clear" w:color="auto" w:fill="007CBA"/>
          </w:tcPr>
          <w:p>
            <w:pPr>
              <w:spacing w:after="0"/>
              <w:rPr>
                <w:sz w:val="13"/>
                <w:szCs w:val="13"/>
                <w:color w:val="auto"/>
              </w:rPr>
            </w:pPr>
          </w:p>
        </w:tc>
        <w:tc>
          <w:tcPr>
            <w:tcW w:w="600" w:type="dxa"/>
            <w:vAlign w:val="bottom"/>
            <w:shd w:val="clear" w:color="auto" w:fill="007CBA"/>
          </w:tcPr>
          <w:p>
            <w:pPr>
              <w:spacing w:after="0"/>
              <w:rPr>
                <w:sz w:val="13"/>
                <w:szCs w:val="13"/>
                <w:color w:val="auto"/>
              </w:rPr>
            </w:pPr>
          </w:p>
        </w:tc>
        <w:tc>
          <w:tcPr>
            <w:tcW w:w="160" w:type="dxa"/>
            <w:vAlign w:val="bottom"/>
            <w:tcBorders>
              <w:right w:val="single" w:sz="8" w:color="007CBA"/>
            </w:tcBorders>
            <w:shd w:val="clear" w:color="auto" w:fill="007CBA"/>
          </w:tcPr>
          <w:p>
            <w:pPr>
              <w:spacing w:after="0"/>
              <w:rPr>
                <w:sz w:val="13"/>
                <w:szCs w:val="13"/>
                <w:color w:val="auto"/>
              </w:rPr>
            </w:pPr>
          </w:p>
        </w:tc>
        <w:tc>
          <w:tcPr>
            <w:tcW w:w="2380" w:type="dxa"/>
            <w:vAlign w:val="bottom"/>
            <w:tcBorders>
              <w:right w:val="single" w:sz="8" w:color="007CBA"/>
            </w:tcBorders>
            <w:gridSpan w:val="5"/>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Estimated Future Payouts</w:t>
            </w:r>
          </w:p>
        </w:tc>
        <w:tc>
          <w:tcPr>
            <w:tcW w:w="2380" w:type="dxa"/>
            <w:vAlign w:val="bottom"/>
            <w:gridSpan w:val="6"/>
            <w:vMerge w:val="restart"/>
            <w:shd w:val="clear" w:color="auto" w:fill="007CBA"/>
          </w:tcPr>
          <w:p>
            <w:pPr>
              <w:jc w:val="center"/>
              <w:ind w:right="100"/>
              <w:spacing w:after="0"/>
              <w:rPr>
                <w:sz w:val="20"/>
                <w:szCs w:val="20"/>
                <w:color w:val="auto"/>
              </w:rPr>
            </w:pPr>
            <w:r>
              <w:rPr>
                <w:rFonts w:ascii="Arial" w:cs="Arial" w:eastAsia="Arial" w:hAnsi="Arial"/>
                <w:sz w:val="14"/>
                <w:szCs w:val="14"/>
                <w:b w:val="1"/>
                <w:bCs w:val="1"/>
                <w:color w:val="FFFFFF"/>
                <w:w w:val="97"/>
              </w:rPr>
              <w:t>Estimated Future Payouts</w:t>
            </w:r>
          </w:p>
        </w:tc>
        <w:tc>
          <w:tcPr>
            <w:tcW w:w="720" w:type="dxa"/>
            <w:vAlign w:val="bottom"/>
            <w:tcBorders>
              <w:right w:val="single" w:sz="8" w:color="007CBA"/>
            </w:tcBorders>
            <w:shd w:val="clear" w:color="auto" w:fill="007CBA"/>
          </w:tcPr>
          <w:p>
            <w:pPr>
              <w:jc w:val="center"/>
              <w:ind w:right="10"/>
              <w:spacing w:after="0" w:line="152" w:lineRule="exact"/>
              <w:rPr>
                <w:sz w:val="20"/>
                <w:szCs w:val="20"/>
                <w:color w:val="auto"/>
              </w:rPr>
            </w:pPr>
            <w:r>
              <w:rPr>
                <w:rFonts w:ascii="Arial" w:cs="Arial" w:eastAsia="Arial" w:hAnsi="Arial"/>
                <w:sz w:val="14"/>
                <w:szCs w:val="14"/>
                <w:b w:val="1"/>
                <w:bCs w:val="1"/>
                <w:color w:val="FFFFFF"/>
                <w:w w:val="94"/>
              </w:rPr>
              <w:t>Awards:</w:t>
            </w:r>
          </w:p>
        </w:tc>
        <w:tc>
          <w:tcPr>
            <w:tcW w:w="920" w:type="dxa"/>
            <w:vAlign w:val="bottom"/>
            <w:tcBorders>
              <w:right w:val="single" w:sz="8" w:color="007CBA"/>
            </w:tcBorders>
            <w:shd w:val="clear" w:color="auto" w:fill="007CBA"/>
          </w:tcPr>
          <w:p>
            <w:pPr>
              <w:jc w:val="center"/>
              <w:spacing w:after="0" w:line="152" w:lineRule="exact"/>
              <w:rPr>
                <w:sz w:val="20"/>
                <w:szCs w:val="20"/>
                <w:color w:val="auto"/>
              </w:rPr>
            </w:pPr>
            <w:r>
              <w:rPr>
                <w:rFonts w:ascii="Arial" w:cs="Arial" w:eastAsia="Arial" w:hAnsi="Arial"/>
                <w:sz w:val="14"/>
                <w:szCs w:val="14"/>
                <w:b w:val="1"/>
                <w:bCs w:val="1"/>
                <w:color w:val="FFFFFF"/>
                <w:w w:val="94"/>
              </w:rPr>
              <w:t>Awards:</w:t>
            </w:r>
          </w:p>
        </w:tc>
        <w:tc>
          <w:tcPr>
            <w:tcW w:w="740" w:type="dxa"/>
            <w:vAlign w:val="bottom"/>
            <w:tcBorders>
              <w:right w:val="single" w:sz="8" w:color="007CBA"/>
            </w:tcBorders>
            <w:shd w:val="clear" w:color="auto" w:fill="007CBA"/>
          </w:tcPr>
          <w:p>
            <w:pPr>
              <w:jc w:val="center"/>
              <w:spacing w:after="0" w:line="152" w:lineRule="exact"/>
              <w:rPr>
                <w:sz w:val="20"/>
                <w:szCs w:val="20"/>
                <w:color w:val="auto"/>
              </w:rPr>
            </w:pPr>
            <w:r>
              <w:rPr>
                <w:rFonts w:ascii="Arial" w:cs="Arial" w:eastAsia="Arial" w:hAnsi="Arial"/>
                <w:sz w:val="14"/>
                <w:szCs w:val="14"/>
                <w:b w:val="1"/>
                <w:bCs w:val="1"/>
                <w:color w:val="FFFFFF"/>
                <w:w w:val="93"/>
              </w:rPr>
              <w:t>Exercise</w:t>
            </w:r>
          </w:p>
        </w:tc>
        <w:tc>
          <w:tcPr>
            <w:tcW w:w="780" w:type="dxa"/>
            <w:vAlign w:val="bottom"/>
            <w:shd w:val="clear" w:color="auto" w:fill="007CBA"/>
          </w:tcPr>
          <w:p>
            <w:pPr>
              <w:jc w:val="center"/>
              <w:ind w:left="9"/>
              <w:spacing w:after="0" w:line="152" w:lineRule="exact"/>
              <w:rPr>
                <w:sz w:val="20"/>
                <w:szCs w:val="20"/>
                <w:color w:val="auto"/>
              </w:rPr>
            </w:pPr>
            <w:r>
              <w:rPr>
                <w:rFonts w:ascii="Arial" w:cs="Arial" w:eastAsia="Arial" w:hAnsi="Arial"/>
                <w:sz w:val="14"/>
                <w:szCs w:val="14"/>
                <w:b w:val="1"/>
                <w:bCs w:val="1"/>
                <w:color w:val="FFFFFF"/>
                <w:w w:val="97"/>
              </w:rPr>
              <w:t>Grant Date</w:t>
            </w:r>
          </w:p>
        </w:tc>
        <w:tc>
          <w:tcPr>
            <w:tcW w:w="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40" w:type="dxa"/>
            <w:vAlign w:val="bottom"/>
            <w:tcBorders>
              <w:right w:val="single" w:sz="8" w:color="007CBA"/>
            </w:tcBorders>
            <w:shd w:val="clear" w:color="auto" w:fill="007CBA"/>
          </w:tcPr>
          <w:p>
            <w:pPr>
              <w:spacing w:after="0"/>
              <w:rPr>
                <w:sz w:val="11"/>
                <w:szCs w:val="11"/>
                <w:color w:val="auto"/>
              </w:rPr>
            </w:pPr>
          </w:p>
        </w:tc>
        <w:tc>
          <w:tcPr>
            <w:tcW w:w="600" w:type="dxa"/>
            <w:vAlign w:val="bottom"/>
            <w:shd w:val="clear" w:color="auto" w:fill="007CBA"/>
          </w:tcPr>
          <w:p>
            <w:pPr>
              <w:spacing w:after="0"/>
              <w:rPr>
                <w:sz w:val="11"/>
                <w:szCs w:val="11"/>
                <w:color w:val="auto"/>
              </w:rPr>
            </w:pPr>
          </w:p>
        </w:tc>
        <w:tc>
          <w:tcPr>
            <w:tcW w:w="160" w:type="dxa"/>
            <w:vAlign w:val="bottom"/>
            <w:tcBorders>
              <w:right w:val="single" w:sz="8" w:color="007CBA"/>
            </w:tcBorders>
            <w:shd w:val="clear" w:color="auto" w:fill="007CBA"/>
          </w:tcPr>
          <w:p>
            <w:pPr>
              <w:spacing w:after="0"/>
              <w:rPr>
                <w:sz w:val="11"/>
                <w:szCs w:val="11"/>
                <w:color w:val="auto"/>
              </w:rPr>
            </w:pPr>
          </w:p>
        </w:tc>
        <w:tc>
          <w:tcPr>
            <w:tcW w:w="2380" w:type="dxa"/>
            <w:vAlign w:val="bottom"/>
            <w:tcBorders>
              <w:right w:val="single" w:sz="8" w:color="007CBA"/>
            </w:tcBorders>
            <w:gridSpan w:val="5"/>
            <w:vMerge w:val="continue"/>
            <w:shd w:val="clear" w:color="auto" w:fill="007CBA"/>
          </w:tcPr>
          <w:p>
            <w:pPr>
              <w:spacing w:after="0"/>
              <w:rPr>
                <w:sz w:val="11"/>
                <w:szCs w:val="11"/>
                <w:color w:val="auto"/>
              </w:rPr>
            </w:pPr>
          </w:p>
        </w:tc>
        <w:tc>
          <w:tcPr>
            <w:tcW w:w="2380" w:type="dxa"/>
            <w:vAlign w:val="bottom"/>
            <w:gridSpan w:val="6"/>
            <w:vMerge w:val="continue"/>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jc w:val="center"/>
              <w:ind w:right="10"/>
              <w:spacing w:after="0" w:line="135" w:lineRule="exact"/>
              <w:rPr>
                <w:sz w:val="20"/>
                <w:szCs w:val="20"/>
                <w:color w:val="auto"/>
              </w:rPr>
            </w:pPr>
            <w:r>
              <w:rPr>
                <w:rFonts w:ascii="Arial" w:cs="Arial" w:eastAsia="Arial" w:hAnsi="Arial"/>
                <w:sz w:val="14"/>
                <w:szCs w:val="14"/>
                <w:b w:val="1"/>
                <w:bCs w:val="1"/>
                <w:color w:val="FFFFFF"/>
                <w:w w:val="98"/>
              </w:rPr>
              <w:t>Number</w:t>
            </w:r>
          </w:p>
        </w:tc>
        <w:tc>
          <w:tcPr>
            <w:tcW w:w="9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w w:val="97"/>
              </w:rPr>
              <w:t>Number of</w:t>
            </w:r>
          </w:p>
        </w:tc>
        <w:tc>
          <w:tcPr>
            <w:tcW w:w="74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w w:val="97"/>
              </w:rPr>
              <w:t>or Base</w:t>
            </w:r>
          </w:p>
        </w:tc>
        <w:tc>
          <w:tcPr>
            <w:tcW w:w="780" w:type="dxa"/>
            <w:vAlign w:val="bottom"/>
            <w:shd w:val="clear" w:color="auto" w:fill="007CBA"/>
          </w:tcPr>
          <w:p>
            <w:pPr>
              <w:jc w:val="center"/>
              <w:ind w:left="29"/>
              <w:spacing w:after="0" w:line="135" w:lineRule="exact"/>
              <w:rPr>
                <w:sz w:val="20"/>
                <w:szCs w:val="20"/>
                <w:color w:val="auto"/>
              </w:rPr>
            </w:pPr>
            <w:r>
              <w:rPr>
                <w:rFonts w:ascii="Arial" w:cs="Arial" w:eastAsia="Arial" w:hAnsi="Arial"/>
                <w:sz w:val="14"/>
                <w:szCs w:val="14"/>
                <w:b w:val="1"/>
                <w:bCs w:val="1"/>
                <w:color w:val="FFFFFF"/>
                <w:w w:val="95"/>
              </w:rPr>
              <w:t>Fair Value</w:t>
            </w:r>
          </w:p>
        </w:tc>
        <w:tc>
          <w:tcPr>
            <w:tcW w:w="10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007CBA"/>
          </w:tcPr>
          <w:p>
            <w:pPr>
              <w:spacing w:after="0"/>
              <w:rPr>
                <w:sz w:val="14"/>
                <w:szCs w:val="14"/>
                <w:color w:val="auto"/>
              </w:rPr>
            </w:pPr>
          </w:p>
        </w:tc>
        <w:tc>
          <w:tcPr>
            <w:tcW w:w="600" w:type="dxa"/>
            <w:vAlign w:val="bottom"/>
            <w:shd w:val="clear" w:color="auto" w:fill="007CBA"/>
          </w:tcPr>
          <w:p>
            <w:pPr>
              <w:spacing w:after="0"/>
              <w:rPr>
                <w:sz w:val="14"/>
                <w:szCs w:val="14"/>
                <w:color w:val="auto"/>
              </w:rPr>
            </w:pPr>
          </w:p>
        </w:tc>
        <w:tc>
          <w:tcPr>
            <w:tcW w:w="160" w:type="dxa"/>
            <w:vAlign w:val="bottom"/>
            <w:tcBorders>
              <w:right w:val="single" w:sz="8" w:color="007CBA"/>
            </w:tcBorders>
            <w:shd w:val="clear" w:color="auto" w:fill="007CBA"/>
          </w:tcPr>
          <w:p>
            <w:pPr>
              <w:spacing w:after="0"/>
              <w:rPr>
                <w:sz w:val="14"/>
                <w:szCs w:val="14"/>
                <w:color w:val="auto"/>
              </w:rPr>
            </w:pPr>
          </w:p>
        </w:tc>
        <w:tc>
          <w:tcPr>
            <w:tcW w:w="2380" w:type="dxa"/>
            <w:vAlign w:val="bottom"/>
            <w:tcBorders>
              <w:right w:val="single" w:sz="8" w:color="007CBA"/>
            </w:tcBorders>
            <w:gridSpan w:val="5"/>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Under Non-Equity Incentive</w:t>
            </w:r>
          </w:p>
        </w:tc>
        <w:tc>
          <w:tcPr>
            <w:tcW w:w="2380" w:type="dxa"/>
            <w:vAlign w:val="bottom"/>
            <w:gridSpan w:val="6"/>
            <w:shd w:val="clear" w:color="auto" w:fill="007CBA"/>
          </w:tcPr>
          <w:p>
            <w:pPr>
              <w:jc w:val="center"/>
              <w:ind w:right="80"/>
              <w:spacing w:after="0"/>
              <w:rPr>
                <w:sz w:val="20"/>
                <w:szCs w:val="20"/>
                <w:color w:val="auto"/>
              </w:rPr>
            </w:pPr>
            <w:r>
              <w:rPr>
                <w:rFonts w:ascii="Arial" w:cs="Arial" w:eastAsia="Arial" w:hAnsi="Arial"/>
                <w:sz w:val="14"/>
                <w:szCs w:val="14"/>
                <w:b w:val="1"/>
                <w:bCs w:val="1"/>
                <w:color w:val="FFFFFF"/>
                <w:w w:val="96"/>
              </w:rPr>
              <w:t>Under Equity Incentive</w:t>
            </w:r>
          </w:p>
        </w:tc>
        <w:tc>
          <w:tcPr>
            <w:tcW w:w="720" w:type="dxa"/>
            <w:vAlign w:val="bottom"/>
            <w:tcBorders>
              <w:right w:val="single" w:sz="8" w:color="007CBA"/>
            </w:tcBorders>
            <w:shd w:val="clear" w:color="auto" w:fill="007CBA"/>
          </w:tcPr>
          <w:p>
            <w:pPr>
              <w:jc w:val="center"/>
              <w:ind w:right="30"/>
              <w:spacing w:after="0"/>
              <w:rPr>
                <w:sz w:val="20"/>
                <w:szCs w:val="20"/>
                <w:color w:val="auto"/>
              </w:rPr>
            </w:pPr>
            <w:r>
              <w:rPr>
                <w:rFonts w:ascii="Arial" w:cs="Arial" w:eastAsia="Arial" w:hAnsi="Arial"/>
                <w:sz w:val="14"/>
                <w:szCs w:val="14"/>
                <w:b w:val="1"/>
                <w:bCs w:val="1"/>
                <w:color w:val="FFFFFF"/>
                <w:w w:val="97"/>
              </w:rPr>
              <w:t>of Shares</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Securities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Price of</w:t>
            </w:r>
          </w:p>
        </w:tc>
        <w:tc>
          <w:tcPr>
            <w:tcW w:w="780" w:type="dxa"/>
            <w:vAlign w:val="bottom"/>
            <w:shd w:val="clear" w:color="auto" w:fill="007CBA"/>
          </w:tcPr>
          <w:p>
            <w:pPr>
              <w:jc w:val="center"/>
              <w:ind w:left="9"/>
              <w:spacing w:after="0"/>
              <w:rPr>
                <w:sz w:val="20"/>
                <w:szCs w:val="20"/>
                <w:color w:val="auto"/>
              </w:rPr>
            </w:pPr>
            <w:r>
              <w:rPr>
                <w:rFonts w:ascii="Arial" w:cs="Arial" w:eastAsia="Arial" w:hAnsi="Arial"/>
                <w:sz w:val="14"/>
                <w:szCs w:val="14"/>
                <w:b w:val="1"/>
                <w:bCs w:val="1"/>
                <w:color w:val="FFFFFF"/>
                <w:w w:val="97"/>
              </w:rPr>
              <w:t>of Stock</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007CBA"/>
            </w:tcBorders>
            <w:shd w:val="clear" w:color="auto" w:fill="007CBA"/>
          </w:tcPr>
          <w:p>
            <w:pPr>
              <w:spacing w:after="0"/>
              <w:rPr>
                <w:sz w:val="12"/>
                <w:szCs w:val="12"/>
                <w:color w:val="auto"/>
              </w:rPr>
            </w:pPr>
          </w:p>
        </w:tc>
        <w:tc>
          <w:tcPr>
            <w:tcW w:w="600" w:type="dxa"/>
            <w:vAlign w:val="bottom"/>
            <w:shd w:val="clear" w:color="auto" w:fill="007CBA"/>
          </w:tcPr>
          <w:p>
            <w:pPr>
              <w:spacing w:after="0"/>
              <w:rPr>
                <w:sz w:val="12"/>
                <w:szCs w:val="12"/>
                <w:color w:val="auto"/>
              </w:rPr>
            </w:pPr>
          </w:p>
        </w:tc>
        <w:tc>
          <w:tcPr>
            <w:tcW w:w="160" w:type="dxa"/>
            <w:vAlign w:val="bottom"/>
            <w:tcBorders>
              <w:right w:val="single" w:sz="8" w:color="007CBA"/>
            </w:tcBorders>
            <w:shd w:val="clear" w:color="auto" w:fill="007CBA"/>
          </w:tcPr>
          <w:p>
            <w:pPr>
              <w:spacing w:after="0"/>
              <w:rPr>
                <w:sz w:val="12"/>
                <w:szCs w:val="12"/>
                <w:color w:val="auto"/>
              </w:rPr>
            </w:pPr>
          </w:p>
        </w:tc>
        <w:tc>
          <w:tcPr>
            <w:tcW w:w="720" w:type="dxa"/>
            <w:vAlign w:val="bottom"/>
            <w:shd w:val="clear" w:color="auto" w:fill="007CBA"/>
          </w:tcPr>
          <w:p>
            <w:pPr>
              <w:spacing w:after="0"/>
              <w:rPr>
                <w:sz w:val="12"/>
                <w:szCs w:val="12"/>
                <w:color w:val="auto"/>
              </w:rPr>
            </w:pPr>
          </w:p>
        </w:tc>
        <w:tc>
          <w:tcPr>
            <w:tcW w:w="920" w:type="dxa"/>
            <w:vAlign w:val="bottom"/>
            <w:gridSpan w:val="3"/>
            <w:shd w:val="clear" w:color="auto" w:fill="007CBA"/>
          </w:tcPr>
          <w:p>
            <w:pPr>
              <w:jc w:val="center"/>
              <w:ind w:right="20"/>
              <w:spacing w:after="0" w:line="149" w:lineRule="exact"/>
              <w:rPr>
                <w:sz w:val="20"/>
                <w:szCs w:val="20"/>
                <w:color w:val="auto"/>
              </w:rPr>
            </w:pPr>
            <w:r>
              <w:rPr>
                <w:rFonts w:ascii="Arial" w:cs="Arial" w:eastAsia="Arial" w:hAnsi="Arial"/>
                <w:sz w:val="14"/>
                <w:szCs w:val="14"/>
                <w:b w:val="1"/>
                <w:bCs w:val="1"/>
                <w:color w:val="FFFFFF"/>
                <w:w w:val="95"/>
              </w:rPr>
              <w:t>Plan Awards</w:t>
            </w:r>
            <w:r>
              <w:rPr>
                <w:rFonts w:ascii="Arial" w:cs="Arial" w:eastAsia="Arial" w:hAnsi="Arial"/>
                <w:sz w:val="11"/>
                <w:szCs w:val="11"/>
                <w:b w:val="1"/>
                <w:bCs w:val="1"/>
                <w:color w:val="FFFFFF"/>
                <w:w w:val="95"/>
              </w:rPr>
              <w:t>1</w:t>
            </w:r>
          </w:p>
        </w:tc>
        <w:tc>
          <w:tcPr>
            <w:tcW w:w="740" w:type="dxa"/>
            <w:vAlign w:val="bottom"/>
            <w:tcBorders>
              <w:right w:val="single" w:sz="8" w:color="007CBA"/>
            </w:tcBorders>
            <w:shd w:val="clear" w:color="auto" w:fill="007CBA"/>
          </w:tcPr>
          <w:p>
            <w:pPr>
              <w:spacing w:after="0"/>
              <w:rPr>
                <w:sz w:val="12"/>
                <w:szCs w:val="12"/>
                <w:color w:val="auto"/>
              </w:rPr>
            </w:pPr>
          </w:p>
        </w:tc>
        <w:tc>
          <w:tcPr>
            <w:tcW w:w="740" w:type="dxa"/>
            <w:vAlign w:val="bottom"/>
            <w:shd w:val="clear" w:color="auto" w:fill="007CBA"/>
          </w:tcPr>
          <w:p>
            <w:pPr>
              <w:spacing w:after="0"/>
              <w:rPr>
                <w:sz w:val="12"/>
                <w:szCs w:val="12"/>
                <w:color w:val="auto"/>
              </w:rPr>
            </w:pPr>
          </w:p>
        </w:tc>
        <w:tc>
          <w:tcPr>
            <w:tcW w:w="820" w:type="dxa"/>
            <w:vAlign w:val="bottom"/>
            <w:gridSpan w:val="3"/>
            <w:shd w:val="clear" w:color="auto" w:fill="007CBA"/>
          </w:tcPr>
          <w:p>
            <w:pPr>
              <w:jc w:val="center"/>
              <w:ind w:right="20"/>
              <w:spacing w:after="0" w:line="149" w:lineRule="exact"/>
              <w:rPr>
                <w:sz w:val="20"/>
                <w:szCs w:val="20"/>
                <w:color w:val="auto"/>
              </w:rPr>
            </w:pPr>
            <w:r>
              <w:rPr>
                <w:rFonts w:ascii="Arial" w:cs="Arial" w:eastAsia="Arial" w:hAnsi="Arial"/>
                <w:sz w:val="14"/>
                <w:szCs w:val="14"/>
                <w:b w:val="1"/>
                <w:bCs w:val="1"/>
                <w:color w:val="FFFFFF"/>
                <w:w w:val="95"/>
              </w:rPr>
              <w:t>Plan Awards</w:t>
            </w:r>
          </w:p>
        </w:tc>
        <w:tc>
          <w:tcPr>
            <w:tcW w:w="76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7"/>
              </w:rPr>
              <w:t>of Stock</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8"/>
              </w:rPr>
              <w:t>Underlying</w:t>
            </w:r>
          </w:p>
        </w:tc>
        <w:tc>
          <w:tcPr>
            <w:tcW w:w="74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3"/>
              </w:rPr>
              <w:t>Option</w:t>
            </w:r>
          </w:p>
        </w:tc>
        <w:tc>
          <w:tcPr>
            <w:tcW w:w="780" w:type="dxa"/>
            <w:vAlign w:val="bottom"/>
            <w:shd w:val="clear" w:color="auto" w:fill="007CBA"/>
          </w:tcPr>
          <w:p>
            <w:pPr>
              <w:jc w:val="center"/>
              <w:ind w:left="29"/>
              <w:spacing w:after="0" w:line="149" w:lineRule="exact"/>
              <w:rPr>
                <w:sz w:val="20"/>
                <w:szCs w:val="20"/>
                <w:color w:val="auto"/>
              </w:rPr>
            </w:pPr>
            <w:r>
              <w:rPr>
                <w:rFonts w:ascii="Arial" w:cs="Arial" w:eastAsia="Arial" w:hAnsi="Arial"/>
                <w:sz w:val="14"/>
                <w:szCs w:val="14"/>
                <w:b w:val="1"/>
                <w:bCs w:val="1"/>
                <w:color w:val="FFFFFF"/>
                <w:w w:val="96"/>
              </w:rPr>
              <w:t>and</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007CBA"/>
            </w:tcBorders>
            <w:shd w:val="clear" w:color="auto" w:fill="007CBA"/>
          </w:tcPr>
          <w:p>
            <w:pPr>
              <w:spacing w:after="0"/>
              <w:rPr>
                <w:sz w:val="12"/>
                <w:szCs w:val="12"/>
                <w:color w:val="auto"/>
              </w:rPr>
            </w:pPr>
          </w:p>
        </w:tc>
        <w:tc>
          <w:tcPr>
            <w:tcW w:w="760" w:type="dxa"/>
            <w:vAlign w:val="bottom"/>
            <w:tcBorders>
              <w:right w:val="single" w:sz="8" w:color="007CBA"/>
            </w:tcBorders>
            <w:gridSpan w:val="2"/>
            <w:shd w:val="clear" w:color="auto" w:fill="007CBA"/>
          </w:tcPr>
          <w:p>
            <w:pPr>
              <w:jc w:val="center"/>
              <w:ind w:right="19"/>
              <w:spacing w:after="0" w:line="149" w:lineRule="exact"/>
              <w:rPr>
                <w:sz w:val="20"/>
                <w:szCs w:val="20"/>
                <w:color w:val="auto"/>
              </w:rPr>
            </w:pPr>
            <w:r>
              <w:rPr>
                <w:rFonts w:ascii="Arial" w:cs="Arial" w:eastAsia="Arial" w:hAnsi="Arial"/>
                <w:sz w:val="14"/>
                <w:szCs w:val="14"/>
                <w:b w:val="1"/>
                <w:bCs w:val="1"/>
                <w:color w:val="FFFFFF"/>
                <w:w w:val="96"/>
              </w:rPr>
              <w:t>Grant</w:t>
            </w:r>
          </w:p>
        </w:tc>
        <w:tc>
          <w:tcPr>
            <w:tcW w:w="72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Threshold</w:t>
            </w:r>
          </w:p>
        </w:tc>
        <w:tc>
          <w:tcPr>
            <w:tcW w:w="100" w:type="dxa"/>
            <w:vAlign w:val="bottom"/>
            <w:tcBorders>
              <w:right w:val="single" w:sz="8" w:color="007CBA"/>
            </w:tcBorders>
            <w:shd w:val="clear" w:color="auto" w:fill="007CBA"/>
          </w:tcPr>
          <w:p>
            <w:pPr>
              <w:spacing w:after="0"/>
              <w:rPr>
                <w:sz w:val="12"/>
                <w:szCs w:val="12"/>
                <w:color w:val="auto"/>
              </w:rPr>
            </w:pPr>
          </w:p>
        </w:tc>
        <w:tc>
          <w:tcPr>
            <w:tcW w:w="820" w:type="dxa"/>
            <w:vAlign w:val="bottom"/>
            <w:gridSpan w:val="2"/>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3"/>
              </w:rPr>
              <w:t>Target</w:t>
            </w:r>
          </w:p>
        </w:tc>
        <w:tc>
          <w:tcPr>
            <w:tcW w:w="740" w:type="dxa"/>
            <w:vAlign w:val="bottom"/>
            <w:tcBorders>
              <w:right w:val="single" w:sz="8" w:color="007CBA"/>
            </w:tcBorders>
            <w:shd w:val="clear" w:color="auto" w:fill="007CBA"/>
          </w:tcPr>
          <w:p>
            <w:pPr>
              <w:jc w:val="center"/>
              <w:ind w:right="12"/>
              <w:spacing w:after="0" w:line="149" w:lineRule="exact"/>
              <w:rPr>
                <w:sz w:val="20"/>
                <w:szCs w:val="20"/>
                <w:color w:val="auto"/>
              </w:rPr>
            </w:pPr>
            <w:r>
              <w:rPr>
                <w:rFonts w:ascii="Arial" w:cs="Arial" w:eastAsia="Arial" w:hAnsi="Arial"/>
                <w:sz w:val="14"/>
                <w:szCs w:val="14"/>
                <w:b w:val="1"/>
                <w:bCs w:val="1"/>
                <w:color w:val="FFFFFF"/>
                <w:w w:val="95"/>
              </w:rPr>
              <w:t>Maximum</w:t>
            </w:r>
          </w:p>
        </w:tc>
        <w:tc>
          <w:tcPr>
            <w:tcW w:w="740" w:type="dxa"/>
            <w:vAlign w:val="bottom"/>
            <w:shd w:val="clear" w:color="auto" w:fill="007CBA"/>
          </w:tcPr>
          <w:p>
            <w:pPr>
              <w:jc w:val="center"/>
              <w:ind w:left="10"/>
              <w:spacing w:after="0" w:line="149" w:lineRule="exact"/>
              <w:rPr>
                <w:sz w:val="20"/>
                <w:szCs w:val="20"/>
                <w:color w:val="auto"/>
              </w:rPr>
            </w:pPr>
            <w:r>
              <w:rPr>
                <w:rFonts w:ascii="Arial" w:cs="Arial" w:eastAsia="Arial" w:hAnsi="Arial"/>
                <w:sz w:val="14"/>
                <w:szCs w:val="14"/>
                <w:b w:val="1"/>
                <w:bCs w:val="1"/>
                <w:color w:val="FFFFFF"/>
                <w:w w:val="97"/>
              </w:rPr>
              <w:t>Threshold</w:t>
            </w:r>
          </w:p>
        </w:tc>
        <w:tc>
          <w:tcPr>
            <w:tcW w:w="100" w:type="dxa"/>
            <w:vAlign w:val="bottom"/>
            <w:tcBorders>
              <w:right w:val="single" w:sz="8" w:color="007CBA"/>
            </w:tcBorders>
            <w:shd w:val="clear" w:color="auto" w:fill="007CBA"/>
          </w:tcPr>
          <w:p>
            <w:pPr>
              <w:spacing w:after="0"/>
              <w:rPr>
                <w:sz w:val="12"/>
                <w:szCs w:val="12"/>
                <w:color w:val="auto"/>
              </w:rPr>
            </w:pPr>
          </w:p>
        </w:tc>
        <w:tc>
          <w:tcPr>
            <w:tcW w:w="720" w:type="dxa"/>
            <w:vAlign w:val="bottom"/>
            <w:gridSpan w:val="2"/>
            <w:shd w:val="clear" w:color="auto" w:fill="007CBA"/>
          </w:tcPr>
          <w:p>
            <w:pPr>
              <w:jc w:val="center"/>
              <w:ind w:right="80"/>
              <w:spacing w:after="0" w:line="149" w:lineRule="exact"/>
              <w:rPr>
                <w:sz w:val="20"/>
                <w:szCs w:val="20"/>
                <w:color w:val="auto"/>
              </w:rPr>
            </w:pPr>
            <w:r>
              <w:rPr>
                <w:rFonts w:ascii="Arial" w:cs="Arial" w:eastAsia="Arial" w:hAnsi="Arial"/>
                <w:sz w:val="14"/>
                <w:szCs w:val="14"/>
                <w:b w:val="1"/>
                <w:bCs w:val="1"/>
                <w:color w:val="FFFFFF"/>
                <w:w w:val="93"/>
              </w:rPr>
              <w:t>Target</w:t>
            </w:r>
          </w:p>
        </w:tc>
        <w:tc>
          <w:tcPr>
            <w:tcW w:w="820" w:type="dxa"/>
            <w:vAlign w:val="bottom"/>
            <w:gridSpan w:val="2"/>
            <w:shd w:val="clear" w:color="auto" w:fill="007CBA"/>
          </w:tcPr>
          <w:p>
            <w:pPr>
              <w:jc w:val="center"/>
              <w:ind w:right="160"/>
              <w:spacing w:after="0" w:line="149" w:lineRule="exact"/>
              <w:rPr>
                <w:sz w:val="20"/>
                <w:szCs w:val="20"/>
                <w:color w:val="auto"/>
              </w:rPr>
            </w:pPr>
            <w:r>
              <w:rPr>
                <w:rFonts w:ascii="Arial" w:cs="Arial" w:eastAsia="Arial" w:hAnsi="Arial"/>
                <w:sz w:val="14"/>
                <w:szCs w:val="14"/>
                <w:b w:val="1"/>
                <w:bCs w:val="1"/>
                <w:color w:val="FFFFFF"/>
                <w:w w:val="95"/>
              </w:rPr>
              <w:t>Maximum</w:t>
            </w:r>
          </w:p>
        </w:tc>
        <w:tc>
          <w:tcPr>
            <w:tcW w:w="720" w:type="dxa"/>
            <w:vAlign w:val="bottom"/>
            <w:tcBorders>
              <w:right w:val="single" w:sz="8" w:color="007CBA"/>
            </w:tcBorders>
            <w:shd w:val="clear" w:color="auto" w:fill="007CBA"/>
          </w:tcPr>
          <w:p>
            <w:pPr>
              <w:jc w:val="center"/>
              <w:ind w:right="10"/>
              <w:spacing w:after="0" w:line="149" w:lineRule="exact"/>
              <w:rPr>
                <w:sz w:val="20"/>
                <w:szCs w:val="20"/>
                <w:color w:val="auto"/>
              </w:rPr>
            </w:pPr>
            <w:r>
              <w:rPr>
                <w:rFonts w:ascii="Arial" w:cs="Arial" w:eastAsia="Arial" w:hAnsi="Arial"/>
                <w:sz w:val="14"/>
                <w:szCs w:val="14"/>
                <w:b w:val="1"/>
                <w:bCs w:val="1"/>
                <w:color w:val="FFFFFF"/>
                <w:w w:val="98"/>
              </w:rPr>
              <w:t>or Units</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8"/>
              </w:rPr>
              <w:t>Options</w:t>
            </w:r>
          </w:p>
        </w:tc>
        <w:tc>
          <w:tcPr>
            <w:tcW w:w="74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8"/>
              </w:rPr>
              <w:t>Awards</w:t>
            </w:r>
          </w:p>
        </w:tc>
        <w:tc>
          <w:tcPr>
            <w:tcW w:w="780" w:type="dxa"/>
            <w:vAlign w:val="bottom"/>
            <w:shd w:val="clear" w:color="auto" w:fill="007CBA"/>
          </w:tcPr>
          <w:p>
            <w:pPr>
              <w:jc w:val="center"/>
              <w:ind w:left="29"/>
              <w:spacing w:after="0" w:line="149" w:lineRule="exact"/>
              <w:rPr>
                <w:sz w:val="20"/>
                <w:szCs w:val="20"/>
                <w:color w:val="auto"/>
              </w:rPr>
            </w:pPr>
            <w:r>
              <w:rPr>
                <w:rFonts w:ascii="Arial" w:cs="Arial" w:eastAsia="Arial" w:hAnsi="Arial"/>
                <w:sz w:val="14"/>
                <w:szCs w:val="14"/>
                <w:b w:val="1"/>
                <w:bCs w:val="1"/>
                <w:color w:val="FFFFFF"/>
                <w:w w:val="97"/>
              </w:rPr>
              <w:t>Option</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tcBorders>
              <w:right w:val="single" w:sz="8" w:color="007CBA"/>
            </w:tcBorders>
            <w:shd w:val="clear" w:color="auto" w:fill="007CBA"/>
          </w:tcPr>
          <w:p>
            <w:pPr>
              <w:ind w:left="80"/>
              <w:spacing w:after="0" w:line="159" w:lineRule="exact"/>
              <w:rPr>
                <w:sz w:val="20"/>
                <w:szCs w:val="20"/>
                <w:color w:val="auto"/>
              </w:rPr>
            </w:pPr>
            <w:r>
              <w:rPr>
                <w:rFonts w:ascii="Arial" w:cs="Arial" w:eastAsia="Arial" w:hAnsi="Arial"/>
                <w:sz w:val="14"/>
                <w:szCs w:val="14"/>
                <w:b w:val="1"/>
                <w:bCs w:val="1"/>
                <w:color w:val="FFFFFF"/>
              </w:rPr>
              <w:t>Name</w:t>
            </w:r>
          </w:p>
        </w:tc>
        <w:tc>
          <w:tcPr>
            <w:tcW w:w="760" w:type="dxa"/>
            <w:vAlign w:val="bottom"/>
            <w:tcBorders>
              <w:right w:val="single" w:sz="8" w:color="007CBA"/>
            </w:tcBorders>
            <w:gridSpan w:val="2"/>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8"/>
              </w:rPr>
              <w:t>Date</w:t>
            </w:r>
          </w:p>
        </w:tc>
        <w:tc>
          <w:tcPr>
            <w:tcW w:w="720" w:type="dxa"/>
            <w:vAlign w:val="bottom"/>
            <w:shd w:val="clear" w:color="auto" w:fill="007CBA"/>
          </w:tcPr>
          <w:p>
            <w:pPr>
              <w:jc w:val="center"/>
              <w:ind w:left="12"/>
              <w:spacing w:after="0" w:line="159" w:lineRule="exact"/>
              <w:rPr>
                <w:sz w:val="20"/>
                <w:szCs w:val="20"/>
                <w:color w:val="auto"/>
              </w:rPr>
            </w:pPr>
            <w:r>
              <w:rPr>
                <w:rFonts w:ascii="Arial" w:cs="Arial" w:eastAsia="Arial" w:hAnsi="Arial"/>
                <w:sz w:val="14"/>
                <w:szCs w:val="14"/>
                <w:b w:val="1"/>
                <w:bCs w:val="1"/>
                <w:color w:val="FFFFFF"/>
                <w:w w:val="93"/>
              </w:rPr>
              <w:t>($)</w:t>
            </w:r>
          </w:p>
        </w:tc>
        <w:tc>
          <w:tcPr>
            <w:tcW w:w="860" w:type="dxa"/>
            <w:vAlign w:val="bottom"/>
            <w:tcBorders>
              <w:right w:val="single" w:sz="8" w:color="007CBA"/>
            </w:tcBorders>
            <w:gridSpan w:val="2"/>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60" w:type="dxa"/>
            <w:vAlign w:val="bottom"/>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jc w:val="center"/>
              <w:ind w:right="32"/>
              <w:spacing w:after="0" w:line="159" w:lineRule="exact"/>
              <w:rPr>
                <w:sz w:val="20"/>
                <w:szCs w:val="20"/>
                <w:color w:val="auto"/>
              </w:rPr>
            </w:pPr>
            <w:r>
              <w:rPr>
                <w:rFonts w:ascii="Arial" w:cs="Arial" w:eastAsia="Arial" w:hAnsi="Arial"/>
                <w:sz w:val="14"/>
                <w:szCs w:val="14"/>
                <w:b w:val="1"/>
                <w:bCs w:val="1"/>
                <w:color w:val="FFFFFF"/>
                <w:w w:val="93"/>
              </w:rPr>
              <w:t>($)</w:t>
            </w:r>
          </w:p>
        </w:tc>
        <w:tc>
          <w:tcPr>
            <w:tcW w:w="74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760" w:type="dxa"/>
            <w:vAlign w:val="bottom"/>
            <w:tcBorders>
              <w:right w:val="single" w:sz="8" w:color="007CBA"/>
            </w:tcBorders>
            <w:gridSpan w:val="2"/>
            <w:shd w:val="clear" w:color="auto" w:fill="007CBA"/>
          </w:tcPr>
          <w:p>
            <w:pPr>
              <w:jc w:val="center"/>
              <w:ind w:left="12"/>
              <w:spacing w:after="0" w:line="159" w:lineRule="exact"/>
              <w:rPr>
                <w:sz w:val="20"/>
                <w:szCs w:val="20"/>
                <w:color w:val="auto"/>
              </w:rPr>
            </w:pPr>
            <w:r>
              <w:rPr>
                <w:rFonts w:ascii="Arial" w:cs="Arial" w:eastAsia="Arial" w:hAnsi="Arial"/>
                <w:sz w:val="14"/>
                <w:szCs w:val="14"/>
                <w:b w:val="1"/>
                <w:bCs w:val="1"/>
                <w:color w:val="FFFFFF"/>
                <w:w w:val="93"/>
              </w:rPr>
              <w:t>(#)</w:t>
            </w:r>
          </w:p>
        </w:tc>
        <w:tc>
          <w:tcPr>
            <w:tcW w:w="60" w:type="dxa"/>
            <w:vAlign w:val="bottom"/>
            <w:shd w:val="clear" w:color="auto" w:fill="007CBA"/>
          </w:tcPr>
          <w:p>
            <w:pPr>
              <w:spacing w:after="0"/>
              <w:rPr>
                <w:sz w:val="13"/>
                <w:szCs w:val="13"/>
                <w:color w:val="auto"/>
              </w:rPr>
            </w:pPr>
          </w:p>
        </w:tc>
        <w:tc>
          <w:tcPr>
            <w:tcW w:w="760" w:type="dxa"/>
            <w:vAlign w:val="bottom"/>
            <w:tcBorders>
              <w:right w:val="single" w:sz="8" w:color="007CBA"/>
            </w:tcBorders>
            <w:shd w:val="clear" w:color="auto" w:fill="007CBA"/>
          </w:tcPr>
          <w:p>
            <w:pPr>
              <w:jc w:val="center"/>
              <w:ind w:right="30"/>
              <w:spacing w:after="0" w:line="159" w:lineRule="exact"/>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jc w:val="center"/>
              <w:ind w:right="10"/>
              <w:spacing w:after="0" w:line="159" w:lineRule="exact"/>
              <w:rPr>
                <w:sz w:val="20"/>
                <w:szCs w:val="20"/>
                <w:color w:val="auto"/>
              </w:rPr>
            </w:pPr>
            <w:r>
              <w:rPr>
                <w:rFonts w:ascii="Arial" w:cs="Arial" w:eastAsia="Arial" w:hAnsi="Arial"/>
                <w:sz w:val="14"/>
                <w:szCs w:val="14"/>
                <w:b w:val="1"/>
                <w:bCs w:val="1"/>
                <w:color w:val="FFFFFF"/>
                <w:w w:val="93"/>
              </w:rPr>
              <w:t>(#)</w:t>
            </w:r>
          </w:p>
        </w:tc>
        <w:tc>
          <w:tcPr>
            <w:tcW w:w="92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74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7"/>
              </w:rPr>
              <w:t>($/Sh)</w:t>
            </w:r>
          </w:p>
        </w:tc>
        <w:tc>
          <w:tcPr>
            <w:tcW w:w="780" w:type="dxa"/>
            <w:vAlign w:val="bottom"/>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w w:val="98"/>
              </w:rPr>
              <w:t>Awards</w:t>
            </w:r>
            <w:r>
              <w:rPr>
                <w:rFonts w:ascii="Arial" w:cs="Arial" w:eastAsia="Arial" w:hAnsi="Arial"/>
                <w:sz w:val="11"/>
                <w:szCs w:val="11"/>
                <w:b w:val="1"/>
                <w:bCs w:val="1"/>
                <w:color w:val="FFFFFF"/>
                <w:w w:val="98"/>
              </w:rPr>
              <w:t>6</w:t>
            </w:r>
          </w:p>
        </w:tc>
        <w:tc>
          <w:tcPr>
            <w:tcW w:w="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(a)</w:t>
            </w:r>
          </w:p>
        </w:tc>
        <w:tc>
          <w:tcPr>
            <w:tcW w:w="7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(b)</w:t>
            </w:r>
          </w:p>
        </w:tc>
        <w:tc>
          <w:tcPr>
            <w:tcW w:w="720" w:type="dxa"/>
            <w:vAlign w:val="bottom"/>
            <w:shd w:val="clear" w:color="auto" w:fill="007CBA"/>
          </w:tcPr>
          <w:p>
            <w:pPr>
              <w:jc w:val="center"/>
              <w:ind w:left="12"/>
              <w:spacing w:after="0"/>
              <w:rPr>
                <w:sz w:val="20"/>
                <w:szCs w:val="20"/>
                <w:color w:val="auto"/>
              </w:rPr>
            </w:pPr>
            <w:r>
              <w:rPr>
                <w:rFonts w:ascii="Arial" w:cs="Arial" w:eastAsia="Arial" w:hAnsi="Arial"/>
                <w:sz w:val="14"/>
                <w:szCs w:val="14"/>
                <w:b w:val="1"/>
                <w:bCs w:val="1"/>
                <w:color w:val="FFFFFF"/>
                <w:w w:val="93"/>
              </w:rPr>
              <w:t>(c)</w:t>
            </w:r>
          </w:p>
        </w:tc>
        <w:tc>
          <w:tcPr>
            <w:tcW w:w="100" w:type="dxa"/>
            <w:vAlign w:val="bottom"/>
            <w:tcBorders>
              <w:right w:val="single" w:sz="8" w:color="007CBA"/>
            </w:tcBorders>
            <w:shd w:val="clear" w:color="auto" w:fill="007CBA"/>
          </w:tcPr>
          <w:p>
            <w:pPr>
              <w:spacing w:after="0"/>
              <w:rPr>
                <w:sz w:val="14"/>
                <w:szCs w:val="14"/>
                <w:color w:val="auto"/>
              </w:rPr>
            </w:pPr>
          </w:p>
        </w:tc>
        <w:tc>
          <w:tcPr>
            <w:tcW w:w="820" w:type="dxa"/>
            <w:vAlign w:val="bottom"/>
            <w:gridSpan w:val="2"/>
            <w:shd w:val="clear" w:color="auto" w:fill="007CBA"/>
          </w:tcPr>
          <w:p>
            <w:pPr>
              <w:jc w:val="center"/>
              <w:ind w:right="80"/>
              <w:spacing w:after="0"/>
              <w:rPr>
                <w:sz w:val="20"/>
                <w:szCs w:val="20"/>
                <w:color w:val="auto"/>
              </w:rPr>
            </w:pPr>
            <w:r>
              <w:rPr>
                <w:rFonts w:ascii="Arial" w:cs="Arial" w:eastAsia="Arial" w:hAnsi="Arial"/>
                <w:sz w:val="14"/>
                <w:szCs w:val="14"/>
                <w:b w:val="1"/>
                <w:bCs w:val="1"/>
                <w:color w:val="FFFFFF"/>
              </w:rPr>
              <w:t>(d)</w:t>
            </w:r>
          </w:p>
        </w:tc>
        <w:tc>
          <w:tcPr>
            <w:tcW w:w="740" w:type="dxa"/>
            <w:vAlign w:val="bottom"/>
            <w:tcBorders>
              <w:right w:val="single" w:sz="8" w:color="007CBA"/>
            </w:tcBorders>
            <w:shd w:val="clear" w:color="auto" w:fill="007CBA"/>
          </w:tcPr>
          <w:p>
            <w:pPr>
              <w:jc w:val="center"/>
              <w:ind w:right="32"/>
              <w:spacing w:after="0"/>
              <w:rPr>
                <w:sz w:val="20"/>
                <w:szCs w:val="20"/>
                <w:color w:val="auto"/>
              </w:rPr>
            </w:pPr>
            <w:r>
              <w:rPr>
                <w:rFonts w:ascii="Arial" w:cs="Arial" w:eastAsia="Arial" w:hAnsi="Arial"/>
                <w:sz w:val="14"/>
                <w:szCs w:val="14"/>
                <w:b w:val="1"/>
                <w:bCs w:val="1"/>
                <w:color w:val="FFFFFF"/>
                <w:w w:val="93"/>
              </w:rPr>
              <w:t>(e)</w:t>
            </w:r>
          </w:p>
        </w:tc>
        <w:tc>
          <w:tcPr>
            <w:tcW w:w="740" w:type="dxa"/>
            <w:vAlign w:val="bottom"/>
            <w:shd w:val="clear" w:color="auto" w:fill="007CBA"/>
          </w:tcPr>
          <w:p>
            <w:pPr>
              <w:jc w:val="center"/>
              <w:ind w:left="10"/>
              <w:spacing w:after="0"/>
              <w:rPr>
                <w:sz w:val="20"/>
                <w:szCs w:val="20"/>
                <w:color w:val="auto"/>
              </w:rPr>
            </w:pPr>
            <w:r>
              <w:rPr>
                <w:rFonts w:ascii="Arial" w:cs="Arial" w:eastAsia="Arial" w:hAnsi="Arial"/>
                <w:sz w:val="14"/>
                <w:szCs w:val="14"/>
                <w:b w:val="1"/>
                <w:bCs w:val="1"/>
                <w:color w:val="FFFFFF"/>
                <w:w w:val="99"/>
              </w:rPr>
              <w:t>(f)</w:t>
            </w:r>
          </w:p>
        </w:tc>
        <w:tc>
          <w:tcPr>
            <w:tcW w:w="100" w:type="dxa"/>
            <w:vAlign w:val="bottom"/>
            <w:tcBorders>
              <w:right w:val="single" w:sz="8" w:color="007CBA"/>
            </w:tcBorders>
            <w:shd w:val="clear" w:color="auto" w:fill="007CBA"/>
          </w:tcPr>
          <w:p>
            <w:pPr>
              <w:spacing w:after="0"/>
              <w:rPr>
                <w:sz w:val="14"/>
                <w:szCs w:val="14"/>
                <w:color w:val="auto"/>
              </w:rPr>
            </w:pPr>
          </w:p>
        </w:tc>
        <w:tc>
          <w:tcPr>
            <w:tcW w:w="720" w:type="dxa"/>
            <w:vAlign w:val="bottom"/>
            <w:gridSpan w:val="2"/>
            <w:shd w:val="clear" w:color="auto" w:fill="007CBA"/>
          </w:tcPr>
          <w:p>
            <w:pPr>
              <w:jc w:val="center"/>
              <w:ind w:right="80"/>
              <w:spacing w:after="0"/>
              <w:rPr>
                <w:sz w:val="20"/>
                <w:szCs w:val="20"/>
                <w:color w:val="auto"/>
              </w:rPr>
            </w:pPr>
            <w:r>
              <w:rPr>
                <w:rFonts w:ascii="Arial" w:cs="Arial" w:eastAsia="Arial" w:hAnsi="Arial"/>
                <w:sz w:val="14"/>
                <w:szCs w:val="14"/>
                <w:b w:val="1"/>
                <w:bCs w:val="1"/>
                <w:color w:val="FFFFFF"/>
                <w:w w:val="89"/>
              </w:rPr>
              <w:t>(g)</w:t>
            </w:r>
          </w:p>
        </w:tc>
        <w:tc>
          <w:tcPr>
            <w:tcW w:w="820" w:type="dxa"/>
            <w:vAlign w:val="bottom"/>
            <w:gridSpan w:val="2"/>
            <w:shd w:val="clear" w:color="auto" w:fill="007CBA"/>
          </w:tcPr>
          <w:p>
            <w:pPr>
              <w:jc w:val="center"/>
              <w:ind w:right="160"/>
              <w:spacing w:after="0"/>
              <w:rPr>
                <w:sz w:val="20"/>
                <w:szCs w:val="20"/>
                <w:color w:val="auto"/>
              </w:rPr>
            </w:pPr>
            <w:r>
              <w:rPr>
                <w:rFonts w:ascii="Arial" w:cs="Arial" w:eastAsia="Arial" w:hAnsi="Arial"/>
                <w:sz w:val="14"/>
                <w:szCs w:val="14"/>
                <w:b w:val="1"/>
                <w:bCs w:val="1"/>
                <w:color w:val="FFFFFF"/>
              </w:rPr>
              <w:t>(h)</w:t>
            </w:r>
          </w:p>
        </w:tc>
        <w:tc>
          <w:tcPr>
            <w:tcW w:w="720" w:type="dxa"/>
            <w:vAlign w:val="bottom"/>
            <w:tcBorders>
              <w:right w:val="single" w:sz="8" w:color="007CBA"/>
            </w:tcBorders>
            <w:shd w:val="clear" w:color="auto" w:fill="007CBA"/>
          </w:tcPr>
          <w:p>
            <w:pPr>
              <w:jc w:val="center"/>
              <w:ind w:right="10"/>
              <w:spacing w:after="0"/>
              <w:rPr>
                <w:sz w:val="20"/>
                <w:szCs w:val="20"/>
                <w:color w:val="auto"/>
              </w:rPr>
            </w:pPr>
            <w:r>
              <w:rPr>
                <w:rFonts w:ascii="Arial" w:cs="Arial" w:eastAsia="Arial" w:hAnsi="Arial"/>
                <w:sz w:val="14"/>
                <w:szCs w:val="14"/>
                <w:b w:val="1"/>
                <w:bCs w:val="1"/>
                <w:color w:val="FFFFFF"/>
                <w:w w:val="90"/>
              </w:rPr>
              <w:t>(i)</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(j)</w:t>
            </w:r>
            <w:r>
              <w:rPr>
                <w:rFonts w:ascii="Arial" w:cs="Arial" w:eastAsia="Arial" w:hAnsi="Arial"/>
                <w:sz w:val="11"/>
                <w:szCs w:val="11"/>
                <w:b w:val="1"/>
                <w:bCs w:val="1"/>
                <w:color w:val="FFFFFF"/>
              </w:rPr>
              <w:t>5</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(k)</w:t>
            </w:r>
          </w:p>
        </w:tc>
        <w:tc>
          <w:tcPr>
            <w:tcW w:w="780" w:type="dxa"/>
            <w:vAlign w:val="bottom"/>
            <w:shd w:val="clear" w:color="auto" w:fill="007CBA"/>
          </w:tcPr>
          <w:p>
            <w:pPr>
              <w:jc w:val="center"/>
              <w:ind w:left="29"/>
              <w:spacing w:after="0"/>
              <w:rPr>
                <w:sz w:val="20"/>
                <w:szCs w:val="20"/>
                <w:color w:val="auto"/>
              </w:rPr>
            </w:pPr>
            <w:r>
              <w:rPr>
                <w:rFonts w:ascii="Arial" w:cs="Arial" w:eastAsia="Arial" w:hAnsi="Arial"/>
                <w:sz w:val="14"/>
                <w:szCs w:val="14"/>
                <w:b w:val="1"/>
                <w:bCs w:val="1"/>
                <w:color w:val="FFFFFF"/>
                <w:w w:val="90"/>
              </w:rPr>
              <w:t>(l)</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4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C. Howard Nye</w:t>
            </w:r>
          </w:p>
        </w:tc>
        <w:tc>
          <w:tcPr>
            <w:tcW w:w="760" w:type="dxa"/>
            <w:vAlign w:val="bottom"/>
            <w:tcBorders>
              <w:right w:val="single" w:sz="8" w:color="007CBA"/>
            </w:tcBorders>
            <w:gridSpan w:val="2"/>
          </w:tcPr>
          <w:p>
            <w:pPr>
              <w:jc w:val="right"/>
              <w:ind w:right="19"/>
              <w:spacing w:after="0" w:line="167" w:lineRule="exact"/>
              <w:rPr>
                <w:sz w:val="20"/>
                <w:szCs w:val="20"/>
                <w:color w:val="auto"/>
              </w:rPr>
            </w:pPr>
            <w:r>
              <w:rPr>
                <w:rFonts w:ascii="Arial" w:cs="Arial" w:eastAsia="Arial" w:hAnsi="Arial"/>
                <w:sz w:val="12"/>
                <w:szCs w:val="12"/>
                <w:color w:val="auto"/>
              </w:rPr>
              <w:t>2/23/17</w:t>
            </w:r>
            <w:r>
              <w:rPr>
                <w:rFonts w:ascii="Arial" w:cs="Arial" w:eastAsia="Arial" w:hAnsi="Arial"/>
                <w:sz w:val="19"/>
                <w:szCs w:val="19"/>
                <w:color w:val="auto"/>
                <w:vertAlign w:val="superscript"/>
              </w:rPr>
              <w:t>2</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007CBA"/>
            </w:tcBorders>
          </w:tcPr>
          <w:p>
            <w:pPr>
              <w:jc w:val="right"/>
              <w:ind w:right="30"/>
              <w:spacing w:after="0"/>
              <w:rPr>
                <w:sz w:val="20"/>
                <w:szCs w:val="20"/>
                <w:color w:val="auto"/>
              </w:rPr>
            </w:pPr>
            <w:r>
              <w:rPr>
                <w:rFonts w:ascii="Arial" w:cs="Arial" w:eastAsia="Arial" w:hAnsi="Arial"/>
                <w:sz w:val="14"/>
                <w:szCs w:val="14"/>
                <w:color w:val="auto"/>
              </w:rPr>
              <w:t>5,991</w:t>
            </w: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40" w:type="dxa"/>
            <w:vAlign w:val="bottom"/>
            <w:tcBorders>
              <w:right w:val="single" w:sz="8" w:color="007CBA"/>
            </w:tcBorders>
          </w:tcPr>
          <w:p>
            <w:pPr>
              <w:spacing w:after="0"/>
              <w:rPr>
                <w:sz w:val="13"/>
                <w:szCs w:val="13"/>
                <w:color w:val="auto"/>
              </w:rPr>
            </w:pPr>
          </w:p>
        </w:tc>
        <w:tc>
          <w:tcPr>
            <w:tcW w:w="760" w:type="dxa"/>
            <w:vAlign w:val="bottom"/>
            <w:tcBorders>
              <w:right w:val="single" w:sz="8" w:color="007CBA"/>
            </w:tcBorders>
            <w:gridSpan w:val="2"/>
          </w:tcPr>
          <w:p>
            <w:pPr>
              <w:jc w:val="right"/>
              <w:ind w:right="99"/>
              <w:spacing w:after="0" w:line="155" w:lineRule="exact"/>
              <w:rPr>
                <w:sz w:val="20"/>
                <w:szCs w:val="20"/>
                <w:color w:val="auto"/>
              </w:rPr>
            </w:pPr>
            <w:r>
              <w:rPr>
                <w:rFonts w:ascii="Arial" w:cs="Arial" w:eastAsia="Arial" w:hAnsi="Arial"/>
                <w:sz w:val="14"/>
                <w:szCs w:val="14"/>
                <w:color w:val="auto"/>
              </w:rPr>
              <w:t>2/4/16</w:t>
            </w:r>
          </w:p>
        </w:tc>
        <w:tc>
          <w:tcPr>
            <w:tcW w:w="720" w:type="dxa"/>
            <w:vAlign w:val="bottom"/>
          </w:tcPr>
          <w:p>
            <w:pPr>
              <w:spacing w:after="0"/>
              <w:rPr>
                <w:sz w:val="13"/>
                <w:szCs w:val="13"/>
                <w:color w:val="auto"/>
              </w:rPr>
            </w:pPr>
          </w:p>
        </w:tc>
        <w:tc>
          <w:tcPr>
            <w:tcW w:w="100" w:type="dxa"/>
            <w:vAlign w:val="bottom"/>
            <w:tcBorders>
              <w:right w:val="single" w:sz="8" w:color="007CBA"/>
            </w:tcBorders>
          </w:tcPr>
          <w:p>
            <w:pPr>
              <w:spacing w:after="0"/>
              <w:rPr>
                <w:sz w:val="13"/>
                <w:szCs w:val="13"/>
                <w:color w:val="auto"/>
              </w:rPr>
            </w:pPr>
          </w:p>
        </w:tc>
        <w:tc>
          <w:tcPr>
            <w:tcW w:w="76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10,670</w:t>
            </w:r>
          </w:p>
        </w:tc>
        <w:tc>
          <w:tcPr>
            <w:tcW w:w="100" w:type="dxa"/>
            <w:vAlign w:val="bottom"/>
            <w:tcBorders>
              <w:right w:val="single" w:sz="8" w:color="007CBA"/>
            </w:tcBorders>
          </w:tcPr>
          <w:p>
            <w:pPr>
              <w:spacing w:after="0"/>
              <w:rPr>
                <w:sz w:val="13"/>
                <w:szCs w:val="13"/>
                <w:color w:val="auto"/>
              </w:rPr>
            </w:pPr>
          </w:p>
        </w:tc>
        <w:tc>
          <w:tcPr>
            <w:tcW w:w="660" w:type="dxa"/>
            <w:vAlign w:val="bottom"/>
            <w:tcBorders>
              <w:right w:val="single" w:sz="8" w:color="007CBA"/>
            </w:tcBorders>
          </w:tcPr>
          <w:p>
            <w:pPr>
              <w:jc w:val="right"/>
              <w:ind w:right="29"/>
              <w:spacing w:after="0" w:line="155" w:lineRule="exact"/>
              <w:rPr>
                <w:sz w:val="20"/>
                <w:szCs w:val="20"/>
                <w:color w:val="auto"/>
              </w:rPr>
            </w:pPr>
            <w:r>
              <w:rPr>
                <w:rFonts w:ascii="Arial" w:cs="Arial" w:eastAsia="Arial" w:hAnsi="Arial"/>
                <w:sz w:val="14"/>
                <w:szCs w:val="14"/>
                <w:color w:val="auto"/>
              </w:rPr>
              <w:t>21,339</w:t>
            </w:r>
          </w:p>
        </w:tc>
        <w:tc>
          <w:tcPr>
            <w:tcW w:w="60" w:type="dxa"/>
            <w:vAlign w:val="bottom"/>
          </w:tcPr>
          <w:p>
            <w:pPr>
              <w:spacing w:after="0"/>
              <w:rPr>
                <w:sz w:val="13"/>
                <w:szCs w:val="13"/>
                <w:color w:val="auto"/>
              </w:rPr>
            </w:pPr>
          </w:p>
        </w:tc>
        <w:tc>
          <w:tcPr>
            <w:tcW w:w="760" w:type="dxa"/>
            <w:vAlign w:val="bottom"/>
            <w:tcBorders>
              <w:right w:val="single" w:sz="8" w:color="007CBA"/>
            </w:tcBorders>
          </w:tcPr>
          <w:p>
            <w:pPr>
              <w:jc w:val="right"/>
              <w:ind w:right="50"/>
              <w:spacing w:after="0" w:line="155" w:lineRule="exact"/>
              <w:rPr>
                <w:sz w:val="20"/>
                <w:szCs w:val="20"/>
                <w:color w:val="auto"/>
              </w:rPr>
            </w:pPr>
            <w:r>
              <w:rPr>
                <w:rFonts w:ascii="Arial" w:cs="Arial" w:eastAsia="Arial" w:hAnsi="Arial"/>
                <w:sz w:val="14"/>
                <w:szCs w:val="14"/>
                <w:color w:val="auto"/>
              </w:rPr>
              <w:t>42,678</w:t>
            </w:r>
          </w:p>
        </w:tc>
        <w:tc>
          <w:tcPr>
            <w:tcW w:w="60" w:type="dxa"/>
            <w:vAlign w:val="bottom"/>
          </w:tcPr>
          <w:p>
            <w:pPr>
              <w:spacing w:after="0"/>
              <w:rPr>
                <w:sz w:val="13"/>
                <w:szCs w:val="13"/>
                <w:color w:val="auto"/>
              </w:rPr>
            </w:pPr>
          </w:p>
        </w:tc>
        <w:tc>
          <w:tcPr>
            <w:tcW w:w="72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2,654,785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4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gridSpan w:val="2"/>
          </w:tcPr>
          <w:p>
            <w:pPr>
              <w:jc w:val="right"/>
              <w:ind w:right="19"/>
              <w:spacing w:after="0" w:line="164" w:lineRule="exact"/>
              <w:rPr>
                <w:sz w:val="20"/>
                <w:szCs w:val="20"/>
                <w:color w:val="auto"/>
              </w:rPr>
            </w:pPr>
            <w:r>
              <w:rPr>
                <w:rFonts w:ascii="Arial" w:cs="Arial" w:eastAsia="Arial" w:hAnsi="Arial"/>
                <w:sz w:val="12"/>
                <w:szCs w:val="12"/>
                <w:color w:val="auto"/>
              </w:rPr>
              <w:t>2/4/16</w:t>
            </w:r>
            <w:r>
              <w:rPr>
                <w:rFonts w:ascii="Arial" w:cs="Arial" w:eastAsia="Arial" w:hAnsi="Arial"/>
                <w:sz w:val="19"/>
                <w:szCs w:val="19"/>
                <w:color w:val="auto"/>
                <w:vertAlign w:val="superscript"/>
              </w:rPr>
              <w:t>3</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007CBA"/>
            </w:tcBorders>
          </w:tcPr>
          <w:p>
            <w:pPr>
              <w:jc w:val="right"/>
              <w:ind w:right="30"/>
              <w:spacing w:after="0"/>
              <w:rPr>
                <w:sz w:val="20"/>
                <w:szCs w:val="20"/>
                <w:color w:val="auto"/>
              </w:rPr>
            </w:pPr>
            <w:r>
              <w:rPr>
                <w:rFonts w:ascii="Arial" w:cs="Arial" w:eastAsia="Arial" w:hAnsi="Arial"/>
                <w:sz w:val="14"/>
                <w:szCs w:val="14"/>
                <w:color w:val="auto"/>
              </w:rPr>
              <w:t>10,670</w:t>
            </w: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1,327,455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Anne H. Lloyd</w:t>
            </w:r>
          </w:p>
        </w:tc>
        <w:tc>
          <w:tcPr>
            <w:tcW w:w="760" w:type="dxa"/>
            <w:vAlign w:val="bottom"/>
            <w:tcBorders>
              <w:right w:val="single" w:sz="8" w:color="007CBA"/>
            </w:tcBorders>
            <w:gridSpan w:val="2"/>
            <w:shd w:val="clear" w:color="auto" w:fill="E5F1F8"/>
          </w:tcPr>
          <w:p>
            <w:pPr>
              <w:jc w:val="right"/>
              <w:ind w:right="19"/>
              <w:spacing w:after="0" w:line="162"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432,680</w:t>
            </w:r>
          </w:p>
        </w:tc>
        <w:tc>
          <w:tcPr>
            <w:tcW w:w="60" w:type="dxa"/>
            <w:vAlign w:val="bottom"/>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4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6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20" w:type="dxa"/>
            <w:vAlign w:val="bottom"/>
            <w:tcBorders>
              <w:right w:val="single" w:sz="8" w:color="007CBA"/>
            </w:tcBorders>
            <w:vMerge w:val="restart"/>
            <w:shd w:val="clear" w:color="auto" w:fill="E5F1F8"/>
          </w:tcPr>
          <w:p>
            <w:pPr>
              <w:jc w:val="right"/>
              <w:ind w:right="30"/>
              <w:spacing w:after="0"/>
              <w:rPr>
                <w:sz w:val="20"/>
                <w:szCs w:val="20"/>
                <w:color w:val="auto"/>
              </w:rPr>
            </w:pPr>
            <w:r>
              <w:rPr>
                <w:rFonts w:ascii="Arial" w:cs="Arial" w:eastAsia="Arial" w:hAnsi="Arial"/>
                <w:sz w:val="14"/>
                <w:szCs w:val="14"/>
                <w:color w:val="auto"/>
              </w:rPr>
              <w:t>788</w:t>
            </w:r>
          </w:p>
        </w:tc>
        <w:tc>
          <w:tcPr>
            <w:tcW w:w="92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80" w:type="dxa"/>
            <w:vAlign w:val="bottom"/>
            <w:vMerge w:val="restart"/>
            <w:shd w:val="clear" w:color="auto" w:fill="E5F1F8"/>
          </w:tcPr>
          <w:p>
            <w:pPr>
              <w:jc w:val="right"/>
              <w:spacing w:after="0"/>
              <w:rPr>
                <w:sz w:val="20"/>
                <w:szCs w:val="20"/>
                <w:color w:val="auto"/>
              </w:rPr>
            </w:pPr>
            <w:r>
              <w:rPr>
                <w:rFonts w:ascii="Arial" w:cs="Arial" w:eastAsia="Arial" w:hAnsi="Arial"/>
                <w:sz w:val="14"/>
                <w:szCs w:val="14"/>
                <w:color w:val="auto"/>
              </w:rPr>
              <w:t>164,440</w:t>
            </w:r>
          </w:p>
        </w:tc>
        <w:tc>
          <w:tcPr>
            <w:tcW w:w="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40" w:type="dxa"/>
            <w:vAlign w:val="bottom"/>
            <w:tcBorders>
              <w:right w:val="single" w:sz="8" w:color="007CBA"/>
            </w:tcBorders>
            <w:shd w:val="clear" w:color="auto" w:fill="E5F1F8"/>
          </w:tcPr>
          <w:p>
            <w:pPr>
              <w:spacing w:after="0"/>
              <w:rPr>
                <w:sz w:val="13"/>
                <w:szCs w:val="13"/>
                <w:color w:val="auto"/>
              </w:rPr>
            </w:pPr>
          </w:p>
        </w:tc>
        <w:tc>
          <w:tcPr>
            <w:tcW w:w="760" w:type="dxa"/>
            <w:vAlign w:val="bottom"/>
            <w:tcBorders>
              <w:right w:val="single" w:sz="8" w:color="007CBA"/>
            </w:tcBorders>
            <w:gridSpan w:val="2"/>
            <w:shd w:val="clear" w:color="auto" w:fill="E5F1F8"/>
          </w:tcPr>
          <w:p>
            <w:pPr>
              <w:jc w:val="right"/>
              <w:ind w:right="19"/>
              <w:spacing w:after="0" w:line="159"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shd w:val="clear" w:color="auto" w:fill="E5F1F8"/>
          </w:tcPr>
          <w:p>
            <w:pPr>
              <w:spacing w:after="0"/>
              <w:rPr>
                <w:sz w:val="13"/>
                <w:szCs w:val="13"/>
                <w:color w:val="auto"/>
              </w:rPr>
            </w:pPr>
          </w:p>
        </w:tc>
        <w:tc>
          <w:tcPr>
            <w:tcW w:w="100" w:type="dxa"/>
            <w:vAlign w:val="bottom"/>
            <w:tcBorders>
              <w:right w:val="single" w:sz="8" w:color="007CBA"/>
            </w:tcBorders>
            <w:shd w:val="clear" w:color="auto" w:fill="E5F1F8"/>
          </w:tcPr>
          <w:p>
            <w:pPr>
              <w:spacing w:after="0"/>
              <w:rPr>
                <w:sz w:val="13"/>
                <w:szCs w:val="13"/>
                <w:color w:val="auto"/>
              </w:rPr>
            </w:pPr>
          </w:p>
        </w:tc>
        <w:tc>
          <w:tcPr>
            <w:tcW w:w="760" w:type="dxa"/>
            <w:vAlign w:val="bottom"/>
            <w:tcBorders>
              <w:right w:val="single" w:sz="8" w:color="007CBA"/>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spacing w:after="0"/>
              <w:rPr>
                <w:sz w:val="13"/>
                <w:szCs w:val="13"/>
                <w:color w:val="auto"/>
              </w:rPr>
            </w:pPr>
          </w:p>
        </w:tc>
        <w:tc>
          <w:tcPr>
            <w:tcW w:w="740" w:type="dxa"/>
            <w:vAlign w:val="bottom"/>
            <w:shd w:val="clear" w:color="auto" w:fill="E5F1F8"/>
          </w:tcPr>
          <w:p>
            <w:pPr>
              <w:spacing w:after="0"/>
              <w:rPr>
                <w:sz w:val="13"/>
                <w:szCs w:val="13"/>
                <w:color w:val="auto"/>
              </w:rPr>
            </w:pPr>
          </w:p>
        </w:tc>
        <w:tc>
          <w:tcPr>
            <w:tcW w:w="10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760" w:type="dxa"/>
            <w:vAlign w:val="bottom"/>
            <w:tcBorders>
              <w:right w:val="single" w:sz="8" w:color="007CBA"/>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720" w:type="dxa"/>
            <w:vAlign w:val="bottom"/>
            <w:tcBorders>
              <w:right w:val="single" w:sz="8" w:color="007CBA"/>
            </w:tcBorders>
            <w:vMerge w:val="continue"/>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spacing w:after="0"/>
              <w:rPr>
                <w:sz w:val="13"/>
                <w:szCs w:val="13"/>
                <w:color w:val="auto"/>
              </w:rPr>
            </w:pPr>
          </w:p>
        </w:tc>
        <w:tc>
          <w:tcPr>
            <w:tcW w:w="780" w:type="dxa"/>
            <w:vAlign w:val="bottom"/>
            <w:vMerge w:val="continue"/>
            <w:shd w:val="clear" w:color="auto" w:fill="E5F1F8"/>
          </w:tcPr>
          <w:p>
            <w:pPr>
              <w:spacing w:after="0"/>
              <w:rPr>
                <w:sz w:val="13"/>
                <w:szCs w:val="13"/>
                <w:color w:val="auto"/>
              </w:rPr>
            </w:pPr>
          </w:p>
        </w:tc>
        <w:tc>
          <w:tcPr>
            <w:tcW w:w="10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gridSpan w:val="2"/>
            <w:shd w:val="clear" w:color="auto" w:fill="E5F1F8"/>
          </w:tcPr>
          <w:p>
            <w:pPr>
              <w:jc w:val="right"/>
              <w:ind w:right="19"/>
              <w:spacing w:after="0" w:line="162" w:lineRule="exact"/>
              <w:rPr>
                <w:sz w:val="20"/>
                <w:szCs w:val="20"/>
                <w:color w:val="auto"/>
              </w:rPr>
            </w:pPr>
            <w:r>
              <w:rPr>
                <w:rFonts w:ascii="Arial" w:cs="Arial" w:eastAsia="Arial" w:hAnsi="Arial"/>
                <w:sz w:val="11"/>
                <w:szCs w:val="11"/>
                <w:color w:val="auto"/>
              </w:rPr>
              <w:t>2/4/16</w:t>
            </w:r>
            <w:r>
              <w:rPr>
                <w:rFonts w:ascii="Arial" w:cs="Arial" w:eastAsia="Arial" w:hAnsi="Arial"/>
                <w:sz w:val="18"/>
                <w:szCs w:val="18"/>
                <w:color w:val="auto"/>
                <w:vertAlign w:val="superscript"/>
              </w:rPr>
              <w:t>4</w:t>
            </w:r>
          </w:p>
        </w:tc>
        <w:tc>
          <w:tcPr>
            <w:tcW w:w="72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40" w:type="dxa"/>
            <w:vAlign w:val="bottom"/>
            <w:shd w:val="clear" w:color="auto" w:fill="E5F1F8"/>
          </w:tcPr>
          <w:p>
            <w:pPr>
              <w:jc w:val="right"/>
              <w:spacing w:after="0"/>
              <w:rPr>
                <w:sz w:val="20"/>
                <w:szCs w:val="20"/>
                <w:color w:val="auto"/>
              </w:rPr>
            </w:pPr>
            <w:r>
              <w:rPr>
                <w:rFonts w:ascii="Arial" w:cs="Arial" w:eastAsia="Arial" w:hAnsi="Arial"/>
                <w:sz w:val="14"/>
                <w:szCs w:val="14"/>
                <w:color w:val="auto"/>
              </w:rPr>
              <w:t>2,509</w:t>
            </w:r>
          </w:p>
        </w:tc>
        <w:tc>
          <w:tcPr>
            <w:tcW w:w="100" w:type="dxa"/>
            <w:vAlign w:val="bottom"/>
            <w:tcBorders>
              <w:right w:val="single" w:sz="8" w:color="007CBA"/>
            </w:tcBorders>
            <w:shd w:val="clear" w:color="auto" w:fill="E5F1F8"/>
          </w:tcPr>
          <w:p>
            <w:pPr>
              <w:spacing w:after="0"/>
              <w:rPr>
                <w:sz w:val="14"/>
                <w:szCs w:val="14"/>
                <w:color w:val="auto"/>
              </w:rPr>
            </w:pPr>
          </w:p>
        </w:tc>
        <w:tc>
          <w:tcPr>
            <w:tcW w:w="6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5,017</w:t>
            </w:r>
          </w:p>
        </w:tc>
        <w:tc>
          <w:tcPr>
            <w:tcW w:w="60" w:type="dxa"/>
            <w:vAlign w:val="bottom"/>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10,034</w:t>
            </w:r>
          </w:p>
        </w:tc>
        <w:tc>
          <w:tcPr>
            <w:tcW w:w="6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624,165</w:t>
            </w:r>
          </w:p>
        </w:tc>
        <w:tc>
          <w:tcPr>
            <w:tcW w:w="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4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gridSpan w:val="2"/>
            <w:shd w:val="clear" w:color="auto" w:fill="E5F1F8"/>
          </w:tcPr>
          <w:p>
            <w:pPr>
              <w:jc w:val="right"/>
              <w:ind w:right="19"/>
              <w:spacing w:after="0" w:line="164" w:lineRule="exact"/>
              <w:rPr>
                <w:sz w:val="20"/>
                <w:szCs w:val="20"/>
                <w:color w:val="auto"/>
              </w:rPr>
            </w:pPr>
            <w:r>
              <w:rPr>
                <w:rFonts w:ascii="Arial" w:cs="Arial" w:eastAsia="Arial" w:hAnsi="Arial"/>
                <w:sz w:val="12"/>
                <w:szCs w:val="12"/>
                <w:color w:val="auto"/>
              </w:rPr>
              <w:t>2/4/16</w:t>
            </w:r>
            <w:r>
              <w:rPr>
                <w:rFonts w:ascii="Arial" w:cs="Arial" w:eastAsia="Arial" w:hAnsi="Arial"/>
                <w:sz w:val="19"/>
                <w:szCs w:val="19"/>
                <w:color w:val="auto"/>
                <w:vertAlign w:val="superscript"/>
              </w:rPr>
              <w:t>3</w:t>
            </w:r>
          </w:p>
        </w:tc>
        <w:tc>
          <w:tcPr>
            <w:tcW w:w="72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4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6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2,509</w:t>
            </w:r>
          </w:p>
        </w:tc>
        <w:tc>
          <w:tcPr>
            <w:tcW w:w="92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312,145</w:t>
            </w:r>
          </w:p>
        </w:tc>
        <w:tc>
          <w:tcPr>
            <w:tcW w:w="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40" w:type="dxa"/>
            <w:vAlign w:val="bottom"/>
            <w:tcBorders>
              <w:right w:val="single" w:sz="8" w:color="007CBA"/>
            </w:tcBorders>
          </w:tcPr>
          <w:p>
            <w:pPr>
              <w:ind w:left="80"/>
              <w:spacing w:after="0" w:line="159" w:lineRule="exact"/>
              <w:rPr>
                <w:sz w:val="20"/>
                <w:szCs w:val="20"/>
                <w:color w:val="auto"/>
              </w:rPr>
            </w:pPr>
            <w:r>
              <w:rPr>
                <w:rFonts w:ascii="Arial" w:cs="Arial" w:eastAsia="Arial" w:hAnsi="Arial"/>
                <w:sz w:val="14"/>
                <w:szCs w:val="14"/>
                <w:b w:val="1"/>
                <w:bCs w:val="1"/>
                <w:color w:val="auto"/>
              </w:rPr>
              <w:t>Roselyn R. Bar</w:t>
            </w:r>
          </w:p>
        </w:tc>
        <w:tc>
          <w:tcPr>
            <w:tcW w:w="760" w:type="dxa"/>
            <w:vAlign w:val="bottom"/>
            <w:tcBorders>
              <w:right w:val="single" w:sz="8" w:color="007CBA"/>
            </w:tcBorders>
            <w:gridSpan w:val="2"/>
          </w:tcPr>
          <w:p>
            <w:pPr>
              <w:jc w:val="right"/>
              <w:ind w:right="19"/>
              <w:spacing w:after="0" w:line="159"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tcPr>
          <w:p>
            <w:pPr>
              <w:spacing w:after="0"/>
              <w:rPr>
                <w:sz w:val="13"/>
                <w:szCs w:val="13"/>
                <w:color w:val="auto"/>
              </w:rPr>
            </w:pPr>
          </w:p>
        </w:tc>
        <w:tc>
          <w:tcPr>
            <w:tcW w:w="100" w:type="dxa"/>
            <w:vAlign w:val="bottom"/>
            <w:tcBorders>
              <w:right w:val="single" w:sz="8" w:color="007CBA"/>
            </w:tcBorders>
          </w:tcPr>
          <w:p>
            <w:pPr>
              <w:spacing w:after="0"/>
              <w:rPr>
                <w:sz w:val="13"/>
                <w:szCs w:val="13"/>
                <w:color w:val="auto"/>
              </w:rPr>
            </w:pPr>
          </w:p>
        </w:tc>
        <w:tc>
          <w:tcPr>
            <w:tcW w:w="760" w:type="dxa"/>
            <w:vAlign w:val="bottom"/>
            <w:tcBorders>
              <w:right w:val="single" w:sz="8" w:color="007CBA"/>
            </w:tcBorders>
          </w:tcPr>
          <w:p>
            <w:pPr>
              <w:jc w:val="right"/>
              <w:ind w:right="30"/>
              <w:spacing w:after="0" w:line="159" w:lineRule="exact"/>
              <w:rPr>
                <w:sz w:val="20"/>
                <w:szCs w:val="20"/>
                <w:color w:val="auto"/>
              </w:rPr>
            </w:pPr>
            <w:r>
              <w:rPr>
                <w:rFonts w:ascii="Arial" w:cs="Arial" w:eastAsia="Arial" w:hAnsi="Arial"/>
                <w:sz w:val="14"/>
                <w:szCs w:val="14"/>
                <w:color w:val="auto"/>
              </w:rPr>
              <w:t>397,267</w:t>
            </w:r>
          </w:p>
        </w:tc>
        <w:tc>
          <w:tcPr>
            <w:tcW w:w="60" w:type="dxa"/>
            <w:vAlign w:val="bottom"/>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007CBA"/>
            </w:tcBorders>
          </w:tcPr>
          <w:p>
            <w:pPr>
              <w:spacing w:after="0"/>
              <w:rPr>
                <w:sz w:val="13"/>
                <w:szCs w:val="13"/>
                <w:color w:val="auto"/>
              </w:rPr>
            </w:pPr>
          </w:p>
        </w:tc>
        <w:tc>
          <w:tcPr>
            <w:tcW w:w="66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gridSpan w:val="2"/>
          </w:tcPr>
          <w:p>
            <w:pPr>
              <w:jc w:val="right"/>
              <w:ind w:right="19"/>
              <w:spacing w:after="0" w:line="162"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007CBA"/>
            </w:tcBorders>
          </w:tcPr>
          <w:p>
            <w:pPr>
              <w:jc w:val="right"/>
              <w:ind w:right="30"/>
              <w:spacing w:after="0"/>
              <w:rPr>
                <w:sz w:val="20"/>
                <w:szCs w:val="20"/>
                <w:color w:val="auto"/>
              </w:rPr>
            </w:pPr>
            <w:r>
              <w:rPr>
                <w:rFonts w:ascii="Arial" w:cs="Arial" w:eastAsia="Arial" w:hAnsi="Arial"/>
                <w:sz w:val="14"/>
                <w:szCs w:val="14"/>
                <w:color w:val="auto"/>
              </w:rPr>
              <w:t>1,121</w:t>
            </w: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233,930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gridSpan w:val="2"/>
          </w:tcPr>
          <w:p>
            <w:pPr>
              <w:jc w:val="right"/>
              <w:ind w:right="19"/>
              <w:spacing w:after="0" w:line="162" w:lineRule="exact"/>
              <w:rPr>
                <w:sz w:val="20"/>
                <w:szCs w:val="20"/>
                <w:color w:val="auto"/>
              </w:rPr>
            </w:pPr>
            <w:r>
              <w:rPr>
                <w:rFonts w:ascii="Arial" w:cs="Arial" w:eastAsia="Arial" w:hAnsi="Arial"/>
                <w:sz w:val="11"/>
                <w:szCs w:val="11"/>
                <w:color w:val="auto"/>
              </w:rPr>
              <w:t>2/4/16</w:t>
            </w:r>
            <w:r>
              <w:rPr>
                <w:rFonts w:ascii="Arial" w:cs="Arial" w:eastAsia="Arial" w:hAnsi="Arial"/>
                <w:sz w:val="18"/>
                <w:szCs w:val="18"/>
                <w:color w:val="auto"/>
                <w:vertAlign w:val="superscript"/>
              </w:rPr>
              <w:t>4</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2,349</w:t>
            </w: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4,697</w:t>
            </w:r>
          </w:p>
        </w:tc>
        <w:tc>
          <w:tcPr>
            <w:tcW w:w="60" w:type="dxa"/>
            <w:vAlign w:val="bottom"/>
          </w:tcPr>
          <w:p>
            <w:pPr>
              <w:spacing w:after="0"/>
              <w:rPr>
                <w:sz w:val="14"/>
                <w:szCs w:val="14"/>
                <w:color w:val="auto"/>
              </w:rPr>
            </w:pPr>
          </w:p>
        </w:tc>
        <w:tc>
          <w:tcPr>
            <w:tcW w:w="760" w:type="dxa"/>
            <w:vAlign w:val="bottom"/>
            <w:tcBorders>
              <w:right w:val="single" w:sz="8" w:color="007CBA"/>
            </w:tcBorders>
          </w:tcPr>
          <w:p>
            <w:pPr>
              <w:jc w:val="right"/>
              <w:ind w:right="50"/>
              <w:spacing w:after="0"/>
              <w:rPr>
                <w:sz w:val="20"/>
                <w:szCs w:val="20"/>
                <w:color w:val="auto"/>
              </w:rPr>
            </w:pPr>
            <w:r>
              <w:rPr>
                <w:rFonts w:ascii="Arial" w:cs="Arial" w:eastAsia="Arial" w:hAnsi="Arial"/>
                <w:sz w:val="14"/>
                <w:szCs w:val="14"/>
                <w:color w:val="auto"/>
              </w:rPr>
              <w:t>9,394</w:t>
            </w:r>
          </w:p>
        </w:tc>
        <w:tc>
          <w:tcPr>
            <w:tcW w:w="60" w:type="dxa"/>
            <w:vAlign w:val="bottom"/>
          </w:tcPr>
          <w:p>
            <w:pPr>
              <w:spacing w:after="0"/>
              <w:rPr>
                <w:sz w:val="14"/>
                <w:szCs w:val="14"/>
                <w:color w:val="auto"/>
              </w:rPr>
            </w:pPr>
          </w:p>
        </w:tc>
        <w:tc>
          <w:tcPr>
            <w:tcW w:w="720" w:type="dxa"/>
            <w:vAlign w:val="bottom"/>
            <w:tcBorders>
              <w:right w:val="single" w:sz="8" w:color="007CBA"/>
            </w:tcBorders>
          </w:tcPr>
          <w:p>
            <w:pPr>
              <w:spacing w:after="0"/>
              <w:rPr>
                <w:sz w:val="14"/>
                <w:szCs w:val="14"/>
                <w:color w:val="auto"/>
              </w:rPr>
            </w:pP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584,354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4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gridSpan w:val="2"/>
          </w:tcPr>
          <w:p>
            <w:pPr>
              <w:jc w:val="right"/>
              <w:ind w:right="19"/>
              <w:spacing w:after="0" w:line="164" w:lineRule="exact"/>
              <w:rPr>
                <w:sz w:val="20"/>
                <w:szCs w:val="20"/>
                <w:color w:val="auto"/>
              </w:rPr>
            </w:pPr>
            <w:r>
              <w:rPr>
                <w:rFonts w:ascii="Arial" w:cs="Arial" w:eastAsia="Arial" w:hAnsi="Arial"/>
                <w:sz w:val="12"/>
                <w:szCs w:val="12"/>
                <w:color w:val="auto"/>
              </w:rPr>
              <w:t>2/4/16</w:t>
            </w:r>
            <w:r>
              <w:rPr>
                <w:rFonts w:ascii="Arial" w:cs="Arial" w:eastAsia="Arial" w:hAnsi="Arial"/>
                <w:sz w:val="19"/>
                <w:szCs w:val="19"/>
                <w:color w:val="auto"/>
                <w:vertAlign w:val="superscript"/>
              </w:rPr>
              <w:t>3</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007CBA"/>
            </w:tcBorders>
          </w:tcPr>
          <w:p>
            <w:pPr>
              <w:jc w:val="right"/>
              <w:ind w:right="30"/>
              <w:spacing w:after="0"/>
              <w:rPr>
                <w:sz w:val="20"/>
                <w:szCs w:val="20"/>
                <w:color w:val="auto"/>
              </w:rPr>
            </w:pPr>
            <w:r>
              <w:rPr>
                <w:rFonts w:ascii="Arial" w:cs="Arial" w:eastAsia="Arial" w:hAnsi="Arial"/>
                <w:sz w:val="14"/>
                <w:szCs w:val="14"/>
                <w:color w:val="auto"/>
              </w:rPr>
              <w:t>2,349</w:t>
            </w: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b w:val="1"/>
                <w:bCs w:val="1"/>
                <w:color w:val="auto"/>
              </w:rPr>
              <w:t>Donald A. McCunniff</w:t>
            </w:r>
          </w:p>
        </w:tc>
        <w:tc>
          <w:tcPr>
            <w:tcW w:w="760" w:type="dxa"/>
            <w:vAlign w:val="bottom"/>
            <w:tcBorders>
              <w:right w:val="single" w:sz="8" w:color="007CBA"/>
            </w:tcBorders>
            <w:gridSpan w:val="2"/>
            <w:shd w:val="clear" w:color="auto" w:fill="E5F1F8"/>
          </w:tcPr>
          <w:p>
            <w:pPr>
              <w:jc w:val="right"/>
              <w:ind w:right="19"/>
              <w:spacing w:after="0" w:line="162"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259,035</w:t>
            </w:r>
          </w:p>
        </w:tc>
        <w:tc>
          <w:tcPr>
            <w:tcW w:w="60" w:type="dxa"/>
            <w:vAlign w:val="bottom"/>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4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6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20" w:type="dxa"/>
            <w:vAlign w:val="bottom"/>
            <w:tcBorders>
              <w:right w:val="single" w:sz="8" w:color="007CBA"/>
            </w:tcBorders>
            <w:vMerge w:val="restart"/>
            <w:shd w:val="clear" w:color="auto" w:fill="E5F1F8"/>
          </w:tcPr>
          <w:p>
            <w:pPr>
              <w:jc w:val="right"/>
              <w:ind w:right="30"/>
              <w:spacing w:after="0"/>
              <w:rPr>
                <w:sz w:val="20"/>
                <w:szCs w:val="20"/>
                <w:color w:val="auto"/>
              </w:rPr>
            </w:pPr>
            <w:r>
              <w:rPr>
                <w:rFonts w:ascii="Arial" w:cs="Arial" w:eastAsia="Arial" w:hAnsi="Arial"/>
                <w:sz w:val="14"/>
                <w:szCs w:val="14"/>
                <w:color w:val="auto"/>
              </w:rPr>
              <w:t>485</w:t>
            </w:r>
          </w:p>
        </w:tc>
        <w:tc>
          <w:tcPr>
            <w:tcW w:w="92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80" w:type="dxa"/>
            <w:vAlign w:val="bottom"/>
            <w:vMerge w:val="restart"/>
            <w:shd w:val="clear" w:color="auto" w:fill="E5F1F8"/>
          </w:tcPr>
          <w:p>
            <w:pPr>
              <w:jc w:val="right"/>
              <w:spacing w:after="0"/>
              <w:rPr>
                <w:sz w:val="20"/>
                <w:szCs w:val="20"/>
                <w:color w:val="auto"/>
              </w:rPr>
            </w:pPr>
            <w:r>
              <w:rPr>
                <w:rFonts w:ascii="Arial" w:cs="Arial" w:eastAsia="Arial" w:hAnsi="Arial"/>
                <w:sz w:val="14"/>
                <w:szCs w:val="14"/>
                <w:color w:val="auto"/>
              </w:rPr>
              <w:t>101,210</w:t>
            </w:r>
          </w:p>
        </w:tc>
        <w:tc>
          <w:tcPr>
            <w:tcW w:w="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40" w:type="dxa"/>
            <w:vAlign w:val="bottom"/>
            <w:tcBorders>
              <w:right w:val="single" w:sz="8" w:color="007CBA"/>
            </w:tcBorders>
            <w:shd w:val="clear" w:color="auto" w:fill="E5F1F8"/>
          </w:tcPr>
          <w:p>
            <w:pPr>
              <w:spacing w:after="0"/>
              <w:rPr>
                <w:sz w:val="13"/>
                <w:szCs w:val="13"/>
                <w:color w:val="auto"/>
              </w:rPr>
            </w:pPr>
          </w:p>
        </w:tc>
        <w:tc>
          <w:tcPr>
            <w:tcW w:w="760" w:type="dxa"/>
            <w:vAlign w:val="bottom"/>
            <w:tcBorders>
              <w:right w:val="single" w:sz="8" w:color="007CBA"/>
            </w:tcBorders>
            <w:gridSpan w:val="2"/>
            <w:shd w:val="clear" w:color="auto" w:fill="E5F1F8"/>
          </w:tcPr>
          <w:p>
            <w:pPr>
              <w:jc w:val="right"/>
              <w:ind w:right="19"/>
              <w:spacing w:after="0" w:line="159"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shd w:val="clear" w:color="auto" w:fill="E5F1F8"/>
          </w:tcPr>
          <w:p>
            <w:pPr>
              <w:spacing w:after="0"/>
              <w:rPr>
                <w:sz w:val="13"/>
                <w:szCs w:val="13"/>
                <w:color w:val="auto"/>
              </w:rPr>
            </w:pPr>
          </w:p>
        </w:tc>
        <w:tc>
          <w:tcPr>
            <w:tcW w:w="100" w:type="dxa"/>
            <w:vAlign w:val="bottom"/>
            <w:tcBorders>
              <w:right w:val="single" w:sz="8" w:color="007CBA"/>
            </w:tcBorders>
            <w:shd w:val="clear" w:color="auto" w:fill="E5F1F8"/>
          </w:tcPr>
          <w:p>
            <w:pPr>
              <w:spacing w:after="0"/>
              <w:rPr>
                <w:sz w:val="13"/>
                <w:szCs w:val="13"/>
                <w:color w:val="auto"/>
              </w:rPr>
            </w:pPr>
          </w:p>
        </w:tc>
        <w:tc>
          <w:tcPr>
            <w:tcW w:w="760" w:type="dxa"/>
            <w:vAlign w:val="bottom"/>
            <w:tcBorders>
              <w:right w:val="single" w:sz="8" w:color="007CBA"/>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spacing w:after="0"/>
              <w:rPr>
                <w:sz w:val="13"/>
                <w:szCs w:val="13"/>
                <w:color w:val="auto"/>
              </w:rPr>
            </w:pPr>
          </w:p>
        </w:tc>
        <w:tc>
          <w:tcPr>
            <w:tcW w:w="740" w:type="dxa"/>
            <w:vAlign w:val="bottom"/>
            <w:shd w:val="clear" w:color="auto" w:fill="E5F1F8"/>
          </w:tcPr>
          <w:p>
            <w:pPr>
              <w:spacing w:after="0"/>
              <w:rPr>
                <w:sz w:val="13"/>
                <w:szCs w:val="13"/>
                <w:color w:val="auto"/>
              </w:rPr>
            </w:pPr>
          </w:p>
        </w:tc>
        <w:tc>
          <w:tcPr>
            <w:tcW w:w="100" w:type="dxa"/>
            <w:vAlign w:val="bottom"/>
            <w:tcBorders>
              <w:right w:val="single" w:sz="8" w:color="007CBA"/>
            </w:tcBorders>
            <w:shd w:val="clear" w:color="auto" w:fill="E5F1F8"/>
          </w:tcPr>
          <w:p>
            <w:pPr>
              <w:spacing w:after="0"/>
              <w:rPr>
                <w:sz w:val="13"/>
                <w:szCs w:val="13"/>
                <w:color w:val="auto"/>
              </w:rPr>
            </w:pPr>
          </w:p>
        </w:tc>
        <w:tc>
          <w:tcPr>
            <w:tcW w:w="660" w:type="dxa"/>
            <w:vAlign w:val="bottom"/>
            <w:tcBorders>
              <w:right w:val="single" w:sz="8" w:color="007CBA"/>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760" w:type="dxa"/>
            <w:vAlign w:val="bottom"/>
            <w:tcBorders>
              <w:right w:val="single" w:sz="8" w:color="007CBA"/>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720" w:type="dxa"/>
            <w:vAlign w:val="bottom"/>
            <w:tcBorders>
              <w:right w:val="single" w:sz="8" w:color="007CBA"/>
            </w:tcBorders>
            <w:vMerge w:val="continue"/>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spacing w:after="0"/>
              <w:rPr>
                <w:sz w:val="13"/>
                <w:szCs w:val="13"/>
                <w:color w:val="auto"/>
              </w:rPr>
            </w:pPr>
          </w:p>
        </w:tc>
        <w:tc>
          <w:tcPr>
            <w:tcW w:w="780" w:type="dxa"/>
            <w:vAlign w:val="bottom"/>
            <w:vMerge w:val="continue"/>
            <w:shd w:val="clear" w:color="auto" w:fill="E5F1F8"/>
          </w:tcPr>
          <w:p>
            <w:pPr>
              <w:spacing w:after="0"/>
              <w:rPr>
                <w:sz w:val="13"/>
                <w:szCs w:val="13"/>
                <w:color w:val="auto"/>
              </w:rPr>
            </w:pPr>
          </w:p>
        </w:tc>
        <w:tc>
          <w:tcPr>
            <w:tcW w:w="10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shd w:val="clear" w:color="auto" w:fill="E5F1F8"/>
          </w:tcPr>
          <w:p>
            <w:pPr>
              <w:spacing w:after="0"/>
              <w:rPr>
                <w:sz w:val="14"/>
                <w:szCs w:val="14"/>
                <w:color w:val="auto"/>
              </w:rPr>
            </w:pPr>
          </w:p>
        </w:tc>
        <w:tc>
          <w:tcPr>
            <w:tcW w:w="600" w:type="dxa"/>
            <w:vAlign w:val="bottom"/>
            <w:shd w:val="clear" w:color="auto" w:fill="E5F1F8"/>
          </w:tcPr>
          <w:p>
            <w:pPr>
              <w:jc w:val="right"/>
              <w:spacing w:after="0"/>
              <w:rPr>
                <w:sz w:val="20"/>
                <w:szCs w:val="20"/>
                <w:color w:val="auto"/>
              </w:rPr>
            </w:pPr>
            <w:r>
              <w:rPr>
                <w:rFonts w:ascii="Arial" w:cs="Arial" w:eastAsia="Arial" w:hAnsi="Arial"/>
                <w:sz w:val="14"/>
                <w:szCs w:val="14"/>
                <w:color w:val="auto"/>
              </w:rPr>
              <w:t>2/4/16</w:t>
            </w:r>
          </w:p>
        </w:tc>
        <w:tc>
          <w:tcPr>
            <w:tcW w:w="160" w:type="dxa"/>
            <w:vAlign w:val="bottom"/>
            <w:tcBorders>
              <w:right w:val="single" w:sz="8" w:color="007CBA"/>
            </w:tcBorders>
            <w:shd w:val="clear" w:color="auto" w:fill="E5F1F8"/>
          </w:tcPr>
          <w:p>
            <w:pPr>
              <w:jc w:val="right"/>
              <w:ind w:right="19"/>
              <w:spacing w:after="0"/>
              <w:rPr>
                <w:sz w:val="20"/>
                <w:szCs w:val="20"/>
                <w:color w:val="auto"/>
              </w:rPr>
            </w:pPr>
            <w:r>
              <w:rPr>
                <w:rFonts w:ascii="Arial" w:cs="Arial" w:eastAsia="Arial" w:hAnsi="Arial"/>
                <w:sz w:val="12"/>
                <w:szCs w:val="12"/>
                <w:color w:val="auto"/>
                <w:w w:val="89"/>
              </w:rPr>
              <w:t>4</w:t>
            </w:r>
          </w:p>
        </w:tc>
        <w:tc>
          <w:tcPr>
            <w:tcW w:w="72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4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1,471</w:t>
            </w:r>
          </w:p>
        </w:tc>
        <w:tc>
          <w:tcPr>
            <w:tcW w:w="100" w:type="dxa"/>
            <w:vAlign w:val="bottom"/>
            <w:tcBorders>
              <w:right w:val="single" w:sz="8" w:color="007CBA"/>
            </w:tcBorders>
            <w:shd w:val="clear" w:color="auto" w:fill="E5F1F8"/>
          </w:tcPr>
          <w:p>
            <w:pPr>
              <w:spacing w:after="0"/>
              <w:rPr>
                <w:sz w:val="14"/>
                <w:szCs w:val="14"/>
                <w:color w:val="auto"/>
              </w:rPr>
            </w:pPr>
          </w:p>
        </w:tc>
        <w:tc>
          <w:tcPr>
            <w:tcW w:w="660" w:type="dxa"/>
            <w:vAlign w:val="bottom"/>
            <w:tcBorders>
              <w:right w:val="single" w:sz="8" w:color="007CBA"/>
            </w:tcBorders>
            <w:shd w:val="clear" w:color="auto" w:fill="E5F1F8"/>
          </w:tcPr>
          <w:p>
            <w:pPr>
              <w:jc w:val="right"/>
              <w:ind w:right="29"/>
              <w:spacing w:after="0"/>
              <w:rPr>
                <w:sz w:val="20"/>
                <w:szCs w:val="20"/>
                <w:color w:val="auto"/>
              </w:rPr>
            </w:pPr>
            <w:r>
              <w:rPr>
                <w:rFonts w:ascii="Arial" w:cs="Arial" w:eastAsia="Arial" w:hAnsi="Arial"/>
                <w:sz w:val="14"/>
                <w:szCs w:val="14"/>
                <w:color w:val="auto"/>
              </w:rPr>
              <w:t>2,942</w:t>
            </w:r>
          </w:p>
        </w:tc>
        <w:tc>
          <w:tcPr>
            <w:tcW w:w="60" w:type="dxa"/>
            <w:vAlign w:val="bottom"/>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4"/>
                <w:szCs w:val="14"/>
                <w:color w:val="auto"/>
              </w:rPr>
              <w:t>5,884</w:t>
            </w:r>
          </w:p>
        </w:tc>
        <w:tc>
          <w:tcPr>
            <w:tcW w:w="6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spacing w:after="0"/>
              <w:rPr>
                <w:sz w:val="14"/>
                <w:szCs w:val="14"/>
                <w:color w:val="auto"/>
              </w:rPr>
            </w:pPr>
          </w:p>
        </w:tc>
        <w:tc>
          <w:tcPr>
            <w:tcW w:w="92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366,014</w:t>
            </w:r>
          </w:p>
        </w:tc>
        <w:tc>
          <w:tcPr>
            <w:tcW w:w="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40" w:type="dxa"/>
            <w:vAlign w:val="bottom"/>
            <w:tcBorders>
              <w:right w:val="single" w:sz="8" w:color="007CBA"/>
            </w:tcBorders>
            <w:shd w:val="clear" w:color="auto" w:fill="E5F1F8"/>
          </w:tcPr>
          <w:p>
            <w:pPr>
              <w:spacing w:after="0"/>
              <w:rPr>
                <w:sz w:val="14"/>
                <w:szCs w:val="14"/>
                <w:color w:val="auto"/>
              </w:rPr>
            </w:pPr>
          </w:p>
        </w:tc>
        <w:tc>
          <w:tcPr>
            <w:tcW w:w="600" w:type="dxa"/>
            <w:vAlign w:val="bottom"/>
            <w:shd w:val="clear" w:color="auto" w:fill="E5F1F8"/>
          </w:tcPr>
          <w:p>
            <w:pPr>
              <w:jc w:val="right"/>
              <w:spacing w:after="0"/>
              <w:rPr>
                <w:sz w:val="20"/>
                <w:szCs w:val="20"/>
                <w:color w:val="auto"/>
              </w:rPr>
            </w:pPr>
            <w:r>
              <w:rPr>
                <w:rFonts w:ascii="Arial" w:cs="Arial" w:eastAsia="Arial" w:hAnsi="Arial"/>
                <w:sz w:val="14"/>
                <w:szCs w:val="14"/>
                <w:color w:val="auto"/>
              </w:rPr>
              <w:t>2/4/16</w:t>
            </w:r>
          </w:p>
        </w:tc>
        <w:tc>
          <w:tcPr>
            <w:tcW w:w="160" w:type="dxa"/>
            <w:vAlign w:val="bottom"/>
            <w:tcBorders>
              <w:right w:val="single" w:sz="8" w:color="007CBA"/>
            </w:tcBorders>
            <w:shd w:val="clear" w:color="auto" w:fill="E5F1F8"/>
          </w:tcPr>
          <w:p>
            <w:pPr>
              <w:jc w:val="right"/>
              <w:ind w:right="19"/>
              <w:spacing w:after="0"/>
              <w:rPr>
                <w:sz w:val="20"/>
                <w:szCs w:val="20"/>
                <w:color w:val="auto"/>
              </w:rPr>
            </w:pPr>
            <w:r>
              <w:rPr>
                <w:rFonts w:ascii="Arial" w:cs="Arial" w:eastAsia="Arial" w:hAnsi="Arial"/>
                <w:sz w:val="12"/>
                <w:szCs w:val="12"/>
                <w:color w:val="auto"/>
                <w:w w:val="89"/>
              </w:rPr>
              <w:t>3</w:t>
            </w:r>
          </w:p>
        </w:tc>
        <w:tc>
          <w:tcPr>
            <w:tcW w:w="72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40" w:type="dxa"/>
            <w:vAlign w:val="bottom"/>
            <w:shd w:val="clear" w:color="auto" w:fill="E5F1F8"/>
          </w:tcPr>
          <w:p>
            <w:pPr>
              <w:spacing w:after="0"/>
              <w:rPr>
                <w:sz w:val="14"/>
                <w:szCs w:val="14"/>
                <w:color w:val="auto"/>
              </w:rPr>
            </w:pPr>
          </w:p>
        </w:tc>
        <w:tc>
          <w:tcPr>
            <w:tcW w:w="100" w:type="dxa"/>
            <w:vAlign w:val="bottom"/>
            <w:tcBorders>
              <w:right w:val="single" w:sz="8" w:color="007CBA"/>
            </w:tcBorders>
            <w:shd w:val="clear" w:color="auto" w:fill="E5F1F8"/>
          </w:tcPr>
          <w:p>
            <w:pPr>
              <w:spacing w:after="0"/>
              <w:rPr>
                <w:sz w:val="14"/>
                <w:szCs w:val="14"/>
                <w:color w:val="auto"/>
              </w:rPr>
            </w:pPr>
          </w:p>
        </w:tc>
        <w:tc>
          <w:tcPr>
            <w:tcW w:w="6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60" w:type="dxa"/>
            <w:vAlign w:val="bottom"/>
            <w:tcBorders>
              <w:right w:val="single" w:sz="8" w:color="007CBA"/>
            </w:tcBorders>
            <w:shd w:val="clear" w:color="auto" w:fill="E5F1F8"/>
          </w:tcPr>
          <w:p>
            <w:pPr>
              <w:spacing w:after="0"/>
              <w:rPr>
                <w:sz w:val="14"/>
                <w:szCs w:val="14"/>
                <w:color w:val="auto"/>
              </w:rPr>
            </w:pPr>
          </w:p>
        </w:tc>
        <w:tc>
          <w:tcPr>
            <w:tcW w:w="6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4"/>
                <w:szCs w:val="14"/>
                <w:color w:val="auto"/>
              </w:rPr>
              <w:t>1,471</w:t>
            </w:r>
          </w:p>
        </w:tc>
        <w:tc>
          <w:tcPr>
            <w:tcW w:w="920" w:type="dxa"/>
            <w:vAlign w:val="bottom"/>
            <w:tcBorders>
              <w:right w:val="single" w:sz="8" w:color="007CBA"/>
            </w:tcBorders>
            <w:shd w:val="clear" w:color="auto" w:fill="E5F1F8"/>
          </w:tcPr>
          <w:p>
            <w:pPr>
              <w:spacing w:after="0"/>
              <w:rPr>
                <w:sz w:val="14"/>
                <w:szCs w:val="14"/>
                <w:color w:val="auto"/>
              </w:rPr>
            </w:pPr>
          </w:p>
        </w:tc>
        <w:tc>
          <w:tcPr>
            <w:tcW w:w="740" w:type="dxa"/>
            <w:vAlign w:val="bottom"/>
            <w:tcBorders>
              <w:right w:val="single" w:sz="8" w:color="007CBA"/>
            </w:tcBorders>
            <w:shd w:val="clear" w:color="auto" w:fill="E5F1F8"/>
          </w:tcPr>
          <w:p>
            <w:pPr>
              <w:spacing w:after="0"/>
              <w:rPr>
                <w:sz w:val="14"/>
                <w:szCs w:val="14"/>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183,007</w:t>
            </w:r>
          </w:p>
        </w:tc>
        <w:tc>
          <w:tcPr>
            <w:tcW w:w="10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40" w:type="dxa"/>
            <w:vAlign w:val="bottom"/>
            <w:tcBorders>
              <w:right w:val="single" w:sz="8" w:color="007CBA"/>
            </w:tcBorders>
          </w:tcPr>
          <w:p>
            <w:pPr>
              <w:ind w:left="80"/>
              <w:spacing w:after="0" w:line="159" w:lineRule="exact"/>
              <w:rPr>
                <w:sz w:val="20"/>
                <w:szCs w:val="20"/>
                <w:color w:val="auto"/>
              </w:rPr>
            </w:pPr>
            <w:r>
              <w:rPr>
                <w:rFonts w:ascii="Arial" w:cs="Arial" w:eastAsia="Arial" w:hAnsi="Arial"/>
                <w:sz w:val="14"/>
                <w:szCs w:val="14"/>
                <w:b w:val="1"/>
                <w:bCs w:val="1"/>
                <w:color w:val="auto"/>
              </w:rPr>
              <w:t>Daniel L. Grant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2/23/17</w:t>
            </w:r>
          </w:p>
        </w:tc>
        <w:tc>
          <w:tcPr>
            <w:tcW w:w="160" w:type="dxa"/>
            <w:vAlign w:val="bottom"/>
            <w:tcBorders>
              <w:right w:val="single" w:sz="8" w:color="007CBA"/>
            </w:tcBorders>
          </w:tcPr>
          <w:p>
            <w:pPr>
              <w:jc w:val="right"/>
              <w:ind w:right="19"/>
              <w:spacing w:after="0"/>
              <w:rPr>
                <w:sz w:val="20"/>
                <w:szCs w:val="20"/>
                <w:color w:val="auto"/>
              </w:rPr>
            </w:pPr>
            <w:r>
              <w:rPr>
                <w:rFonts w:ascii="Arial" w:cs="Arial" w:eastAsia="Arial" w:hAnsi="Arial"/>
                <w:sz w:val="12"/>
                <w:szCs w:val="12"/>
                <w:color w:val="auto"/>
                <w:w w:val="89"/>
              </w:rPr>
              <w:t>2</w:t>
            </w:r>
          </w:p>
        </w:tc>
        <w:tc>
          <w:tcPr>
            <w:tcW w:w="720" w:type="dxa"/>
            <w:vAlign w:val="bottom"/>
          </w:tcPr>
          <w:p>
            <w:pPr>
              <w:spacing w:after="0"/>
              <w:rPr>
                <w:sz w:val="13"/>
                <w:szCs w:val="13"/>
                <w:color w:val="auto"/>
              </w:rPr>
            </w:pPr>
          </w:p>
        </w:tc>
        <w:tc>
          <w:tcPr>
            <w:tcW w:w="100" w:type="dxa"/>
            <w:vAlign w:val="bottom"/>
            <w:tcBorders>
              <w:right w:val="single" w:sz="8" w:color="007CBA"/>
            </w:tcBorders>
          </w:tcPr>
          <w:p>
            <w:pPr>
              <w:spacing w:after="0"/>
              <w:rPr>
                <w:sz w:val="13"/>
                <w:szCs w:val="13"/>
                <w:color w:val="auto"/>
              </w:rPr>
            </w:pPr>
          </w:p>
        </w:tc>
        <w:tc>
          <w:tcPr>
            <w:tcW w:w="760" w:type="dxa"/>
            <w:vAlign w:val="bottom"/>
            <w:tcBorders>
              <w:right w:val="single" w:sz="8" w:color="007CBA"/>
            </w:tcBorders>
          </w:tcPr>
          <w:p>
            <w:pPr>
              <w:jc w:val="right"/>
              <w:ind w:right="30"/>
              <w:spacing w:after="0" w:line="159" w:lineRule="exact"/>
              <w:rPr>
                <w:sz w:val="20"/>
                <w:szCs w:val="20"/>
                <w:color w:val="auto"/>
              </w:rPr>
            </w:pPr>
            <w:r>
              <w:rPr>
                <w:rFonts w:ascii="Arial" w:cs="Arial" w:eastAsia="Arial" w:hAnsi="Arial"/>
                <w:sz w:val="14"/>
                <w:szCs w:val="14"/>
                <w:color w:val="auto"/>
              </w:rPr>
              <w:t>244,475</w:t>
            </w:r>
          </w:p>
        </w:tc>
        <w:tc>
          <w:tcPr>
            <w:tcW w:w="60" w:type="dxa"/>
            <w:vAlign w:val="bottom"/>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007CBA"/>
            </w:tcBorders>
          </w:tcPr>
          <w:p>
            <w:pPr>
              <w:spacing w:after="0"/>
              <w:rPr>
                <w:sz w:val="13"/>
                <w:szCs w:val="13"/>
                <w:color w:val="auto"/>
              </w:rPr>
            </w:pPr>
          </w:p>
        </w:tc>
        <w:tc>
          <w:tcPr>
            <w:tcW w:w="66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gridSpan w:val="2"/>
          </w:tcPr>
          <w:p>
            <w:pPr>
              <w:jc w:val="right"/>
              <w:ind w:right="19"/>
              <w:spacing w:after="0" w:line="162" w:lineRule="exact"/>
              <w:rPr>
                <w:sz w:val="20"/>
                <w:szCs w:val="20"/>
                <w:color w:val="auto"/>
              </w:rPr>
            </w:pPr>
            <w:r>
              <w:rPr>
                <w:rFonts w:ascii="Arial" w:cs="Arial" w:eastAsia="Arial" w:hAnsi="Arial"/>
                <w:sz w:val="11"/>
                <w:szCs w:val="11"/>
                <w:color w:val="auto"/>
              </w:rPr>
              <w:t>2/23/17</w:t>
            </w:r>
            <w:r>
              <w:rPr>
                <w:rFonts w:ascii="Arial" w:cs="Arial" w:eastAsia="Arial" w:hAnsi="Arial"/>
                <w:sz w:val="18"/>
                <w:szCs w:val="18"/>
                <w:color w:val="auto"/>
                <w:vertAlign w:val="superscript"/>
              </w:rPr>
              <w:t>2</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007CBA"/>
            </w:tcBorders>
          </w:tcPr>
          <w:p>
            <w:pPr>
              <w:jc w:val="right"/>
              <w:ind w:right="30"/>
              <w:spacing w:after="0"/>
              <w:rPr>
                <w:sz w:val="20"/>
                <w:szCs w:val="20"/>
                <w:color w:val="auto"/>
              </w:rPr>
            </w:pPr>
            <w:r>
              <w:rPr>
                <w:rFonts w:ascii="Arial" w:cs="Arial" w:eastAsia="Arial" w:hAnsi="Arial"/>
                <w:sz w:val="14"/>
                <w:szCs w:val="14"/>
                <w:color w:val="auto"/>
              </w:rPr>
              <w:t>568</w:t>
            </w: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118,530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gridSpan w:val="2"/>
          </w:tcPr>
          <w:p>
            <w:pPr>
              <w:jc w:val="right"/>
              <w:ind w:right="19"/>
              <w:spacing w:after="0" w:line="162" w:lineRule="exact"/>
              <w:rPr>
                <w:sz w:val="20"/>
                <w:szCs w:val="20"/>
                <w:color w:val="auto"/>
              </w:rPr>
            </w:pPr>
            <w:r>
              <w:rPr>
                <w:rFonts w:ascii="Arial" w:cs="Arial" w:eastAsia="Arial" w:hAnsi="Arial"/>
                <w:sz w:val="11"/>
                <w:szCs w:val="11"/>
                <w:color w:val="auto"/>
              </w:rPr>
              <w:t>2/4/16</w:t>
            </w:r>
            <w:r>
              <w:rPr>
                <w:rFonts w:ascii="Arial" w:cs="Arial" w:eastAsia="Arial" w:hAnsi="Arial"/>
                <w:sz w:val="18"/>
                <w:szCs w:val="18"/>
                <w:color w:val="auto"/>
                <w:vertAlign w:val="superscript"/>
              </w:rPr>
              <w:t>4</w:t>
            </w:r>
          </w:p>
        </w:tc>
        <w:tc>
          <w:tcPr>
            <w:tcW w:w="720" w:type="dxa"/>
            <w:vAlign w:val="bottom"/>
          </w:tcPr>
          <w:p>
            <w:pPr>
              <w:spacing w:after="0"/>
              <w:rPr>
                <w:sz w:val="14"/>
                <w:szCs w:val="14"/>
                <w:color w:val="auto"/>
              </w:rPr>
            </w:pPr>
          </w:p>
        </w:tc>
        <w:tc>
          <w:tcPr>
            <w:tcW w:w="100" w:type="dxa"/>
            <w:vAlign w:val="bottom"/>
            <w:tcBorders>
              <w:right w:val="single" w:sz="8" w:color="007CBA"/>
            </w:tcBorders>
          </w:tcPr>
          <w:p>
            <w:pPr>
              <w:spacing w:after="0"/>
              <w:rPr>
                <w:sz w:val="14"/>
                <w:szCs w:val="14"/>
                <w:color w:val="auto"/>
              </w:rPr>
            </w:pPr>
          </w:p>
        </w:tc>
        <w:tc>
          <w:tcPr>
            <w:tcW w:w="760" w:type="dxa"/>
            <w:vAlign w:val="bottom"/>
            <w:tcBorders>
              <w:right w:val="single" w:sz="8" w:color="007CBA"/>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Borders>
              <w:right w:val="single" w:sz="8" w:color="007CBA"/>
            </w:tcBorders>
          </w:tcPr>
          <w:p>
            <w:pPr>
              <w:spacing w:after="0"/>
              <w:rPr>
                <w:sz w:val="14"/>
                <w:szCs w:val="14"/>
                <w:color w:val="auto"/>
              </w:rPr>
            </w:pPr>
          </w:p>
        </w:tc>
        <w:tc>
          <w:tcPr>
            <w:tcW w:w="660" w:type="dxa"/>
            <w:vAlign w:val="bottom"/>
            <w:tcBorders>
              <w:right w:val="single" w:sz="8" w:color="007CBA"/>
            </w:tcBorders>
          </w:tcPr>
          <w:p>
            <w:pPr>
              <w:jc w:val="right"/>
              <w:ind w:right="29"/>
              <w:spacing w:after="0"/>
              <w:rPr>
                <w:sz w:val="20"/>
                <w:szCs w:val="20"/>
                <w:color w:val="auto"/>
              </w:rPr>
            </w:pPr>
            <w:r>
              <w:rPr>
                <w:rFonts w:ascii="Arial" w:cs="Arial" w:eastAsia="Arial" w:hAnsi="Arial"/>
                <w:sz w:val="14"/>
                <w:szCs w:val="14"/>
                <w:color w:val="auto"/>
              </w:rPr>
              <w:t>2,407</w:t>
            </w:r>
          </w:p>
        </w:tc>
        <w:tc>
          <w:tcPr>
            <w:tcW w:w="60" w:type="dxa"/>
            <w:vAlign w:val="bottom"/>
          </w:tcPr>
          <w:p>
            <w:pPr>
              <w:spacing w:after="0"/>
              <w:rPr>
                <w:sz w:val="14"/>
                <w:szCs w:val="14"/>
                <w:color w:val="auto"/>
              </w:rPr>
            </w:pPr>
          </w:p>
        </w:tc>
        <w:tc>
          <w:tcPr>
            <w:tcW w:w="760" w:type="dxa"/>
            <w:vAlign w:val="bottom"/>
            <w:tcBorders>
              <w:right w:val="single" w:sz="8" w:color="007CBA"/>
            </w:tcBorders>
          </w:tcPr>
          <w:p>
            <w:pPr>
              <w:jc w:val="right"/>
              <w:ind w:right="50"/>
              <w:spacing w:after="0"/>
              <w:rPr>
                <w:sz w:val="20"/>
                <w:szCs w:val="20"/>
                <w:color w:val="auto"/>
              </w:rPr>
            </w:pPr>
            <w:r>
              <w:rPr>
                <w:rFonts w:ascii="Arial" w:cs="Arial" w:eastAsia="Arial" w:hAnsi="Arial"/>
                <w:sz w:val="14"/>
                <w:szCs w:val="14"/>
                <w:color w:val="auto"/>
              </w:rPr>
              <w:t>4,814</w:t>
            </w:r>
          </w:p>
        </w:tc>
        <w:tc>
          <w:tcPr>
            <w:tcW w:w="60" w:type="dxa"/>
            <w:vAlign w:val="bottom"/>
          </w:tcPr>
          <w:p>
            <w:pPr>
              <w:spacing w:after="0"/>
              <w:rPr>
                <w:sz w:val="14"/>
                <w:szCs w:val="14"/>
                <w:color w:val="auto"/>
              </w:rPr>
            </w:pPr>
          </w:p>
        </w:tc>
        <w:tc>
          <w:tcPr>
            <w:tcW w:w="720" w:type="dxa"/>
            <w:vAlign w:val="bottom"/>
            <w:tcBorders>
              <w:right w:val="single" w:sz="8" w:color="007CBA"/>
            </w:tcBorders>
          </w:tcPr>
          <w:p>
            <w:pPr>
              <w:spacing w:after="0"/>
              <w:rPr>
                <w:sz w:val="14"/>
                <w:szCs w:val="14"/>
                <w:color w:val="auto"/>
              </w:rPr>
            </w:pPr>
          </w:p>
        </w:tc>
        <w:tc>
          <w:tcPr>
            <w:tcW w:w="920" w:type="dxa"/>
            <w:vAlign w:val="bottom"/>
            <w:tcBorders>
              <w:right w:val="single" w:sz="8" w:color="007CBA"/>
            </w:tcBorders>
          </w:tcPr>
          <w:p>
            <w:pPr>
              <w:spacing w:after="0"/>
              <w:rPr>
                <w:sz w:val="14"/>
                <w:szCs w:val="14"/>
                <w:color w:val="auto"/>
              </w:rPr>
            </w:pPr>
          </w:p>
        </w:tc>
        <w:tc>
          <w:tcPr>
            <w:tcW w:w="740" w:type="dxa"/>
            <w:vAlign w:val="bottom"/>
            <w:tcBorders>
              <w:right w:val="single" w:sz="8" w:color="007CBA"/>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40" w:type="dxa"/>
            <w:vAlign w:val="bottom"/>
            <w:tcBorders>
              <w:bottom w:val="single" w:sz="8" w:color="007CBA"/>
              <w:right w:val="single" w:sz="8" w:color="007CBA"/>
            </w:tcBorders>
          </w:tcPr>
          <w:p>
            <w:pPr>
              <w:spacing w:after="0"/>
              <w:rPr>
                <w:sz w:val="14"/>
                <w:szCs w:val="14"/>
                <w:color w:val="auto"/>
              </w:rPr>
            </w:pPr>
          </w:p>
        </w:tc>
        <w:tc>
          <w:tcPr>
            <w:tcW w:w="760" w:type="dxa"/>
            <w:vAlign w:val="bottom"/>
            <w:tcBorders>
              <w:bottom w:val="single" w:sz="8" w:color="007CBA"/>
              <w:right w:val="single" w:sz="8" w:color="007CBA"/>
            </w:tcBorders>
            <w:gridSpan w:val="2"/>
          </w:tcPr>
          <w:p>
            <w:pPr>
              <w:jc w:val="right"/>
              <w:ind w:right="19"/>
              <w:spacing w:after="0" w:line="164" w:lineRule="exact"/>
              <w:rPr>
                <w:sz w:val="20"/>
                <w:szCs w:val="20"/>
                <w:color w:val="auto"/>
              </w:rPr>
            </w:pPr>
            <w:r>
              <w:rPr>
                <w:rFonts w:ascii="Arial" w:cs="Arial" w:eastAsia="Arial" w:hAnsi="Arial"/>
                <w:sz w:val="12"/>
                <w:szCs w:val="12"/>
                <w:color w:val="auto"/>
              </w:rPr>
              <w:t>2/4/16</w:t>
            </w:r>
            <w:r>
              <w:rPr>
                <w:rFonts w:ascii="Arial" w:cs="Arial" w:eastAsia="Arial" w:hAnsi="Arial"/>
                <w:sz w:val="19"/>
                <w:szCs w:val="19"/>
                <w:color w:val="auto"/>
                <w:vertAlign w:val="superscript"/>
              </w:rPr>
              <w:t>3</w:t>
            </w:r>
          </w:p>
        </w:tc>
        <w:tc>
          <w:tcPr>
            <w:tcW w:w="720" w:type="dxa"/>
            <w:vAlign w:val="bottom"/>
            <w:tcBorders>
              <w:bottom w:val="single" w:sz="8" w:color="007CBA"/>
            </w:tcBorders>
          </w:tcPr>
          <w:p>
            <w:pPr>
              <w:spacing w:after="0"/>
              <w:rPr>
                <w:sz w:val="14"/>
                <w:szCs w:val="14"/>
                <w:color w:val="auto"/>
              </w:rPr>
            </w:pPr>
          </w:p>
        </w:tc>
        <w:tc>
          <w:tcPr>
            <w:tcW w:w="100" w:type="dxa"/>
            <w:vAlign w:val="bottom"/>
            <w:tcBorders>
              <w:bottom w:val="single" w:sz="8" w:color="007CBA"/>
              <w:right w:val="single" w:sz="8" w:color="007CBA"/>
            </w:tcBorders>
          </w:tcPr>
          <w:p>
            <w:pPr>
              <w:spacing w:after="0"/>
              <w:rPr>
                <w:sz w:val="14"/>
                <w:szCs w:val="14"/>
                <w:color w:val="auto"/>
              </w:rPr>
            </w:pPr>
          </w:p>
        </w:tc>
        <w:tc>
          <w:tcPr>
            <w:tcW w:w="760" w:type="dxa"/>
            <w:vAlign w:val="bottom"/>
            <w:tcBorders>
              <w:bottom w:val="single" w:sz="8" w:color="007CBA"/>
              <w:right w:val="single" w:sz="8" w:color="007CBA"/>
            </w:tcBorders>
          </w:tcPr>
          <w:p>
            <w:pPr>
              <w:spacing w:after="0"/>
              <w:rPr>
                <w:sz w:val="14"/>
                <w:szCs w:val="14"/>
                <w:color w:val="auto"/>
              </w:rPr>
            </w:pPr>
          </w:p>
        </w:tc>
        <w:tc>
          <w:tcPr>
            <w:tcW w:w="60" w:type="dxa"/>
            <w:vAlign w:val="bottom"/>
            <w:tcBorders>
              <w:bottom w:val="single" w:sz="8" w:color="007CBA"/>
            </w:tcBorders>
          </w:tcPr>
          <w:p>
            <w:pPr>
              <w:spacing w:after="0"/>
              <w:rPr>
                <w:sz w:val="14"/>
                <w:szCs w:val="14"/>
                <w:color w:val="auto"/>
              </w:rPr>
            </w:pPr>
          </w:p>
        </w:tc>
        <w:tc>
          <w:tcPr>
            <w:tcW w:w="740" w:type="dxa"/>
            <w:vAlign w:val="bottom"/>
            <w:tcBorders>
              <w:bottom w:val="single" w:sz="8" w:color="007CBA"/>
              <w:right w:val="single" w:sz="8" w:color="007CBA"/>
            </w:tcBorders>
          </w:tcPr>
          <w:p>
            <w:pPr>
              <w:spacing w:after="0"/>
              <w:rPr>
                <w:sz w:val="14"/>
                <w:szCs w:val="14"/>
                <w:color w:val="auto"/>
              </w:rPr>
            </w:pPr>
          </w:p>
        </w:tc>
        <w:tc>
          <w:tcPr>
            <w:tcW w:w="740" w:type="dxa"/>
            <w:vAlign w:val="bottom"/>
            <w:tcBorders>
              <w:bottom w:val="single" w:sz="8" w:color="007CBA"/>
            </w:tcBorders>
          </w:tcPr>
          <w:p>
            <w:pPr>
              <w:spacing w:after="0"/>
              <w:rPr>
                <w:sz w:val="14"/>
                <w:szCs w:val="14"/>
                <w:color w:val="auto"/>
              </w:rPr>
            </w:pPr>
          </w:p>
        </w:tc>
        <w:tc>
          <w:tcPr>
            <w:tcW w:w="100" w:type="dxa"/>
            <w:vAlign w:val="bottom"/>
            <w:tcBorders>
              <w:bottom w:val="single" w:sz="8" w:color="007CBA"/>
              <w:right w:val="single" w:sz="8" w:color="007CBA"/>
            </w:tcBorders>
          </w:tcPr>
          <w:p>
            <w:pPr>
              <w:spacing w:after="0"/>
              <w:rPr>
                <w:sz w:val="14"/>
                <w:szCs w:val="14"/>
                <w:color w:val="auto"/>
              </w:rPr>
            </w:pPr>
          </w:p>
        </w:tc>
        <w:tc>
          <w:tcPr>
            <w:tcW w:w="660" w:type="dxa"/>
            <w:vAlign w:val="bottom"/>
            <w:tcBorders>
              <w:bottom w:val="single" w:sz="8" w:color="007CBA"/>
              <w:right w:val="single" w:sz="8" w:color="007CBA"/>
            </w:tcBorders>
          </w:tcPr>
          <w:p>
            <w:pPr>
              <w:spacing w:after="0"/>
              <w:rPr>
                <w:sz w:val="14"/>
                <w:szCs w:val="14"/>
                <w:color w:val="auto"/>
              </w:rPr>
            </w:pPr>
          </w:p>
        </w:tc>
        <w:tc>
          <w:tcPr>
            <w:tcW w:w="60" w:type="dxa"/>
            <w:vAlign w:val="bottom"/>
            <w:tcBorders>
              <w:bottom w:val="single" w:sz="8" w:color="007CBA"/>
            </w:tcBorders>
          </w:tcPr>
          <w:p>
            <w:pPr>
              <w:spacing w:after="0"/>
              <w:rPr>
                <w:sz w:val="14"/>
                <w:szCs w:val="14"/>
                <w:color w:val="auto"/>
              </w:rPr>
            </w:pPr>
          </w:p>
        </w:tc>
        <w:tc>
          <w:tcPr>
            <w:tcW w:w="760" w:type="dxa"/>
            <w:vAlign w:val="bottom"/>
            <w:tcBorders>
              <w:bottom w:val="single" w:sz="8" w:color="007CBA"/>
              <w:right w:val="single" w:sz="8" w:color="007CBA"/>
            </w:tcBorders>
          </w:tcPr>
          <w:p>
            <w:pPr>
              <w:spacing w:after="0"/>
              <w:rPr>
                <w:sz w:val="14"/>
                <w:szCs w:val="14"/>
                <w:color w:val="auto"/>
              </w:rPr>
            </w:pPr>
          </w:p>
        </w:tc>
        <w:tc>
          <w:tcPr>
            <w:tcW w:w="60" w:type="dxa"/>
            <w:vAlign w:val="bottom"/>
            <w:tcBorders>
              <w:bottom w:val="single" w:sz="8" w:color="007CBA"/>
            </w:tcBorders>
          </w:tcPr>
          <w:p>
            <w:pPr>
              <w:spacing w:after="0"/>
              <w:rPr>
                <w:sz w:val="14"/>
                <w:szCs w:val="14"/>
                <w:color w:val="auto"/>
              </w:rPr>
            </w:pPr>
          </w:p>
        </w:tc>
        <w:tc>
          <w:tcPr>
            <w:tcW w:w="720" w:type="dxa"/>
            <w:vAlign w:val="bottom"/>
            <w:tcBorders>
              <w:bottom w:val="single" w:sz="8" w:color="007CBA"/>
              <w:right w:val="single" w:sz="8" w:color="007CBA"/>
            </w:tcBorders>
          </w:tcPr>
          <w:p>
            <w:pPr>
              <w:jc w:val="right"/>
              <w:ind w:right="30"/>
              <w:spacing w:after="0"/>
              <w:rPr>
                <w:sz w:val="20"/>
                <w:szCs w:val="20"/>
                <w:color w:val="auto"/>
              </w:rPr>
            </w:pPr>
            <w:r>
              <w:rPr>
                <w:rFonts w:ascii="Arial" w:cs="Arial" w:eastAsia="Arial" w:hAnsi="Arial"/>
                <w:sz w:val="14"/>
                <w:szCs w:val="14"/>
                <w:color w:val="auto"/>
              </w:rPr>
              <w:t>1,204</w:t>
            </w:r>
          </w:p>
        </w:tc>
        <w:tc>
          <w:tcPr>
            <w:tcW w:w="920" w:type="dxa"/>
            <w:vAlign w:val="bottom"/>
            <w:tcBorders>
              <w:bottom w:val="single" w:sz="8" w:color="007CBA"/>
              <w:right w:val="single" w:sz="8" w:color="007CBA"/>
            </w:tcBorders>
          </w:tcPr>
          <w:p>
            <w:pPr>
              <w:spacing w:after="0"/>
              <w:rPr>
                <w:sz w:val="14"/>
                <w:szCs w:val="14"/>
                <w:color w:val="auto"/>
              </w:rPr>
            </w:pPr>
          </w:p>
        </w:tc>
        <w:tc>
          <w:tcPr>
            <w:tcW w:w="740" w:type="dxa"/>
            <w:vAlign w:val="bottom"/>
            <w:tcBorders>
              <w:bottom w:val="single" w:sz="8" w:color="007CBA"/>
              <w:right w:val="single" w:sz="8" w:color="007CBA"/>
            </w:tcBorders>
          </w:tcPr>
          <w:p>
            <w:pPr>
              <w:spacing w:after="0"/>
              <w:rPr>
                <w:sz w:val="14"/>
                <w:szCs w:val="14"/>
                <w:color w:val="auto"/>
              </w:rPr>
            </w:pPr>
          </w:p>
        </w:tc>
        <w:tc>
          <w:tcPr>
            <w:tcW w:w="780" w:type="dxa"/>
            <w:vAlign w:val="bottom"/>
            <w:tcBorders>
              <w:bottom w:val="single" w:sz="8" w:color="007CBA"/>
            </w:tcBorders>
          </w:tcPr>
          <w:p>
            <w:pPr>
              <w:jc w:val="right"/>
              <w:spacing w:after="0"/>
              <w:rPr>
                <w:sz w:val="20"/>
                <w:szCs w:val="20"/>
                <w:color w:val="auto"/>
              </w:rPr>
            </w:pPr>
            <w:r>
              <w:rPr>
                <w:rFonts w:ascii="Arial" w:cs="Arial" w:eastAsia="Arial" w:hAnsi="Arial"/>
                <w:sz w:val="14"/>
                <w:szCs w:val="14"/>
                <w:color w:val="auto"/>
              </w:rPr>
              <w:t>149,790</w:t>
            </w:r>
          </w:p>
        </w:tc>
        <w:tc>
          <w:tcPr>
            <w:tcW w:w="100" w:type="dxa"/>
            <w:vAlign w:val="bottom"/>
            <w:tcBorders>
              <w:bottom w:val="single" w:sz="8" w:color="007CB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-2263140</wp:posOffset>
            </wp:positionV>
            <wp:extent cx="28727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66" w:lineRule="exact"/>
        <w:rPr>
          <w:sz w:val="20"/>
          <w:szCs w:val="20"/>
          <w:color w:val="auto"/>
        </w:rPr>
      </w:pPr>
    </w:p>
    <w:p>
      <w:pPr>
        <w:jc w:val="both"/>
        <w:ind w:left="120" w:hanging="112"/>
        <w:spacing w:after="0" w:line="211" w:lineRule="auto"/>
        <w:tabs>
          <w:tab w:leader="none" w:pos="12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(d) reflect the target level of annual bonus that could have been earned in 2016, payable in 2017 pursuant to the Executive Incentive Plan. There is no threshold amount since the program does not provide for an amount to be paid if performance falls below the performance goals and in 2016 there was no maximum level of annual bonus that could have been earned. These amounts shown in column (d) have not been reduced by the amounts that were mandatorily and voluntarily invested pursuant to the Incentive Stock Plan, which are also reported in column (i) of this table corresponding to footnote 2. The amount earned in cash and voluntarily deferred is also included in column (d) of the Summary Compensation Table. Mandatory deferrals of payments under the Incentive Stock Plan into common stock units are included in column</w:t>
      </w:r>
    </w:p>
    <w:p>
      <w:pPr>
        <w:spacing w:after="0" w:line="1" w:lineRule="exact"/>
        <w:rPr>
          <w:rFonts w:ascii="Arial" w:cs="Arial" w:eastAsia="Arial" w:hAnsi="Arial"/>
          <w:sz w:val="24"/>
          <w:szCs w:val="24"/>
          <w:color w:val="auto"/>
          <w:vertAlign w:val="superscript"/>
        </w:rPr>
      </w:pPr>
    </w:p>
    <w:p>
      <w:pPr>
        <w:ind w:left="120"/>
        <w:spacing w:after="0"/>
        <w:rPr>
          <w:rFonts w:ascii="Arial" w:cs="Arial" w:eastAsia="Arial" w:hAnsi="Arial"/>
          <w:sz w:val="24"/>
          <w:szCs w:val="24"/>
          <w:color w:val="auto"/>
          <w:vertAlign w:val="superscript"/>
        </w:rPr>
      </w:pPr>
      <w:r>
        <w:rPr>
          <w:rFonts w:ascii="Arial" w:cs="Arial" w:eastAsia="Arial" w:hAnsi="Arial"/>
          <w:sz w:val="14"/>
          <w:szCs w:val="14"/>
          <w:color w:val="auto"/>
        </w:rPr>
        <w:t>(e) of the Summary Compensation Table on page 43. Mr. Nye does not participate in the Executive Incentive Plan.</w:t>
      </w:r>
    </w:p>
    <w:p>
      <w:pPr>
        <w:spacing w:after="0" w:line="82" w:lineRule="exact"/>
        <w:rPr>
          <w:sz w:val="20"/>
          <w:szCs w:val="20"/>
          <w:color w:val="auto"/>
        </w:rPr>
      </w:pPr>
    </w:p>
    <w:p>
      <w:pPr>
        <w:jc w:val="both"/>
        <w:ind w:left="120" w:hanging="112"/>
        <w:spacing w:after="0" w:line="208" w:lineRule="auto"/>
        <w:tabs>
          <w:tab w:leader="none" w:pos="12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(i) include the amount of cash bonus earned in 2016 but paid in 2017 that was deferred in units of common stock under the Incentive Stock Plan. Participants in this program for 2016 were approved on May 19, 2016. These awards are discussed under the heading “</w:t>
      </w:r>
      <w:r>
        <w:rPr>
          <w:rFonts w:ascii="Arial" w:cs="Arial" w:eastAsia="Arial" w:hAnsi="Arial"/>
          <w:sz w:val="14"/>
          <w:szCs w:val="14"/>
          <w:i w:val="1"/>
          <w:iCs w:val="1"/>
          <w:color w:val="auto"/>
        </w:rPr>
        <w:t>Annual Incentive Feature: Performance-Based Stock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Purchase Plan” </w:t>
      </w:r>
      <w:r>
        <w:rPr>
          <w:rFonts w:ascii="Arial" w:cs="Arial" w:eastAsia="Arial" w:hAnsi="Arial"/>
          <w:sz w:val="14"/>
          <w:szCs w:val="14"/>
          <w:color w:val="auto"/>
        </w:rPr>
        <w:t>on page 39. These awards are also included in part, for NEOs other than Mr. Nye, in column (d) of this table and in full, for all NEOs, in columns (d), (e) and (i)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Summary Compensation Table on page 43.</w:t>
      </w:r>
    </w:p>
    <w:p>
      <w:pPr>
        <w:spacing w:after="0" w:line="72" w:lineRule="exact"/>
        <w:rPr>
          <w:sz w:val="20"/>
          <w:szCs w:val="20"/>
          <w:color w:val="auto"/>
        </w:rPr>
      </w:pPr>
    </w:p>
    <w:p>
      <w:pPr>
        <w:jc w:val="both"/>
        <w:ind w:left="120" w:hanging="112"/>
        <w:spacing w:after="0" w:line="199" w:lineRule="auto"/>
        <w:tabs>
          <w:tab w:leader="none" w:pos="12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(i) reflect the number of RSUs granted in 2016 to each of the named executive officers pursuant to the Stock-Based Award Plan. These awards are discussed under the heading “</w:t>
      </w:r>
      <w:r>
        <w:rPr>
          <w:rFonts w:ascii="Arial" w:cs="Arial" w:eastAsia="Arial" w:hAnsi="Arial"/>
          <w:sz w:val="14"/>
          <w:szCs w:val="14"/>
          <w:i w:val="1"/>
          <w:iCs w:val="1"/>
          <w:color w:val="auto"/>
        </w:rPr>
        <w:t>Long-Term Incentive Compensation”</w:t>
      </w:r>
      <w:r>
        <w:rPr>
          <w:rFonts w:ascii="Arial" w:cs="Arial" w:eastAsia="Arial" w:hAnsi="Arial"/>
          <w:sz w:val="14"/>
          <w:szCs w:val="14"/>
          <w:color w:val="auto"/>
        </w:rPr>
        <w:t xml:space="preserve"> on pages 39 to 40. These awards are also included in column (e) of the Summary Compensation Table on page 43.</w:t>
      </w:r>
    </w:p>
    <w:p>
      <w:pPr>
        <w:spacing w:after="0" w:line="71" w:lineRule="exact"/>
        <w:rPr>
          <w:sz w:val="20"/>
          <w:szCs w:val="20"/>
          <w:color w:val="auto"/>
        </w:rPr>
      </w:pPr>
    </w:p>
    <w:p>
      <w:pPr>
        <w:ind w:left="120" w:hanging="112"/>
        <w:spacing w:after="0" w:line="183" w:lineRule="auto"/>
        <w:tabs>
          <w:tab w:leader="none" w:pos="12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columns (f), (g) and (h) reflect the threshold, target and maximum, respectively, levels of PSUs payable if the performance measurements are satisfied in the period 2016-2018. These awards are discussed under the heading “</w:t>
      </w:r>
      <w:r>
        <w:rPr>
          <w:rFonts w:ascii="Arial" w:cs="Arial" w:eastAsia="Arial" w:hAnsi="Arial"/>
          <w:sz w:val="14"/>
          <w:szCs w:val="14"/>
          <w:i w:val="1"/>
          <w:iCs w:val="1"/>
          <w:color w:val="auto"/>
        </w:rPr>
        <w:t>Long-Term Incentive Compensation</w:t>
      </w:r>
      <w:r>
        <w:rPr>
          <w:rFonts w:ascii="Arial" w:cs="Arial" w:eastAsia="Arial" w:hAnsi="Arial"/>
          <w:sz w:val="14"/>
          <w:szCs w:val="14"/>
          <w:color w:val="auto"/>
        </w:rPr>
        <w:t>” on pages 39 to 40.</w:t>
      </w:r>
    </w:p>
    <w:p>
      <w:pPr>
        <w:ind w:left="120" w:hanging="112"/>
        <w:spacing w:after="0" w:line="212" w:lineRule="auto"/>
        <w:tabs>
          <w:tab w:leader="none" w:pos="12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No options to purchase shares of Martin Marietta’s common stock were granted in 2016.</w:t>
      </w:r>
    </w:p>
    <w:p>
      <w:pPr>
        <w:spacing w:after="0" w:line="71" w:lineRule="exact"/>
        <w:rPr>
          <w:sz w:val="20"/>
          <w:szCs w:val="20"/>
          <w:color w:val="auto"/>
        </w:rPr>
      </w:pPr>
    </w:p>
    <w:p>
      <w:pPr>
        <w:ind w:left="120" w:hanging="112"/>
        <w:spacing w:after="0" w:line="183" w:lineRule="auto"/>
        <w:tabs>
          <w:tab w:leader="none" w:pos="12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(d), (e) and (i) of the Summary Compensation Table on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85725</wp:posOffset>
            </wp:positionV>
            <wp:extent cx="41148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3"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45</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Grants of Plan-Based Awards</w:t>
      </w:r>
    </w:p>
    <w:p>
      <w:pPr>
        <w:spacing w:after="0" w:line="2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Stock-based incentive awards have been a significant component of Martin Marietta’s management compensation. In 1998, the Board of Directors adopted and Martin Marietta’s shareholders approved the Stock Plan. In 2016, the Board of Directors and the shareholders approved amendments to the plan increasing the number of shares of Martin Marietta’s common stock available for equity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 In addition, dividend equivalents that would have been paid in cash during the vesting period will be paid only if and when an award vests.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amended, the plan authorizes the Management Development and Compensation Committee to award stock options, restricted stock and other stock-based incentive awards to</w:t>
      </w:r>
    </w:p>
    <w:p>
      <w:pPr>
        <w:spacing w:after="0" w:line="200" w:lineRule="exact"/>
        <w:rPr>
          <w:sz w:val="20"/>
          <w:szCs w:val="20"/>
          <w:color w:val="auto"/>
        </w:rPr>
      </w:pPr>
    </w:p>
    <w:p>
      <w:pPr>
        <w:spacing w:after="0" w:line="291"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employees of Martin Marietta for the purpose of attracting, motivating, retaining and rewarding talented and experienced employees. Since 2016, Martin Marietta’s long-term compensation program consists of a mix of RSUs and PSUs for senior level employees and other select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-1346835</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awards granted in 2016 were based on the achievement by Martin Marietta of performance measures described under </w:t>
      </w:r>
      <w:r>
        <w:rPr>
          <w:rFonts w:ascii="Arial" w:cs="Arial" w:eastAsia="Arial" w:hAnsi="Arial"/>
          <w:sz w:val="16"/>
          <w:szCs w:val="16"/>
          <w:i w:val="1"/>
          <w:iCs w:val="1"/>
          <w:color w:val="auto"/>
        </w:rPr>
        <w:t>“Long-Term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on pages 39 to 40.</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maximum of 5,800,000 shares of Martin Marietta’s common stock are authorized under the plan for grants to key employees. Each award under the plan is evidenced by an award agreement setting forth the number and type of stock-based incentives subject to the award and such other terms and conditions applicable to the award as determined by the Committee. No employee may receive annual grants for more than 300,000 shares of common stock with respect to (i) full-value awards or (ii) stock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182245</wp:posOffset>
            </wp:positionV>
            <wp:extent cx="411480" cy="248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8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6820"/>
        <w:spacing w:after="0" w:line="276" w:lineRule="exact"/>
        <w:rPr>
          <w:sz w:val="20"/>
          <w:szCs w:val="20"/>
          <w:color w:val="auto"/>
        </w:rPr>
      </w:pPr>
      <w:r>
        <w:rPr>
          <w:rFonts w:ascii="Arial" w:cs="Arial" w:eastAsia="Arial" w:hAnsi="Arial"/>
          <w:sz w:val="13"/>
          <w:szCs w:val="13"/>
          <w:color w:val="auto"/>
        </w:rPr>
        <w:t xml:space="preserve">Outstanding Equity Awards at Fiscal Year-End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Outstanding Equity Awards at Fiscal Year-End</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spacing w:after="0"/>
              <w:rPr>
                <w:sz w:val="14"/>
                <w:szCs w:val="14"/>
                <w:color w:val="auto"/>
              </w:rPr>
            </w:pPr>
          </w:p>
        </w:tc>
        <w:tc>
          <w:tcPr>
            <w:tcW w:w="2260" w:type="dxa"/>
            <w:vAlign w:val="bottom"/>
            <w:tcBorders>
              <w:right w:val="single" w:sz="8" w:color="007CBA"/>
            </w:tcBorders>
            <w:gridSpan w:val="2"/>
            <w:shd w:val="clear" w:color="auto" w:fill="007CBA"/>
          </w:tcPr>
          <w:p>
            <w:pPr>
              <w:ind w:left="860"/>
              <w:spacing w:after="0"/>
              <w:rPr>
                <w:sz w:val="20"/>
                <w:szCs w:val="20"/>
                <w:color w:val="auto"/>
              </w:rPr>
            </w:pPr>
            <w:r>
              <w:rPr>
                <w:rFonts w:ascii="Arial" w:cs="Arial" w:eastAsia="Arial" w:hAnsi="Arial"/>
                <w:sz w:val="14"/>
                <w:szCs w:val="14"/>
                <w:b w:val="1"/>
                <w:bCs w:val="1"/>
                <w:color w:val="FFFFFF"/>
              </w:rPr>
              <w:t>OPTION AWARDS</w:t>
            </w:r>
          </w:p>
        </w:tc>
        <w:tc>
          <w:tcPr>
            <w:tcW w:w="820" w:type="dxa"/>
            <w:vAlign w:val="bottom"/>
            <w:tcBorders>
              <w:right w:val="single" w:sz="8" w:color="007CBA"/>
            </w:tcBorders>
            <w:shd w:val="clear" w:color="auto" w:fill="007CBA"/>
          </w:tcPr>
          <w:p>
            <w:pPr>
              <w:spacing w:after="0"/>
              <w:rPr>
                <w:sz w:val="14"/>
                <w:szCs w:val="14"/>
                <w:color w:val="auto"/>
              </w:rPr>
            </w:pPr>
          </w:p>
        </w:tc>
        <w:tc>
          <w:tcPr>
            <w:tcW w:w="94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spacing w:after="0"/>
              <w:rPr>
                <w:sz w:val="14"/>
                <w:szCs w:val="14"/>
                <w:color w:val="auto"/>
              </w:rPr>
            </w:pPr>
          </w:p>
        </w:tc>
        <w:tc>
          <w:tcPr>
            <w:tcW w:w="2260" w:type="dxa"/>
            <w:vAlign w:val="bottom"/>
            <w:tcBorders>
              <w:right w:val="single" w:sz="8" w:color="007CBA"/>
            </w:tcBorders>
            <w:gridSpan w:val="2"/>
            <w:shd w:val="clear" w:color="auto" w:fill="007CBA"/>
          </w:tcPr>
          <w:p>
            <w:pPr>
              <w:jc w:val="right"/>
              <w:ind w:right="638"/>
              <w:spacing w:after="0"/>
              <w:rPr>
                <w:sz w:val="20"/>
                <w:szCs w:val="20"/>
                <w:color w:val="auto"/>
              </w:rPr>
            </w:pPr>
            <w:r>
              <w:rPr>
                <w:rFonts w:ascii="Arial" w:cs="Arial" w:eastAsia="Arial" w:hAnsi="Arial"/>
                <w:sz w:val="14"/>
                <w:szCs w:val="14"/>
                <w:b w:val="1"/>
                <w:bCs w:val="1"/>
                <w:color w:val="FFFFFF"/>
              </w:rPr>
              <w:t>STOCK AWARDS</w:t>
            </w:r>
          </w:p>
        </w:tc>
        <w:tc>
          <w:tcPr>
            <w:tcW w:w="920" w:type="dxa"/>
            <w:vAlign w:val="bottom"/>
            <w:vMerge w:val="restart"/>
            <w:shd w:val="clear" w:color="auto" w:fill="007CBA"/>
          </w:tcPr>
          <w:p>
            <w:pPr>
              <w:jc w:val="center"/>
              <w:ind w:right="30"/>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45"/>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spacing w:after="0"/>
              <w:rPr>
                <w:sz w:val="12"/>
                <w:szCs w:val="12"/>
                <w:color w:val="auto"/>
              </w:rPr>
            </w:pPr>
          </w:p>
        </w:tc>
        <w:tc>
          <w:tcPr>
            <w:tcW w:w="920" w:type="dxa"/>
            <w:vAlign w:val="bottom"/>
            <w:vMerge w:val="continue"/>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spacing w:after="0"/>
              <w:rPr>
                <w:sz w:val="12"/>
                <w:szCs w:val="12"/>
                <w:color w:val="auto"/>
              </w:rPr>
            </w:pP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5"/>
              </w:rPr>
              <w:t>Incentive</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spacing w:after="0"/>
              <w:rPr>
                <w:sz w:val="12"/>
                <w:szCs w:val="12"/>
                <w:color w:val="auto"/>
              </w:rPr>
            </w:pPr>
          </w:p>
        </w:tc>
        <w:tc>
          <w:tcPr>
            <w:tcW w:w="920" w:type="dxa"/>
            <w:vAlign w:val="bottom"/>
            <w:shd w:val="clear" w:color="auto" w:fill="007CBA"/>
          </w:tcPr>
          <w:p>
            <w:pPr>
              <w:jc w:val="center"/>
              <w:ind w:right="10"/>
              <w:spacing w:after="0" w:line="149" w:lineRule="exact"/>
              <w:rPr>
                <w:sz w:val="20"/>
                <w:szCs w:val="20"/>
                <w:color w:val="auto"/>
              </w:rPr>
            </w:pPr>
            <w:r>
              <w:rPr>
                <w:rFonts w:ascii="Arial" w:cs="Arial" w:eastAsia="Arial" w:hAnsi="Arial"/>
                <w:sz w:val="14"/>
                <w:szCs w:val="14"/>
                <w:b w:val="1"/>
                <w:bCs w:val="1"/>
                <w:color w:val="FFFFFF"/>
                <w:w w:val="94"/>
              </w:rPr>
              <w:t>Plan</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spacing w:after="0"/>
              <w:rPr>
                <w:sz w:val="12"/>
                <w:szCs w:val="12"/>
                <w:color w:val="auto"/>
              </w:rPr>
            </w:pP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7"/>
              </w:rPr>
              <w:t>Awards:</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spacing w:after="0"/>
              <w:rPr>
                <w:sz w:val="12"/>
                <w:szCs w:val="12"/>
                <w:color w:val="auto"/>
              </w:rPr>
            </w:pP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8"/>
              </w:rPr>
              <w:t>Market or</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3"/>
              </w:rPr>
              <w:t>Equity</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3"/>
              </w:rPr>
              <w:t>Equity</w:t>
            </w: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8"/>
              </w:rPr>
              <w:t>Payout</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12"/>
              <w:spacing w:after="0" w:line="149" w:lineRule="exact"/>
              <w:rPr>
                <w:sz w:val="20"/>
                <w:szCs w:val="20"/>
                <w:color w:val="auto"/>
              </w:rPr>
            </w:pPr>
            <w:r>
              <w:rPr>
                <w:rFonts w:ascii="Arial" w:cs="Arial" w:eastAsia="Arial" w:hAnsi="Arial"/>
                <w:sz w:val="14"/>
                <w:szCs w:val="14"/>
                <w:b w:val="1"/>
                <w:bCs w:val="1"/>
                <w:color w:val="FFFFFF"/>
                <w:w w:val="95"/>
              </w:rPr>
              <w:t>Incentive</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7"/>
              </w:rPr>
              <w:t>Incentive Plan</w:t>
            </w:r>
          </w:p>
        </w:tc>
        <w:tc>
          <w:tcPr>
            <w:tcW w:w="920" w:type="dxa"/>
            <w:vAlign w:val="bottom"/>
            <w:shd w:val="clear" w:color="auto" w:fill="007CBA"/>
          </w:tcPr>
          <w:p>
            <w:pPr>
              <w:jc w:val="center"/>
              <w:ind w:right="10"/>
              <w:spacing w:after="0" w:line="149" w:lineRule="exact"/>
              <w:rPr>
                <w:sz w:val="20"/>
                <w:szCs w:val="20"/>
                <w:color w:val="auto"/>
              </w:rPr>
            </w:pPr>
            <w:r>
              <w:rPr>
                <w:rFonts w:ascii="Arial" w:cs="Arial" w:eastAsia="Arial" w:hAnsi="Arial"/>
                <w:sz w:val="14"/>
                <w:szCs w:val="14"/>
                <w:b w:val="1"/>
                <w:bCs w:val="1"/>
                <w:color w:val="FFFFFF"/>
                <w:w w:val="94"/>
              </w:rPr>
              <w:t>Value or</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4"/>
              </w:rPr>
              <w:t>Plan</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4"/>
              </w:rPr>
              <w:t>Awards:</w:t>
            </w: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5"/>
              </w:rPr>
              <w:t>Unearned</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2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4"/>
              </w:rPr>
              <w:t>Awards:</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7"/>
              </w:rPr>
              <w:t>Market</w:t>
            </w: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7"/>
              </w:rPr>
              <w:t>Number of</w:t>
            </w: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8"/>
              </w:rPr>
              <w:t>Shares,</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4"/>
              </w:rPr>
              <w:t>Number of</w:t>
            </w:r>
          </w:p>
        </w:tc>
        <w:tc>
          <w:tcPr>
            <w:tcW w:w="1200" w:type="dxa"/>
            <w:vAlign w:val="bottom"/>
            <w:tcBorders>
              <w:right w:val="single" w:sz="8" w:color="007CBA"/>
            </w:tcBorders>
            <w:shd w:val="clear" w:color="auto" w:fill="007CBA"/>
          </w:tcPr>
          <w:p>
            <w:pPr>
              <w:jc w:val="center"/>
              <w:ind w:right="55"/>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7"/>
              </w:rPr>
              <w:t>Number of</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4"/>
              </w:rPr>
              <w:t>Number</w:t>
            </w:r>
          </w:p>
        </w:tc>
        <w:tc>
          <w:tcPr>
            <w:tcW w:w="10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5"/>
              </w:rPr>
              <w:t>Value of</w:t>
            </w: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9"/>
              </w:rPr>
              <w:t>Unearned</w:t>
            </w: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4"/>
              </w:rPr>
              <w:t>Units or</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8"/>
              </w:rPr>
              <w:t>Securities</w:t>
            </w:r>
          </w:p>
        </w:tc>
        <w:tc>
          <w:tcPr>
            <w:tcW w:w="1200" w:type="dxa"/>
            <w:vAlign w:val="bottom"/>
            <w:tcBorders>
              <w:right w:val="single" w:sz="8" w:color="007CBA"/>
            </w:tcBorders>
            <w:shd w:val="clear" w:color="auto" w:fill="007CBA"/>
          </w:tcPr>
          <w:p>
            <w:pPr>
              <w:jc w:val="center"/>
              <w:ind w:right="55"/>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5"/>
              </w:rPr>
              <w:t>Securities</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7"/>
              </w:rPr>
              <w:t>of Shares</w:t>
            </w:r>
          </w:p>
        </w:tc>
        <w:tc>
          <w:tcPr>
            <w:tcW w:w="10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9"/>
              </w:rPr>
              <w:t>Shares or</w:t>
            </w: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8"/>
              </w:rPr>
              <w:t>Shares, Units</w:t>
            </w:r>
          </w:p>
        </w:tc>
        <w:tc>
          <w:tcPr>
            <w:tcW w:w="920" w:type="dxa"/>
            <w:vAlign w:val="bottom"/>
            <w:shd w:val="clear" w:color="auto" w:fill="007CBA"/>
          </w:tcPr>
          <w:p>
            <w:pPr>
              <w:jc w:val="center"/>
              <w:ind w:right="10"/>
              <w:spacing w:after="0" w:line="149" w:lineRule="exact"/>
              <w:rPr>
                <w:sz w:val="20"/>
                <w:szCs w:val="20"/>
                <w:color w:val="auto"/>
              </w:rPr>
            </w:pPr>
            <w:r>
              <w:rPr>
                <w:rFonts w:ascii="Arial" w:cs="Arial" w:eastAsia="Arial" w:hAnsi="Arial"/>
                <w:sz w:val="14"/>
                <w:szCs w:val="14"/>
                <w:b w:val="1"/>
                <w:bCs w:val="1"/>
                <w:color w:val="FFFFFF"/>
                <w:w w:val="96"/>
              </w:rPr>
              <w:t>Other</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200" w:type="dxa"/>
            <w:vAlign w:val="bottom"/>
            <w:tcBorders>
              <w:right w:val="single" w:sz="8" w:color="007CBA"/>
            </w:tcBorders>
            <w:shd w:val="clear" w:color="auto" w:fill="007CBA"/>
          </w:tcPr>
          <w:p>
            <w:pPr>
              <w:jc w:val="center"/>
              <w:ind w:right="75"/>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1060" w:type="dxa"/>
            <w:vAlign w:val="bottom"/>
            <w:tcBorders>
              <w:right w:val="single" w:sz="8" w:color="007CBA"/>
            </w:tcBorders>
            <w:shd w:val="clear" w:color="auto" w:fill="007CBA"/>
          </w:tcPr>
          <w:p>
            <w:pPr>
              <w:jc w:val="center"/>
              <w:ind w:right="12"/>
              <w:spacing w:after="0" w:line="149" w:lineRule="exact"/>
              <w:rPr>
                <w:sz w:val="20"/>
                <w:szCs w:val="20"/>
                <w:color w:val="auto"/>
              </w:rPr>
            </w:pPr>
            <w:r>
              <w:rPr>
                <w:rFonts w:ascii="Arial" w:cs="Arial" w:eastAsia="Arial" w:hAnsi="Arial"/>
                <w:sz w:val="14"/>
                <w:szCs w:val="14"/>
                <w:b w:val="1"/>
                <w:bCs w:val="1"/>
                <w:color w:val="FFFFFF"/>
                <w:w w:val="95"/>
              </w:rPr>
              <w:t>Underlying</w:t>
            </w:r>
          </w:p>
        </w:tc>
        <w:tc>
          <w:tcPr>
            <w:tcW w:w="820" w:type="dxa"/>
            <w:vAlign w:val="bottom"/>
            <w:tcBorders>
              <w:right w:val="single" w:sz="8" w:color="007CBA"/>
            </w:tcBorders>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4"/>
              </w:rPr>
              <w:t>or Units of</w:t>
            </w:r>
          </w:p>
        </w:tc>
        <w:tc>
          <w:tcPr>
            <w:tcW w:w="10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9"/>
              </w:rPr>
              <w:t>Units of</w:t>
            </w: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4"/>
              </w:rPr>
              <w:t>or Other</w:t>
            </w: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6"/>
              </w:rPr>
              <w:t>Rights</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1200" w:type="dxa"/>
            <w:vAlign w:val="bottom"/>
            <w:tcBorders>
              <w:right w:val="single" w:sz="8" w:color="007CBA"/>
            </w:tcBorders>
            <w:shd w:val="clear" w:color="auto" w:fill="007CBA"/>
          </w:tcPr>
          <w:p>
            <w:pPr>
              <w:jc w:val="center"/>
              <w:ind w:right="55"/>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6"/>
              </w:rPr>
              <w:t>Unexercised</w:t>
            </w:r>
          </w:p>
        </w:tc>
        <w:tc>
          <w:tcPr>
            <w:tcW w:w="8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7"/>
              </w:rPr>
              <w:t>Option</w:t>
            </w:r>
          </w:p>
        </w:tc>
        <w:tc>
          <w:tcPr>
            <w:tcW w:w="94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100"/>
              <w:spacing w:after="0" w:line="149" w:lineRule="exact"/>
              <w:rPr>
                <w:sz w:val="20"/>
                <w:szCs w:val="20"/>
                <w:color w:val="auto"/>
              </w:rPr>
            </w:pPr>
            <w:r>
              <w:rPr>
                <w:rFonts w:ascii="Arial" w:cs="Arial" w:eastAsia="Arial" w:hAnsi="Arial"/>
                <w:sz w:val="14"/>
                <w:szCs w:val="14"/>
                <w:b w:val="1"/>
                <w:bCs w:val="1"/>
                <w:color w:val="FFFFFF"/>
                <w:w w:val="99"/>
              </w:rPr>
              <w:t>Stock</w:t>
            </w:r>
          </w:p>
        </w:tc>
        <w:tc>
          <w:tcPr>
            <w:tcW w:w="10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4"/>
              </w:rPr>
              <w:t>Stock</w:t>
            </w: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8"/>
              </w:rPr>
              <w:t>Rights That</w:t>
            </w:r>
          </w:p>
        </w:tc>
        <w:tc>
          <w:tcPr>
            <w:tcW w:w="920" w:type="dxa"/>
            <w:vAlign w:val="bottom"/>
            <w:shd w:val="clear" w:color="auto" w:fill="007CBA"/>
          </w:tcPr>
          <w:p>
            <w:pPr>
              <w:jc w:val="center"/>
              <w:ind w:right="10"/>
              <w:spacing w:after="0" w:line="149" w:lineRule="exact"/>
              <w:rPr>
                <w:sz w:val="20"/>
                <w:szCs w:val="20"/>
                <w:color w:val="auto"/>
              </w:rPr>
            </w:pPr>
            <w:r>
              <w:rPr>
                <w:rFonts w:ascii="Arial" w:cs="Arial" w:eastAsia="Arial" w:hAnsi="Arial"/>
                <w:sz w:val="14"/>
                <w:szCs w:val="14"/>
                <w:b w:val="1"/>
                <w:bCs w:val="1"/>
                <w:color w:val="FFFFFF"/>
                <w:w w:val="94"/>
              </w:rPr>
              <w:t>That</w:t>
            </w:r>
          </w:p>
        </w:tc>
        <w:tc>
          <w:tcPr>
            <w:tcW w:w="0" w:type="dxa"/>
            <w:vAlign w:val="bottom"/>
          </w:tcPr>
          <w:p>
            <w:pPr>
              <w:spacing w:after="0"/>
              <w:rPr>
                <w:sz w:val="1"/>
                <w:szCs w:val="1"/>
                <w:color w:val="auto"/>
              </w:rPr>
            </w:pPr>
          </w:p>
        </w:tc>
      </w:tr>
      <w:tr>
        <w:trPr>
          <w:trHeight w:val="152"/>
        </w:trPr>
        <w:tc>
          <w:tcPr>
            <w:tcW w:w="210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jc w:val="center"/>
              <w:ind w:right="9"/>
              <w:spacing w:after="0" w:line="152" w:lineRule="exact"/>
              <w:rPr>
                <w:sz w:val="20"/>
                <w:szCs w:val="20"/>
                <w:color w:val="auto"/>
              </w:rPr>
            </w:pPr>
            <w:r>
              <w:rPr>
                <w:rFonts w:ascii="Arial" w:cs="Arial" w:eastAsia="Arial" w:hAnsi="Arial"/>
                <w:sz w:val="14"/>
                <w:szCs w:val="14"/>
                <w:b w:val="1"/>
                <w:bCs w:val="1"/>
                <w:color w:val="FFFFFF"/>
                <w:w w:val="94"/>
              </w:rPr>
              <w:t>Options</w:t>
            </w:r>
          </w:p>
        </w:tc>
        <w:tc>
          <w:tcPr>
            <w:tcW w:w="1200" w:type="dxa"/>
            <w:vAlign w:val="bottom"/>
            <w:tcBorders>
              <w:right w:val="single" w:sz="8" w:color="007CBA"/>
            </w:tcBorders>
            <w:shd w:val="clear" w:color="auto" w:fill="007CBA"/>
          </w:tcPr>
          <w:p>
            <w:pPr>
              <w:jc w:val="center"/>
              <w:ind w:right="55"/>
              <w:spacing w:after="0" w:line="152" w:lineRule="exact"/>
              <w:rPr>
                <w:sz w:val="20"/>
                <w:szCs w:val="20"/>
                <w:color w:val="auto"/>
              </w:rPr>
            </w:pPr>
            <w:r>
              <w:rPr>
                <w:rFonts w:ascii="Arial" w:cs="Arial" w:eastAsia="Arial" w:hAnsi="Arial"/>
                <w:sz w:val="14"/>
                <w:szCs w:val="14"/>
                <w:b w:val="1"/>
                <w:bCs w:val="1"/>
                <w:color w:val="FFFFFF"/>
                <w:w w:val="98"/>
              </w:rPr>
              <w:t>Options</w:t>
            </w:r>
          </w:p>
        </w:tc>
        <w:tc>
          <w:tcPr>
            <w:tcW w:w="1060" w:type="dxa"/>
            <w:vAlign w:val="bottom"/>
            <w:tcBorders>
              <w:right w:val="single" w:sz="8" w:color="007CBA"/>
            </w:tcBorders>
            <w:shd w:val="clear" w:color="auto" w:fill="007CBA"/>
          </w:tcPr>
          <w:p>
            <w:pPr>
              <w:jc w:val="center"/>
              <w:ind w:right="12"/>
              <w:spacing w:after="0" w:line="152" w:lineRule="exact"/>
              <w:rPr>
                <w:sz w:val="20"/>
                <w:szCs w:val="20"/>
                <w:color w:val="auto"/>
              </w:rPr>
            </w:pPr>
            <w:r>
              <w:rPr>
                <w:rFonts w:ascii="Arial" w:cs="Arial" w:eastAsia="Arial" w:hAnsi="Arial"/>
                <w:sz w:val="14"/>
                <w:szCs w:val="14"/>
                <w:b w:val="1"/>
                <w:bCs w:val="1"/>
                <w:color w:val="FFFFFF"/>
                <w:w w:val="95"/>
              </w:rPr>
              <w:t>Unearned</w:t>
            </w:r>
          </w:p>
        </w:tc>
        <w:tc>
          <w:tcPr>
            <w:tcW w:w="820" w:type="dxa"/>
            <w:vAlign w:val="bottom"/>
            <w:tcBorders>
              <w:right w:val="single" w:sz="8" w:color="007CBA"/>
            </w:tcBorders>
            <w:shd w:val="clear" w:color="auto" w:fill="007CBA"/>
          </w:tcPr>
          <w:p>
            <w:pPr>
              <w:jc w:val="center"/>
              <w:ind w:right="29"/>
              <w:spacing w:after="0" w:line="152" w:lineRule="exact"/>
              <w:rPr>
                <w:sz w:val="20"/>
                <w:szCs w:val="20"/>
                <w:color w:val="auto"/>
              </w:rPr>
            </w:pPr>
            <w:r>
              <w:rPr>
                <w:rFonts w:ascii="Arial" w:cs="Arial" w:eastAsia="Arial" w:hAnsi="Arial"/>
                <w:sz w:val="14"/>
                <w:szCs w:val="14"/>
                <w:b w:val="1"/>
                <w:bCs w:val="1"/>
                <w:color w:val="FFFFFF"/>
                <w:w w:val="97"/>
              </w:rPr>
              <w:t>Exercise</w:t>
            </w:r>
          </w:p>
        </w:tc>
        <w:tc>
          <w:tcPr>
            <w:tcW w:w="940" w:type="dxa"/>
            <w:vAlign w:val="bottom"/>
            <w:tcBorders>
              <w:right w:val="single" w:sz="8" w:color="007CBA"/>
            </w:tcBorders>
            <w:shd w:val="clear" w:color="auto" w:fill="007CBA"/>
          </w:tcPr>
          <w:p>
            <w:pPr>
              <w:jc w:val="center"/>
              <w:ind w:right="29"/>
              <w:spacing w:after="0" w:line="152" w:lineRule="exact"/>
              <w:rPr>
                <w:sz w:val="20"/>
                <w:szCs w:val="20"/>
                <w:color w:val="auto"/>
              </w:rPr>
            </w:pPr>
            <w:r>
              <w:rPr>
                <w:rFonts w:ascii="Arial" w:cs="Arial" w:eastAsia="Arial" w:hAnsi="Arial"/>
                <w:sz w:val="14"/>
                <w:szCs w:val="14"/>
                <w:b w:val="1"/>
                <w:bCs w:val="1"/>
                <w:color w:val="FFFFFF"/>
                <w:w w:val="97"/>
              </w:rPr>
              <w:t>Option</w:t>
            </w:r>
          </w:p>
        </w:tc>
        <w:tc>
          <w:tcPr>
            <w:tcW w:w="1060" w:type="dxa"/>
            <w:vAlign w:val="bottom"/>
            <w:tcBorders>
              <w:right w:val="single" w:sz="8" w:color="007CBA"/>
            </w:tcBorders>
            <w:shd w:val="clear" w:color="auto" w:fill="007CBA"/>
          </w:tcPr>
          <w:p>
            <w:pPr>
              <w:jc w:val="center"/>
              <w:ind w:right="100"/>
              <w:spacing w:after="0" w:line="152" w:lineRule="exact"/>
              <w:rPr>
                <w:sz w:val="20"/>
                <w:szCs w:val="20"/>
                <w:color w:val="auto"/>
              </w:rPr>
            </w:pPr>
            <w:r>
              <w:rPr>
                <w:rFonts w:ascii="Arial" w:cs="Arial" w:eastAsia="Arial" w:hAnsi="Arial"/>
                <w:sz w:val="14"/>
                <w:szCs w:val="14"/>
                <w:b w:val="1"/>
                <w:bCs w:val="1"/>
                <w:color w:val="FFFFFF"/>
                <w:w w:val="98"/>
              </w:rPr>
              <w:t>That Have</w:t>
            </w:r>
          </w:p>
        </w:tc>
        <w:tc>
          <w:tcPr>
            <w:tcW w:w="1020" w:type="dxa"/>
            <w:vAlign w:val="bottom"/>
            <w:tcBorders>
              <w:right w:val="single" w:sz="8" w:color="007CBA"/>
            </w:tcBorders>
            <w:shd w:val="clear" w:color="auto" w:fill="007CBA"/>
          </w:tcPr>
          <w:p>
            <w:pPr>
              <w:jc w:val="center"/>
              <w:ind w:right="29"/>
              <w:spacing w:after="0" w:line="152" w:lineRule="exact"/>
              <w:rPr>
                <w:sz w:val="20"/>
                <w:szCs w:val="20"/>
                <w:color w:val="auto"/>
              </w:rPr>
            </w:pPr>
            <w:r>
              <w:rPr>
                <w:rFonts w:ascii="Arial" w:cs="Arial" w:eastAsia="Arial" w:hAnsi="Arial"/>
                <w:sz w:val="14"/>
                <w:szCs w:val="14"/>
                <w:b w:val="1"/>
                <w:bCs w:val="1"/>
                <w:color w:val="FFFFFF"/>
                <w:w w:val="95"/>
              </w:rPr>
              <w:t>That Have</w:t>
            </w:r>
          </w:p>
        </w:tc>
        <w:tc>
          <w:tcPr>
            <w:tcW w:w="1240" w:type="dxa"/>
            <w:vAlign w:val="bottom"/>
            <w:tcBorders>
              <w:right w:val="single" w:sz="8" w:color="007CBA"/>
            </w:tcBorders>
            <w:shd w:val="clear" w:color="auto" w:fill="007CBA"/>
          </w:tcPr>
          <w:p>
            <w:pPr>
              <w:jc w:val="center"/>
              <w:ind w:right="98"/>
              <w:spacing w:after="0" w:line="152" w:lineRule="exact"/>
              <w:rPr>
                <w:sz w:val="20"/>
                <w:szCs w:val="20"/>
                <w:color w:val="auto"/>
              </w:rPr>
            </w:pPr>
            <w:r>
              <w:rPr>
                <w:rFonts w:ascii="Arial" w:cs="Arial" w:eastAsia="Arial" w:hAnsi="Arial"/>
                <w:sz w:val="14"/>
                <w:szCs w:val="14"/>
                <w:b w:val="1"/>
                <w:bCs w:val="1"/>
                <w:color w:val="FFFFFF"/>
                <w:w w:val="95"/>
              </w:rPr>
              <w:t>Have</w:t>
            </w:r>
          </w:p>
        </w:tc>
        <w:tc>
          <w:tcPr>
            <w:tcW w:w="920" w:type="dxa"/>
            <w:vAlign w:val="bottom"/>
            <w:shd w:val="clear" w:color="auto" w:fill="007CBA"/>
          </w:tcPr>
          <w:p>
            <w:pPr>
              <w:jc w:val="center"/>
              <w:ind w:right="30"/>
              <w:spacing w:after="0" w:line="152" w:lineRule="exact"/>
              <w:rPr>
                <w:sz w:val="20"/>
                <w:szCs w:val="20"/>
                <w:color w:val="auto"/>
              </w:rPr>
            </w:pPr>
            <w:r>
              <w:rPr>
                <w:rFonts w:ascii="Arial" w:cs="Arial" w:eastAsia="Arial" w:hAnsi="Arial"/>
                <w:sz w:val="14"/>
                <w:szCs w:val="14"/>
                <w:b w:val="1"/>
                <w:bCs w:val="1"/>
                <w:color w:val="FFFFFF"/>
                <w:w w:val="95"/>
              </w:rPr>
              <w:t>Have Not</w:t>
            </w:r>
          </w:p>
        </w:tc>
        <w:tc>
          <w:tcPr>
            <w:tcW w:w="0" w:type="dxa"/>
            <w:vAlign w:val="bottom"/>
          </w:tcPr>
          <w:p>
            <w:pPr>
              <w:spacing w:after="0"/>
              <w:rPr>
                <w:sz w:val="1"/>
                <w:szCs w:val="1"/>
                <w:color w:val="auto"/>
              </w:rPr>
            </w:pPr>
          </w:p>
        </w:tc>
      </w:tr>
      <w:tr>
        <w:trPr>
          <w:trHeight w:val="149"/>
        </w:trPr>
        <w:tc>
          <w:tcPr>
            <w:tcW w:w="21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rPr>
              <w:t>(#)</w:t>
            </w:r>
          </w:p>
        </w:tc>
        <w:tc>
          <w:tcPr>
            <w:tcW w:w="1200" w:type="dxa"/>
            <w:vAlign w:val="bottom"/>
            <w:tcBorders>
              <w:right w:val="single" w:sz="8" w:color="007CBA"/>
            </w:tcBorders>
            <w:shd w:val="clear" w:color="auto" w:fill="007CBA"/>
          </w:tcPr>
          <w:p>
            <w:pPr>
              <w:jc w:val="center"/>
              <w:ind w:right="55"/>
              <w:spacing w:after="0" w:line="149" w:lineRule="exact"/>
              <w:rPr>
                <w:sz w:val="20"/>
                <w:szCs w:val="20"/>
                <w:color w:val="auto"/>
              </w:rPr>
            </w:pPr>
            <w:r>
              <w:rPr>
                <w:rFonts w:ascii="Arial" w:cs="Arial" w:eastAsia="Arial" w:hAnsi="Arial"/>
                <w:sz w:val="14"/>
                <w:szCs w:val="14"/>
                <w:b w:val="1"/>
                <w:bCs w:val="1"/>
                <w:color w:val="FFFFFF"/>
                <w:w w:val="93"/>
              </w:rPr>
              <w:t>(#)</w:t>
            </w:r>
          </w:p>
        </w:tc>
        <w:tc>
          <w:tcPr>
            <w:tcW w:w="1060" w:type="dxa"/>
            <w:vAlign w:val="bottom"/>
            <w:tcBorders>
              <w:right w:val="single" w:sz="8" w:color="007CBA"/>
            </w:tcBorders>
            <w:shd w:val="clear" w:color="auto" w:fill="007CBA"/>
          </w:tcPr>
          <w:p>
            <w:pPr>
              <w:jc w:val="center"/>
              <w:ind w:right="32"/>
              <w:spacing w:after="0" w:line="149" w:lineRule="exact"/>
              <w:rPr>
                <w:sz w:val="20"/>
                <w:szCs w:val="20"/>
                <w:color w:val="auto"/>
              </w:rPr>
            </w:pPr>
            <w:r>
              <w:rPr>
                <w:rFonts w:ascii="Arial" w:cs="Arial" w:eastAsia="Arial" w:hAnsi="Arial"/>
                <w:sz w:val="14"/>
                <w:szCs w:val="14"/>
                <w:b w:val="1"/>
                <w:bCs w:val="1"/>
                <w:color w:val="FFFFFF"/>
                <w:w w:val="98"/>
              </w:rPr>
              <w:t>Options</w:t>
            </w:r>
          </w:p>
        </w:tc>
        <w:tc>
          <w:tcPr>
            <w:tcW w:w="820" w:type="dxa"/>
            <w:vAlign w:val="bottom"/>
            <w:tcBorders>
              <w:right w:val="single" w:sz="8" w:color="007CBA"/>
            </w:tcBorders>
            <w:shd w:val="clear" w:color="auto" w:fill="007CBA"/>
          </w:tcPr>
          <w:p>
            <w:pPr>
              <w:jc w:val="center"/>
              <w:ind w:right="49"/>
              <w:spacing w:after="0" w:line="149" w:lineRule="exact"/>
              <w:rPr>
                <w:sz w:val="20"/>
                <w:szCs w:val="20"/>
                <w:color w:val="auto"/>
              </w:rPr>
            </w:pPr>
            <w:r>
              <w:rPr>
                <w:rFonts w:ascii="Arial" w:cs="Arial" w:eastAsia="Arial" w:hAnsi="Arial"/>
                <w:sz w:val="14"/>
                <w:szCs w:val="14"/>
                <w:b w:val="1"/>
                <w:bCs w:val="1"/>
                <w:color w:val="FFFFFF"/>
                <w:w w:val="99"/>
              </w:rPr>
              <w:t>Price</w:t>
            </w:r>
          </w:p>
        </w:tc>
        <w:tc>
          <w:tcPr>
            <w:tcW w:w="940" w:type="dxa"/>
            <w:vAlign w:val="bottom"/>
            <w:tcBorders>
              <w:right w:val="single" w:sz="8" w:color="007CBA"/>
            </w:tcBorders>
            <w:shd w:val="clear" w:color="auto" w:fill="007CBA"/>
          </w:tcPr>
          <w:p>
            <w:pPr>
              <w:jc w:val="center"/>
              <w:ind w:right="49"/>
              <w:spacing w:after="0" w:line="149" w:lineRule="exact"/>
              <w:rPr>
                <w:sz w:val="20"/>
                <w:szCs w:val="20"/>
                <w:color w:val="auto"/>
              </w:rPr>
            </w:pPr>
            <w:r>
              <w:rPr>
                <w:rFonts w:ascii="Arial" w:cs="Arial" w:eastAsia="Arial" w:hAnsi="Arial"/>
                <w:sz w:val="14"/>
                <w:szCs w:val="14"/>
                <w:b w:val="1"/>
                <w:bCs w:val="1"/>
                <w:color w:val="FFFFFF"/>
                <w:w w:val="96"/>
              </w:rPr>
              <w:t>Expiration</w:t>
            </w:r>
          </w:p>
        </w:tc>
        <w:tc>
          <w:tcPr>
            <w:tcW w:w="1060" w:type="dxa"/>
            <w:vAlign w:val="bottom"/>
            <w:tcBorders>
              <w:right w:val="single" w:sz="8" w:color="007CBA"/>
            </w:tcBorders>
            <w:shd w:val="clear" w:color="auto" w:fill="007CBA"/>
          </w:tcPr>
          <w:p>
            <w:pPr>
              <w:jc w:val="center"/>
              <w:ind w:right="140"/>
              <w:spacing w:after="0" w:line="149" w:lineRule="exact"/>
              <w:rPr>
                <w:sz w:val="20"/>
                <w:szCs w:val="20"/>
                <w:color w:val="auto"/>
              </w:rPr>
            </w:pPr>
            <w:r>
              <w:rPr>
                <w:rFonts w:ascii="Arial" w:cs="Arial" w:eastAsia="Arial" w:hAnsi="Arial"/>
                <w:sz w:val="14"/>
                <w:szCs w:val="14"/>
                <w:b w:val="1"/>
                <w:bCs w:val="1"/>
                <w:color w:val="FFFFFF"/>
                <w:w w:val="95"/>
              </w:rPr>
              <w:t>Not Vested</w:t>
            </w:r>
          </w:p>
        </w:tc>
        <w:tc>
          <w:tcPr>
            <w:tcW w:w="1020" w:type="dxa"/>
            <w:vAlign w:val="bottom"/>
            <w:tcBorders>
              <w:right w:val="single" w:sz="8" w:color="007CBA"/>
            </w:tcBorders>
            <w:shd w:val="clear" w:color="auto" w:fill="007CBA"/>
          </w:tcPr>
          <w:p>
            <w:pPr>
              <w:jc w:val="center"/>
              <w:ind w:right="29"/>
              <w:spacing w:after="0" w:line="149" w:lineRule="exact"/>
              <w:rPr>
                <w:sz w:val="20"/>
                <w:szCs w:val="20"/>
                <w:color w:val="auto"/>
              </w:rPr>
            </w:pPr>
            <w:r>
              <w:rPr>
                <w:rFonts w:ascii="Arial" w:cs="Arial" w:eastAsia="Arial" w:hAnsi="Arial"/>
                <w:sz w:val="14"/>
                <w:szCs w:val="14"/>
                <w:b w:val="1"/>
                <w:bCs w:val="1"/>
                <w:color w:val="FFFFFF"/>
                <w:w w:val="95"/>
              </w:rPr>
              <w:t>Not Vested</w:t>
            </w:r>
            <w:r>
              <w:rPr>
                <w:rFonts w:ascii="Arial" w:cs="Arial" w:eastAsia="Arial" w:hAnsi="Arial"/>
                <w:sz w:val="11"/>
                <w:szCs w:val="11"/>
                <w:b w:val="1"/>
                <w:bCs w:val="1"/>
                <w:color w:val="FFFFFF"/>
                <w:w w:val="95"/>
              </w:rPr>
              <w:t>1</w:t>
            </w:r>
          </w:p>
        </w:tc>
        <w:tc>
          <w:tcPr>
            <w:tcW w:w="1240" w:type="dxa"/>
            <w:vAlign w:val="bottom"/>
            <w:tcBorders>
              <w:right w:val="single" w:sz="8" w:color="007CBA"/>
            </w:tcBorders>
            <w:shd w:val="clear" w:color="auto" w:fill="007CBA"/>
          </w:tcPr>
          <w:p>
            <w:pPr>
              <w:jc w:val="center"/>
              <w:ind w:right="98"/>
              <w:spacing w:after="0" w:line="149" w:lineRule="exact"/>
              <w:rPr>
                <w:sz w:val="20"/>
                <w:szCs w:val="20"/>
                <w:color w:val="auto"/>
              </w:rPr>
            </w:pPr>
            <w:r>
              <w:rPr>
                <w:rFonts w:ascii="Arial" w:cs="Arial" w:eastAsia="Arial" w:hAnsi="Arial"/>
                <w:sz w:val="14"/>
                <w:szCs w:val="14"/>
                <w:b w:val="1"/>
                <w:bCs w:val="1"/>
                <w:color w:val="FFFFFF"/>
                <w:w w:val="92"/>
              </w:rPr>
              <w:t>Not Vested</w:t>
            </w:r>
          </w:p>
        </w:tc>
        <w:tc>
          <w:tcPr>
            <w:tcW w:w="920" w:type="dxa"/>
            <w:vAlign w:val="bottom"/>
            <w:shd w:val="clear" w:color="auto" w:fill="007CBA"/>
          </w:tcPr>
          <w:p>
            <w:pPr>
              <w:jc w:val="center"/>
              <w:ind w:right="30"/>
              <w:spacing w:after="0" w:line="149" w:lineRule="exact"/>
              <w:rPr>
                <w:sz w:val="20"/>
                <w:szCs w:val="20"/>
                <w:color w:val="auto"/>
              </w:rPr>
            </w:pPr>
            <w:r>
              <w:rPr>
                <w:rFonts w:ascii="Arial" w:cs="Arial" w:eastAsia="Arial" w:hAnsi="Arial"/>
                <w:sz w:val="14"/>
                <w:szCs w:val="14"/>
                <w:b w:val="1"/>
                <w:bCs w:val="1"/>
                <w:color w:val="FFFFFF"/>
                <w:w w:val="96"/>
              </w:rPr>
              <w:t>Vested</w:t>
            </w:r>
            <w:r>
              <w:rPr>
                <w:rFonts w:ascii="Arial" w:cs="Arial" w:eastAsia="Arial" w:hAnsi="Arial"/>
                <w:sz w:val="11"/>
                <w:szCs w:val="11"/>
                <w:b w:val="1"/>
                <w:bCs w:val="1"/>
                <w:color w:val="FFFFFF"/>
                <w:w w:val="96"/>
              </w:rPr>
              <w:t>1</w:t>
            </w:r>
          </w:p>
        </w:tc>
        <w:tc>
          <w:tcPr>
            <w:tcW w:w="0" w:type="dxa"/>
            <w:vAlign w:val="bottom"/>
          </w:tcPr>
          <w:p>
            <w:pPr>
              <w:spacing w:after="0"/>
              <w:rPr>
                <w:sz w:val="1"/>
                <w:szCs w:val="1"/>
                <w:color w:val="auto"/>
              </w:rPr>
            </w:pPr>
          </w:p>
        </w:tc>
      </w:tr>
      <w:tr>
        <w:trPr>
          <w:trHeight w:val="159"/>
        </w:trPr>
        <w:tc>
          <w:tcPr>
            <w:tcW w:w="2100" w:type="dxa"/>
            <w:vAlign w:val="bottom"/>
            <w:tcBorders>
              <w:right w:val="single" w:sz="8" w:color="007CBA"/>
            </w:tcBorders>
            <w:shd w:val="clear" w:color="auto" w:fill="007CBA"/>
          </w:tcPr>
          <w:p>
            <w:pPr>
              <w:ind w:left="80"/>
              <w:spacing w:after="0" w:line="159" w:lineRule="exact"/>
              <w:rPr>
                <w:sz w:val="20"/>
                <w:szCs w:val="20"/>
                <w:color w:val="auto"/>
              </w:rPr>
            </w:pPr>
            <w:r>
              <w:rPr>
                <w:rFonts w:ascii="Arial" w:cs="Arial" w:eastAsia="Arial" w:hAnsi="Arial"/>
                <w:sz w:val="14"/>
                <w:szCs w:val="14"/>
                <w:b w:val="1"/>
                <w:bCs w:val="1"/>
                <w:color w:val="FFFFFF"/>
              </w:rPr>
              <w:t>Name</w:t>
            </w:r>
          </w:p>
        </w:tc>
        <w:tc>
          <w:tcPr>
            <w:tcW w:w="1060" w:type="dxa"/>
            <w:vAlign w:val="bottom"/>
            <w:tcBorders>
              <w:right w:val="single" w:sz="8" w:color="007CBA"/>
            </w:tcBorders>
            <w:shd w:val="clear" w:color="auto" w:fill="007CBA"/>
          </w:tcPr>
          <w:p>
            <w:pPr>
              <w:jc w:val="center"/>
              <w:ind w:right="49"/>
              <w:spacing w:after="0" w:line="159" w:lineRule="exact"/>
              <w:rPr>
                <w:sz w:val="20"/>
                <w:szCs w:val="20"/>
                <w:color w:val="auto"/>
              </w:rPr>
            </w:pPr>
            <w:r>
              <w:rPr>
                <w:rFonts w:ascii="Arial" w:cs="Arial" w:eastAsia="Arial" w:hAnsi="Arial"/>
                <w:sz w:val="14"/>
                <w:szCs w:val="14"/>
                <w:b w:val="1"/>
                <w:bCs w:val="1"/>
                <w:color w:val="FFFFFF"/>
                <w:w w:val="95"/>
              </w:rPr>
              <w:t>Exercisable</w:t>
            </w:r>
          </w:p>
        </w:tc>
        <w:tc>
          <w:tcPr>
            <w:tcW w:w="1200" w:type="dxa"/>
            <w:vAlign w:val="bottom"/>
            <w:tcBorders>
              <w:right w:val="single" w:sz="8" w:color="007CBA"/>
            </w:tcBorders>
            <w:shd w:val="clear" w:color="auto" w:fill="007CBA"/>
          </w:tcPr>
          <w:p>
            <w:pPr>
              <w:jc w:val="center"/>
              <w:ind w:right="55"/>
              <w:spacing w:after="0" w:line="159" w:lineRule="exact"/>
              <w:rPr>
                <w:sz w:val="20"/>
                <w:szCs w:val="20"/>
                <w:color w:val="auto"/>
              </w:rPr>
            </w:pPr>
            <w:r>
              <w:rPr>
                <w:rFonts w:ascii="Arial" w:cs="Arial" w:eastAsia="Arial" w:hAnsi="Arial"/>
                <w:sz w:val="14"/>
                <w:szCs w:val="14"/>
                <w:b w:val="1"/>
                <w:bCs w:val="1"/>
                <w:color w:val="FFFFFF"/>
                <w:w w:val="96"/>
              </w:rPr>
              <w:t>Unexercisable</w:t>
            </w:r>
          </w:p>
        </w:tc>
        <w:tc>
          <w:tcPr>
            <w:tcW w:w="1060" w:type="dxa"/>
            <w:vAlign w:val="bottom"/>
            <w:tcBorders>
              <w:right w:val="single" w:sz="8" w:color="007CBA"/>
            </w:tcBorders>
            <w:shd w:val="clear" w:color="auto" w:fill="007CBA"/>
          </w:tcPr>
          <w:p>
            <w:pPr>
              <w:jc w:val="center"/>
              <w:ind w:right="32"/>
              <w:spacing w:after="0" w:line="159" w:lineRule="exact"/>
              <w:rPr>
                <w:sz w:val="20"/>
                <w:szCs w:val="20"/>
                <w:color w:val="auto"/>
              </w:rPr>
            </w:pPr>
            <w:r>
              <w:rPr>
                <w:rFonts w:ascii="Arial" w:cs="Arial" w:eastAsia="Arial" w:hAnsi="Arial"/>
                <w:sz w:val="14"/>
                <w:szCs w:val="14"/>
                <w:b w:val="1"/>
                <w:bCs w:val="1"/>
                <w:color w:val="FFFFFF"/>
                <w:w w:val="93"/>
              </w:rPr>
              <w:t>(#)</w:t>
            </w:r>
          </w:p>
        </w:tc>
        <w:tc>
          <w:tcPr>
            <w:tcW w:w="820" w:type="dxa"/>
            <w:vAlign w:val="bottom"/>
            <w:tcBorders>
              <w:right w:val="single" w:sz="8" w:color="007CBA"/>
            </w:tcBorders>
            <w:shd w:val="clear" w:color="auto" w:fill="007CBA"/>
          </w:tcPr>
          <w:p>
            <w:pPr>
              <w:jc w:val="center"/>
              <w:ind w:right="29"/>
              <w:spacing w:after="0" w:line="159" w:lineRule="exact"/>
              <w:rPr>
                <w:sz w:val="20"/>
                <w:szCs w:val="20"/>
                <w:color w:val="auto"/>
              </w:rPr>
            </w:pPr>
            <w:r>
              <w:rPr>
                <w:rFonts w:ascii="Arial" w:cs="Arial" w:eastAsia="Arial" w:hAnsi="Arial"/>
                <w:sz w:val="14"/>
                <w:szCs w:val="14"/>
                <w:b w:val="1"/>
                <w:bCs w:val="1"/>
                <w:color w:val="FFFFFF"/>
                <w:w w:val="93"/>
              </w:rPr>
              <w:t>($)</w:t>
            </w:r>
          </w:p>
        </w:tc>
        <w:tc>
          <w:tcPr>
            <w:tcW w:w="940" w:type="dxa"/>
            <w:vAlign w:val="bottom"/>
            <w:tcBorders>
              <w:right w:val="single" w:sz="8" w:color="007CBA"/>
            </w:tcBorders>
            <w:shd w:val="clear" w:color="auto" w:fill="007CBA"/>
          </w:tcPr>
          <w:p>
            <w:pPr>
              <w:jc w:val="center"/>
              <w:ind w:right="29"/>
              <w:spacing w:after="0" w:line="159" w:lineRule="exact"/>
              <w:rPr>
                <w:sz w:val="20"/>
                <w:szCs w:val="20"/>
                <w:color w:val="auto"/>
              </w:rPr>
            </w:pPr>
            <w:r>
              <w:rPr>
                <w:rFonts w:ascii="Arial" w:cs="Arial" w:eastAsia="Arial" w:hAnsi="Arial"/>
                <w:sz w:val="14"/>
                <w:szCs w:val="14"/>
                <w:b w:val="1"/>
                <w:bCs w:val="1"/>
                <w:color w:val="FFFFFF"/>
                <w:w w:val="92"/>
              </w:rPr>
              <w:t>Date</w:t>
            </w:r>
          </w:p>
        </w:tc>
        <w:tc>
          <w:tcPr>
            <w:tcW w:w="1060" w:type="dxa"/>
            <w:vAlign w:val="bottom"/>
            <w:tcBorders>
              <w:right w:val="single" w:sz="8" w:color="007CBA"/>
            </w:tcBorders>
            <w:shd w:val="clear" w:color="auto" w:fill="007CBA"/>
          </w:tcPr>
          <w:p>
            <w:pPr>
              <w:jc w:val="center"/>
              <w:ind w:right="100"/>
              <w:spacing w:after="0" w:line="159" w:lineRule="exact"/>
              <w:rPr>
                <w:sz w:val="20"/>
                <w:szCs w:val="20"/>
                <w:color w:val="auto"/>
              </w:rPr>
            </w:pPr>
            <w:r>
              <w:rPr>
                <w:rFonts w:ascii="Arial" w:cs="Arial" w:eastAsia="Arial" w:hAnsi="Arial"/>
                <w:sz w:val="14"/>
                <w:szCs w:val="14"/>
                <w:b w:val="1"/>
                <w:bCs w:val="1"/>
                <w:color w:val="FFFFFF"/>
              </w:rPr>
              <w:t>(#)</w:t>
            </w:r>
          </w:p>
        </w:tc>
        <w:tc>
          <w:tcPr>
            <w:tcW w:w="1020" w:type="dxa"/>
            <w:vAlign w:val="bottom"/>
            <w:tcBorders>
              <w:right w:val="single" w:sz="8" w:color="007CBA"/>
            </w:tcBorders>
            <w:shd w:val="clear" w:color="auto" w:fill="007CBA"/>
          </w:tcPr>
          <w:p>
            <w:pPr>
              <w:jc w:val="center"/>
              <w:ind w:right="29"/>
              <w:spacing w:after="0" w:line="159" w:lineRule="exact"/>
              <w:rPr>
                <w:sz w:val="20"/>
                <w:szCs w:val="20"/>
                <w:color w:val="auto"/>
              </w:rPr>
            </w:pPr>
            <w:r>
              <w:rPr>
                <w:rFonts w:ascii="Arial" w:cs="Arial" w:eastAsia="Arial" w:hAnsi="Arial"/>
                <w:sz w:val="14"/>
                <w:szCs w:val="14"/>
                <w:b w:val="1"/>
                <w:bCs w:val="1"/>
                <w:color w:val="FFFFFF"/>
                <w:w w:val="93"/>
              </w:rPr>
              <w:t>($)</w:t>
            </w:r>
          </w:p>
        </w:tc>
        <w:tc>
          <w:tcPr>
            <w:tcW w:w="1240" w:type="dxa"/>
            <w:vAlign w:val="bottom"/>
            <w:tcBorders>
              <w:right w:val="single" w:sz="8" w:color="007CBA"/>
            </w:tcBorders>
            <w:shd w:val="clear" w:color="auto" w:fill="007CBA"/>
          </w:tcPr>
          <w:p>
            <w:pPr>
              <w:jc w:val="center"/>
              <w:ind w:right="98"/>
              <w:spacing w:after="0" w:line="159" w:lineRule="exact"/>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007CBA"/>
          </w:tcPr>
          <w:p>
            <w:pPr>
              <w:jc w:val="center"/>
              <w:ind w:right="10"/>
              <w:spacing w:after="0" w:line="159" w:lineRule="exact"/>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65"/>
        </w:trPr>
        <w:tc>
          <w:tcPr>
            <w:tcW w:w="21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(a)</w:t>
            </w:r>
          </w:p>
        </w:tc>
        <w:tc>
          <w:tcPr>
            <w:tcW w:w="1060" w:type="dxa"/>
            <w:vAlign w:val="bottom"/>
            <w:tcBorders>
              <w:right w:val="single" w:sz="8" w:color="007CBA"/>
            </w:tcBorders>
            <w:shd w:val="clear" w:color="auto" w:fill="007CBA"/>
          </w:tcPr>
          <w:p>
            <w:pPr>
              <w:jc w:val="center"/>
              <w:ind w:right="9"/>
              <w:spacing w:after="0"/>
              <w:rPr>
                <w:sz w:val="20"/>
                <w:szCs w:val="20"/>
                <w:color w:val="auto"/>
              </w:rPr>
            </w:pPr>
            <w:r>
              <w:rPr>
                <w:rFonts w:ascii="Arial" w:cs="Arial" w:eastAsia="Arial" w:hAnsi="Arial"/>
                <w:sz w:val="14"/>
                <w:szCs w:val="14"/>
                <w:b w:val="1"/>
                <w:bCs w:val="1"/>
                <w:color w:val="FFFFFF"/>
              </w:rPr>
              <w:t>(b)</w:t>
            </w:r>
          </w:p>
        </w:tc>
        <w:tc>
          <w:tcPr>
            <w:tcW w:w="1200" w:type="dxa"/>
            <w:vAlign w:val="bottom"/>
            <w:tcBorders>
              <w:right w:val="single" w:sz="8" w:color="007CBA"/>
            </w:tcBorders>
            <w:shd w:val="clear" w:color="auto" w:fill="007CBA"/>
          </w:tcPr>
          <w:p>
            <w:pPr>
              <w:jc w:val="center"/>
              <w:ind w:right="55"/>
              <w:spacing w:after="0"/>
              <w:rPr>
                <w:sz w:val="20"/>
                <w:szCs w:val="20"/>
                <w:color w:val="auto"/>
              </w:rPr>
            </w:pPr>
            <w:r>
              <w:rPr>
                <w:rFonts w:ascii="Arial" w:cs="Arial" w:eastAsia="Arial" w:hAnsi="Arial"/>
                <w:sz w:val="14"/>
                <w:szCs w:val="14"/>
                <w:b w:val="1"/>
                <w:bCs w:val="1"/>
                <w:color w:val="FFFFFF"/>
                <w:w w:val="93"/>
              </w:rPr>
              <w:t>(c)</w:t>
            </w:r>
          </w:p>
        </w:tc>
        <w:tc>
          <w:tcPr>
            <w:tcW w:w="1060" w:type="dxa"/>
            <w:vAlign w:val="bottom"/>
            <w:tcBorders>
              <w:right w:val="single" w:sz="8" w:color="007CBA"/>
            </w:tcBorders>
            <w:shd w:val="clear" w:color="auto" w:fill="007CBA"/>
          </w:tcPr>
          <w:p>
            <w:pPr>
              <w:jc w:val="center"/>
              <w:ind w:right="32"/>
              <w:spacing w:after="0"/>
              <w:rPr>
                <w:sz w:val="20"/>
                <w:szCs w:val="20"/>
                <w:color w:val="auto"/>
              </w:rPr>
            </w:pPr>
            <w:r>
              <w:rPr>
                <w:rFonts w:ascii="Arial" w:cs="Arial" w:eastAsia="Arial" w:hAnsi="Arial"/>
                <w:sz w:val="14"/>
                <w:szCs w:val="14"/>
                <w:b w:val="1"/>
                <w:bCs w:val="1"/>
                <w:color w:val="FFFFFF"/>
                <w:w w:val="89"/>
              </w:rPr>
              <w:t>(d)</w:t>
            </w:r>
          </w:p>
        </w:tc>
        <w:tc>
          <w:tcPr>
            <w:tcW w:w="820" w:type="dxa"/>
            <w:vAlign w:val="bottom"/>
            <w:tcBorders>
              <w:right w:val="single" w:sz="8" w:color="007CBA"/>
            </w:tcBorders>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w w:val="93"/>
              </w:rPr>
              <w:t>(e)</w:t>
            </w:r>
          </w:p>
        </w:tc>
        <w:tc>
          <w:tcPr>
            <w:tcW w:w="940" w:type="dxa"/>
            <w:vAlign w:val="bottom"/>
            <w:tcBorders>
              <w:right w:val="single" w:sz="8" w:color="007CBA"/>
            </w:tcBorders>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w w:val="85"/>
              </w:rPr>
              <w:t>(f)</w:t>
            </w:r>
          </w:p>
        </w:tc>
        <w:tc>
          <w:tcPr>
            <w:tcW w:w="1060" w:type="dxa"/>
            <w:vAlign w:val="bottom"/>
            <w:tcBorders>
              <w:right w:val="single" w:sz="8" w:color="007CBA"/>
            </w:tcBorders>
            <w:shd w:val="clear" w:color="auto" w:fill="007CBA"/>
          </w:tcPr>
          <w:p>
            <w:pPr>
              <w:jc w:val="center"/>
              <w:ind w:right="100"/>
              <w:spacing w:after="0"/>
              <w:rPr>
                <w:sz w:val="20"/>
                <w:szCs w:val="20"/>
                <w:color w:val="auto"/>
              </w:rPr>
            </w:pPr>
            <w:r>
              <w:rPr>
                <w:rFonts w:ascii="Arial" w:cs="Arial" w:eastAsia="Arial" w:hAnsi="Arial"/>
                <w:sz w:val="14"/>
                <w:szCs w:val="14"/>
                <w:b w:val="1"/>
                <w:bCs w:val="1"/>
                <w:color w:val="FFFFFF"/>
              </w:rPr>
              <w:t>(g)</w:t>
            </w:r>
          </w:p>
        </w:tc>
        <w:tc>
          <w:tcPr>
            <w:tcW w:w="1020" w:type="dxa"/>
            <w:vAlign w:val="bottom"/>
            <w:tcBorders>
              <w:right w:val="single" w:sz="8" w:color="007CBA"/>
            </w:tcBorders>
            <w:shd w:val="clear" w:color="auto" w:fill="007CBA"/>
          </w:tcPr>
          <w:p>
            <w:pPr>
              <w:jc w:val="center"/>
              <w:ind w:right="29"/>
              <w:spacing w:after="0"/>
              <w:rPr>
                <w:sz w:val="20"/>
                <w:szCs w:val="20"/>
                <w:color w:val="auto"/>
              </w:rPr>
            </w:pPr>
            <w:r>
              <w:rPr>
                <w:rFonts w:ascii="Arial" w:cs="Arial" w:eastAsia="Arial" w:hAnsi="Arial"/>
                <w:sz w:val="14"/>
                <w:szCs w:val="14"/>
                <w:b w:val="1"/>
                <w:bCs w:val="1"/>
                <w:color w:val="FFFFFF"/>
                <w:w w:val="89"/>
              </w:rPr>
              <w:t>(h)</w:t>
            </w:r>
          </w:p>
        </w:tc>
        <w:tc>
          <w:tcPr>
            <w:tcW w:w="1240" w:type="dxa"/>
            <w:vAlign w:val="bottom"/>
            <w:tcBorders>
              <w:right w:val="single" w:sz="8" w:color="007CBA"/>
            </w:tcBorders>
            <w:shd w:val="clear" w:color="auto" w:fill="007CBA"/>
          </w:tcPr>
          <w:p>
            <w:pPr>
              <w:jc w:val="center"/>
              <w:ind w:right="98"/>
              <w:spacing w:after="0"/>
              <w:rPr>
                <w:sz w:val="20"/>
                <w:szCs w:val="20"/>
                <w:color w:val="auto"/>
              </w:rPr>
            </w:pPr>
            <w:r>
              <w:rPr>
                <w:rFonts w:ascii="Arial" w:cs="Arial" w:eastAsia="Arial" w:hAnsi="Arial"/>
                <w:sz w:val="14"/>
                <w:szCs w:val="14"/>
                <w:b w:val="1"/>
                <w:bCs w:val="1"/>
                <w:color w:val="FFFFFF"/>
                <w:w w:val="90"/>
              </w:rPr>
              <w:t>(i)</w:t>
            </w:r>
          </w:p>
        </w:tc>
        <w:tc>
          <w:tcPr>
            <w:tcW w:w="920" w:type="dxa"/>
            <w:vAlign w:val="bottom"/>
            <w:shd w:val="clear" w:color="auto" w:fill="007CBA"/>
          </w:tcPr>
          <w:p>
            <w:pPr>
              <w:jc w:val="center"/>
              <w:ind w:right="30"/>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159"/>
        </w:trPr>
        <w:tc>
          <w:tcPr>
            <w:tcW w:w="2100" w:type="dxa"/>
            <w:vAlign w:val="bottom"/>
            <w:tcBorders>
              <w:right w:val="single" w:sz="8" w:color="007CBA"/>
            </w:tcBorders>
          </w:tcPr>
          <w:p>
            <w:pPr>
              <w:ind w:left="80"/>
              <w:spacing w:after="0" w:line="159" w:lineRule="exact"/>
              <w:rPr>
                <w:sz w:val="20"/>
                <w:szCs w:val="20"/>
                <w:color w:val="auto"/>
              </w:rPr>
            </w:pPr>
            <w:r>
              <w:rPr>
                <w:rFonts w:ascii="Arial" w:cs="Arial" w:eastAsia="Arial" w:hAnsi="Arial"/>
                <w:sz w:val="14"/>
                <w:szCs w:val="14"/>
                <w:b w:val="1"/>
                <w:bCs w:val="1"/>
                <w:color w:val="auto"/>
              </w:rPr>
              <w:t>C. Howard Nye</w:t>
            </w:r>
          </w:p>
        </w:tc>
        <w:tc>
          <w:tcPr>
            <w:tcW w:w="1060" w:type="dxa"/>
            <w:vAlign w:val="bottom"/>
            <w:tcBorders>
              <w:right w:val="single" w:sz="8" w:color="007CBA"/>
            </w:tcBorders>
          </w:tcPr>
          <w:p>
            <w:pPr>
              <w:jc w:val="right"/>
              <w:ind w:right="89"/>
              <w:spacing w:after="0" w:line="159" w:lineRule="exact"/>
              <w:rPr>
                <w:sz w:val="20"/>
                <w:szCs w:val="20"/>
                <w:color w:val="auto"/>
              </w:rPr>
            </w:pPr>
            <w:r>
              <w:rPr>
                <w:rFonts w:ascii="Arial" w:cs="Arial" w:eastAsia="Arial" w:hAnsi="Arial"/>
                <w:sz w:val="14"/>
                <w:szCs w:val="14"/>
                <w:color w:val="auto"/>
              </w:rPr>
              <w:t>15,039</w:t>
            </w:r>
          </w:p>
        </w:tc>
        <w:tc>
          <w:tcPr>
            <w:tcW w:w="1200" w:type="dxa"/>
            <w:vAlign w:val="bottom"/>
            <w:tcBorders>
              <w:right w:val="single" w:sz="8" w:color="007CBA"/>
            </w:tcBorders>
          </w:tcPr>
          <w:p>
            <w:pPr>
              <w:jc w:val="right"/>
              <w:ind w:right="135"/>
              <w:spacing w:after="0" w:line="159" w:lineRule="exact"/>
              <w:rPr>
                <w:sz w:val="20"/>
                <w:szCs w:val="20"/>
                <w:color w:val="auto"/>
              </w:rPr>
            </w:pPr>
            <w:r>
              <w:rPr>
                <w:rFonts w:ascii="Arial" w:cs="Arial" w:eastAsia="Arial" w:hAnsi="Arial"/>
                <w:sz w:val="14"/>
                <w:szCs w:val="14"/>
                <w:color w:val="auto"/>
              </w:rPr>
              <w:t>0</w:t>
            </w:r>
          </w:p>
        </w:tc>
        <w:tc>
          <w:tcPr>
            <w:tcW w:w="1060" w:type="dxa"/>
            <w:vAlign w:val="bottom"/>
            <w:tcBorders>
              <w:right w:val="single" w:sz="8" w:color="007CBA"/>
            </w:tcBorders>
          </w:tcPr>
          <w:p>
            <w:pPr>
              <w:spacing w:after="0"/>
              <w:rPr>
                <w:sz w:val="13"/>
                <w:szCs w:val="13"/>
                <w:color w:val="auto"/>
              </w:rPr>
            </w:pPr>
          </w:p>
        </w:tc>
        <w:tc>
          <w:tcPr>
            <w:tcW w:w="82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79.79</w:t>
            </w:r>
          </w:p>
        </w:tc>
        <w:tc>
          <w:tcPr>
            <w:tcW w:w="94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5/27/2017</w:t>
            </w:r>
          </w:p>
        </w:tc>
        <w:tc>
          <w:tcPr>
            <w:tcW w:w="1060" w:type="dxa"/>
            <w:vAlign w:val="bottom"/>
            <w:tcBorders>
              <w:right w:val="single" w:sz="8" w:color="007CBA"/>
            </w:tcBorders>
          </w:tcPr>
          <w:p>
            <w:pPr>
              <w:jc w:val="right"/>
              <w:ind w:right="100"/>
              <w:spacing w:after="0" w:line="159" w:lineRule="exact"/>
              <w:rPr>
                <w:sz w:val="20"/>
                <w:szCs w:val="20"/>
                <w:color w:val="auto"/>
              </w:rPr>
            </w:pPr>
            <w:r>
              <w:rPr>
                <w:rFonts w:ascii="Arial" w:cs="Arial" w:eastAsia="Arial" w:hAnsi="Arial"/>
                <w:sz w:val="11"/>
                <w:szCs w:val="11"/>
                <w:color w:val="auto"/>
              </w:rPr>
              <w:t>6,792</w:t>
            </w:r>
            <w:r>
              <w:rPr>
                <w:rFonts w:ascii="Arial" w:cs="Arial" w:eastAsia="Arial" w:hAnsi="Arial"/>
                <w:sz w:val="18"/>
                <w:szCs w:val="18"/>
                <w:color w:val="auto"/>
                <w:vertAlign w:val="superscript"/>
              </w:rPr>
              <w:t>5</w:t>
            </w:r>
          </w:p>
        </w:tc>
        <w:tc>
          <w:tcPr>
            <w:tcW w:w="102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1,504,632</w:t>
            </w:r>
          </w:p>
        </w:tc>
        <w:tc>
          <w:tcPr>
            <w:tcW w:w="1240" w:type="dxa"/>
            <w:vAlign w:val="bottom"/>
            <w:tcBorders>
              <w:right w:val="single" w:sz="8" w:color="007CBA"/>
            </w:tcBorders>
          </w:tcPr>
          <w:p>
            <w:pPr>
              <w:jc w:val="right"/>
              <w:ind w:right="38"/>
              <w:spacing w:after="0" w:line="159" w:lineRule="exact"/>
              <w:rPr>
                <w:sz w:val="20"/>
                <w:szCs w:val="20"/>
                <w:color w:val="auto"/>
              </w:rPr>
            </w:pPr>
            <w:r>
              <w:rPr>
                <w:rFonts w:ascii="Arial" w:cs="Arial" w:eastAsia="Arial" w:hAnsi="Arial"/>
                <w:sz w:val="11"/>
                <w:szCs w:val="11"/>
                <w:color w:val="auto"/>
              </w:rPr>
              <w:t>5598</w:t>
            </w:r>
            <w:r>
              <w:rPr>
                <w:rFonts w:ascii="Arial" w:cs="Arial" w:eastAsia="Arial" w:hAnsi="Arial"/>
                <w:sz w:val="18"/>
                <w:szCs w:val="18"/>
                <w:color w:val="auto"/>
                <w:vertAlign w:val="superscript"/>
              </w:rPr>
              <w:t>11</w:t>
            </w:r>
          </w:p>
        </w:tc>
        <w:tc>
          <w:tcPr>
            <w:tcW w:w="920" w:type="dxa"/>
            <w:vAlign w:val="bottom"/>
          </w:tcPr>
          <w:p>
            <w:pPr>
              <w:jc w:val="right"/>
              <w:ind w:right="90"/>
              <w:spacing w:after="0" w:line="159" w:lineRule="exact"/>
              <w:rPr>
                <w:sz w:val="20"/>
                <w:szCs w:val="20"/>
                <w:color w:val="auto"/>
              </w:rPr>
            </w:pPr>
            <w:r>
              <w:rPr>
                <w:rFonts w:ascii="Arial" w:cs="Arial" w:eastAsia="Arial" w:hAnsi="Arial"/>
                <w:sz w:val="14"/>
                <w:szCs w:val="14"/>
                <w:color w:val="auto"/>
              </w:rPr>
              <w:t>1,240,125</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11,196</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2</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95.27</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5/27/2018</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22,070</w:t>
            </w:r>
            <w:r>
              <w:rPr>
                <w:rFonts w:ascii="Arial" w:cs="Arial" w:eastAsia="Arial" w:hAnsi="Arial"/>
                <w:sz w:val="18"/>
                <w:szCs w:val="18"/>
                <w:color w:val="auto"/>
                <w:vertAlign w:val="superscript"/>
              </w:rPr>
              <w:t>6</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4,889,167</w:t>
            </w:r>
          </w:p>
        </w:tc>
        <w:tc>
          <w:tcPr>
            <w:tcW w:w="1240" w:type="dxa"/>
            <w:vAlign w:val="bottom"/>
            <w:tcBorders>
              <w:right w:val="single" w:sz="8" w:color="007CBA"/>
            </w:tcBorders>
          </w:tcPr>
          <w:p>
            <w:pPr>
              <w:jc w:val="right"/>
              <w:ind w:right="38"/>
              <w:spacing w:after="0" w:line="162" w:lineRule="exact"/>
              <w:rPr>
                <w:sz w:val="20"/>
                <w:szCs w:val="20"/>
                <w:color w:val="auto"/>
              </w:rPr>
            </w:pPr>
            <w:r>
              <w:rPr>
                <w:rFonts w:ascii="Arial" w:cs="Arial" w:eastAsia="Arial" w:hAnsi="Arial"/>
                <w:sz w:val="11"/>
                <w:szCs w:val="11"/>
                <w:color w:val="auto"/>
              </w:rPr>
              <w:t>7224</w:t>
            </w:r>
            <w:r>
              <w:rPr>
                <w:rFonts w:ascii="Arial" w:cs="Arial" w:eastAsia="Arial" w:hAnsi="Arial"/>
                <w:sz w:val="18"/>
                <w:szCs w:val="18"/>
                <w:color w:val="auto"/>
                <w:vertAlign w:val="superscript"/>
              </w:rPr>
              <w:t>12</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1,600,333</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12,609</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3</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86.90</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5/12/2019</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6,340</w:t>
            </w:r>
            <w:r>
              <w:rPr>
                <w:rFonts w:ascii="Arial" w:cs="Arial" w:eastAsia="Arial" w:hAnsi="Arial"/>
                <w:sz w:val="18"/>
                <w:szCs w:val="18"/>
                <w:color w:val="auto"/>
                <w:vertAlign w:val="superscript"/>
              </w:rPr>
              <w:t>7</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1,404,500</w:t>
            </w:r>
          </w:p>
        </w:tc>
        <w:tc>
          <w:tcPr>
            <w:tcW w:w="1240" w:type="dxa"/>
            <w:vAlign w:val="bottom"/>
            <w:tcBorders>
              <w:right w:val="single" w:sz="8" w:color="007CBA"/>
            </w:tcBorders>
          </w:tcPr>
          <w:p>
            <w:pPr>
              <w:jc w:val="right"/>
              <w:ind w:right="38"/>
              <w:spacing w:after="0" w:line="162" w:lineRule="exact"/>
              <w:rPr>
                <w:sz w:val="20"/>
                <w:szCs w:val="20"/>
                <w:color w:val="auto"/>
              </w:rPr>
            </w:pPr>
            <w:r>
              <w:rPr>
                <w:rFonts w:ascii="Arial" w:cs="Arial" w:eastAsia="Arial" w:hAnsi="Arial"/>
                <w:sz w:val="11"/>
                <w:szCs w:val="11"/>
                <w:color w:val="auto"/>
              </w:rPr>
              <w:t>42,678</w:t>
            </w:r>
            <w:r>
              <w:rPr>
                <w:rFonts w:ascii="Arial" w:cs="Arial" w:eastAsia="Arial" w:hAnsi="Arial"/>
                <w:sz w:val="18"/>
                <w:szCs w:val="18"/>
                <w:color w:val="auto"/>
                <w:vertAlign w:val="superscript"/>
              </w:rPr>
              <w:t>13</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9,454,457</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16,317</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4</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69.12</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5/24/2020</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10,670</w:t>
            </w:r>
            <w:r>
              <w:rPr>
                <w:rFonts w:ascii="Arial" w:cs="Arial" w:eastAsia="Arial" w:hAnsi="Arial"/>
                <w:sz w:val="18"/>
                <w:szCs w:val="18"/>
                <w:color w:val="auto"/>
                <w:vertAlign w:val="superscript"/>
              </w:rPr>
              <w:t>8</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2,363,725</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10,857</w:t>
            </w:r>
          </w:p>
        </w:tc>
        <w:tc>
          <w:tcPr>
            <w:tcW w:w="1200" w:type="dxa"/>
            <w:vAlign w:val="bottom"/>
            <w:tcBorders>
              <w:right w:val="single" w:sz="8" w:color="007CBA"/>
            </w:tcBorders>
          </w:tcPr>
          <w:p>
            <w:pPr>
              <w:jc w:val="right"/>
              <w:ind w:right="135"/>
              <w:spacing w:after="0"/>
              <w:rPr>
                <w:sz w:val="20"/>
                <w:szCs w:val="20"/>
                <w:color w:val="auto"/>
              </w:rPr>
            </w:pPr>
            <w:r>
              <w:rPr>
                <w:rFonts w:ascii="Arial" w:cs="Arial" w:eastAsia="Arial" w:hAnsi="Arial"/>
                <w:sz w:val="14"/>
                <w:szCs w:val="14"/>
                <w:color w:val="auto"/>
              </w:rPr>
              <w:t>3,618</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108.24</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5/23/2023</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6,335</w:t>
            </w:r>
            <w:r>
              <w:rPr>
                <w:rFonts w:ascii="Arial" w:cs="Arial" w:eastAsia="Arial" w:hAnsi="Arial"/>
                <w:sz w:val="18"/>
                <w:szCs w:val="18"/>
                <w:color w:val="auto"/>
                <w:vertAlign w:val="superscript"/>
              </w:rPr>
              <w:t>9</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1,403,393</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tcPr>
          <w:p>
            <w:pPr>
              <w:jc w:val="right"/>
              <w:ind w:right="135"/>
              <w:spacing w:after="0"/>
              <w:rPr>
                <w:sz w:val="20"/>
                <w:szCs w:val="20"/>
                <w:color w:val="auto"/>
              </w:rPr>
            </w:pPr>
            <w:r>
              <w:rPr>
                <w:rFonts w:ascii="Arial" w:cs="Arial" w:eastAsia="Arial" w:hAnsi="Arial"/>
                <w:sz w:val="14"/>
                <w:szCs w:val="14"/>
                <w:color w:val="auto"/>
              </w:rPr>
              <w:t>6,792</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121.00</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5/22/2024</w:t>
            </w:r>
          </w:p>
        </w:tc>
        <w:tc>
          <w:tcPr>
            <w:tcW w:w="1060" w:type="dxa"/>
            <w:vAlign w:val="bottom"/>
            <w:tcBorders>
              <w:right w:val="single" w:sz="8" w:color="007CBA"/>
            </w:tcBorders>
          </w:tcPr>
          <w:p>
            <w:pPr>
              <w:jc w:val="right"/>
              <w:ind w:right="40"/>
              <w:spacing w:after="0" w:line="170" w:lineRule="exact"/>
              <w:rPr>
                <w:sz w:val="20"/>
                <w:szCs w:val="20"/>
                <w:color w:val="auto"/>
              </w:rPr>
            </w:pPr>
            <w:r>
              <w:rPr>
                <w:rFonts w:ascii="Arial" w:cs="Arial" w:eastAsia="Arial" w:hAnsi="Arial"/>
                <w:sz w:val="12"/>
                <w:szCs w:val="12"/>
                <w:color w:val="auto"/>
              </w:rPr>
              <w:t>4,666</w:t>
            </w:r>
            <w:r>
              <w:rPr>
                <w:rFonts w:ascii="Arial" w:cs="Arial" w:eastAsia="Arial" w:hAnsi="Arial"/>
                <w:sz w:val="19"/>
                <w:szCs w:val="19"/>
                <w:color w:val="auto"/>
                <w:vertAlign w:val="superscript"/>
              </w:rPr>
              <w:t>10</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1,033,659</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tcPr>
          <w:p>
            <w:pPr>
              <w:jc w:val="right"/>
              <w:ind w:right="135"/>
              <w:spacing w:after="0"/>
              <w:rPr>
                <w:sz w:val="20"/>
                <w:szCs w:val="20"/>
                <w:color w:val="auto"/>
              </w:rPr>
            </w:pPr>
            <w:r>
              <w:rPr>
                <w:rFonts w:ascii="Arial" w:cs="Arial" w:eastAsia="Arial" w:hAnsi="Arial"/>
                <w:sz w:val="14"/>
                <w:szCs w:val="14"/>
                <w:color w:val="auto"/>
              </w:rPr>
              <w:t>9,510</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154.58</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5/21/2025</w:t>
            </w:r>
          </w:p>
        </w:tc>
        <w:tc>
          <w:tcPr>
            <w:tcW w:w="1060" w:type="dxa"/>
            <w:vAlign w:val="bottom"/>
            <w:tcBorders>
              <w:right w:val="single" w:sz="8" w:color="007CBA"/>
            </w:tcBorders>
          </w:tcPr>
          <w:p>
            <w:pPr>
              <w:spacing w:after="0"/>
              <w:rPr>
                <w:sz w:val="14"/>
                <w:szCs w:val="14"/>
                <w:color w:val="auto"/>
              </w:rPr>
            </w:pPr>
          </w:p>
        </w:tc>
        <w:tc>
          <w:tcPr>
            <w:tcW w:w="1020" w:type="dxa"/>
            <w:vAlign w:val="bottom"/>
            <w:tcBorders>
              <w:right w:val="single" w:sz="8" w:color="007CBA"/>
            </w:tcBorders>
          </w:tcPr>
          <w:p>
            <w:pPr>
              <w:spacing w:after="0"/>
              <w:rPr>
                <w:sz w:val="14"/>
                <w:szCs w:val="14"/>
                <w:color w:val="auto"/>
              </w:rPr>
            </w:pP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00" w:type="dxa"/>
            <w:vAlign w:val="bottom"/>
            <w:tcBorders>
              <w:right w:val="single" w:sz="8" w:color="007CBA"/>
            </w:tcBorders>
            <w:shd w:val="clear" w:color="auto" w:fill="E5F1F8"/>
          </w:tcPr>
          <w:p>
            <w:pPr>
              <w:ind w:left="80"/>
              <w:spacing w:after="0" w:line="159" w:lineRule="exact"/>
              <w:rPr>
                <w:sz w:val="20"/>
                <w:szCs w:val="20"/>
                <w:color w:val="auto"/>
              </w:rPr>
            </w:pPr>
            <w:r>
              <w:rPr>
                <w:rFonts w:ascii="Arial" w:cs="Arial" w:eastAsia="Arial" w:hAnsi="Arial"/>
                <w:sz w:val="14"/>
                <w:szCs w:val="14"/>
                <w:b w:val="1"/>
                <w:bCs w:val="1"/>
                <w:color w:val="auto"/>
              </w:rPr>
              <w:t>Anne H. Lloyd</w:t>
            </w:r>
          </w:p>
        </w:tc>
        <w:tc>
          <w:tcPr>
            <w:tcW w:w="1060" w:type="dxa"/>
            <w:vAlign w:val="bottom"/>
            <w:tcBorders>
              <w:right w:val="single" w:sz="8" w:color="007CBA"/>
            </w:tcBorders>
            <w:shd w:val="clear" w:color="auto" w:fill="E5F1F8"/>
          </w:tcPr>
          <w:p>
            <w:pPr>
              <w:jc w:val="right"/>
              <w:ind w:right="89"/>
              <w:spacing w:after="0" w:line="159" w:lineRule="exact"/>
              <w:rPr>
                <w:sz w:val="20"/>
                <w:szCs w:val="20"/>
                <w:color w:val="auto"/>
              </w:rPr>
            </w:pPr>
            <w:r>
              <w:rPr>
                <w:rFonts w:ascii="Arial" w:cs="Arial" w:eastAsia="Arial" w:hAnsi="Arial"/>
                <w:sz w:val="14"/>
                <w:szCs w:val="14"/>
                <w:color w:val="auto"/>
              </w:rPr>
              <w:t>9,060</w:t>
            </w:r>
          </w:p>
        </w:tc>
        <w:tc>
          <w:tcPr>
            <w:tcW w:w="1200" w:type="dxa"/>
            <w:vAlign w:val="bottom"/>
            <w:tcBorders>
              <w:right w:val="single" w:sz="8" w:color="007CBA"/>
            </w:tcBorders>
            <w:shd w:val="clear" w:color="auto" w:fill="E5F1F8"/>
          </w:tcPr>
          <w:p>
            <w:pPr>
              <w:jc w:val="right"/>
              <w:ind w:right="135"/>
              <w:spacing w:after="0" w:line="159" w:lineRule="exact"/>
              <w:rPr>
                <w:sz w:val="20"/>
                <w:szCs w:val="20"/>
                <w:color w:val="auto"/>
              </w:rPr>
            </w:pPr>
            <w:r>
              <w:rPr>
                <w:rFonts w:ascii="Arial" w:cs="Arial" w:eastAsia="Arial" w:hAnsi="Arial"/>
                <w:sz w:val="14"/>
                <w:szCs w:val="14"/>
                <w:color w:val="auto"/>
              </w:rPr>
              <w:t>0</w:t>
            </w:r>
          </w:p>
        </w:tc>
        <w:tc>
          <w:tcPr>
            <w:tcW w:w="1060" w:type="dxa"/>
            <w:vAlign w:val="bottom"/>
            <w:tcBorders>
              <w:right w:val="single" w:sz="8" w:color="007CBA"/>
            </w:tcBorders>
            <w:shd w:val="clear" w:color="auto" w:fill="E5F1F8"/>
          </w:tcPr>
          <w:p>
            <w:pPr>
              <w:spacing w:after="0"/>
              <w:rPr>
                <w:sz w:val="13"/>
                <w:szCs w:val="13"/>
                <w:color w:val="auto"/>
              </w:rPr>
            </w:pPr>
          </w:p>
        </w:tc>
        <w:tc>
          <w:tcPr>
            <w:tcW w:w="820" w:type="dxa"/>
            <w:vAlign w:val="bottom"/>
            <w:tcBorders>
              <w:right w:val="single" w:sz="8" w:color="007CBA"/>
            </w:tcBorders>
            <w:shd w:val="clear" w:color="auto" w:fill="E5F1F8"/>
          </w:tcPr>
          <w:p>
            <w:pPr>
              <w:jc w:val="right"/>
              <w:ind w:right="109"/>
              <w:spacing w:after="0" w:line="159" w:lineRule="exact"/>
              <w:rPr>
                <w:sz w:val="20"/>
                <w:szCs w:val="20"/>
                <w:color w:val="auto"/>
              </w:rPr>
            </w:pPr>
            <w:r>
              <w:rPr>
                <w:rFonts w:ascii="Arial" w:cs="Arial" w:eastAsia="Arial" w:hAnsi="Arial"/>
                <w:sz w:val="14"/>
                <w:szCs w:val="14"/>
                <w:color w:val="auto"/>
              </w:rPr>
              <w:t>79.79</w:t>
            </w:r>
          </w:p>
        </w:tc>
        <w:tc>
          <w:tcPr>
            <w:tcW w:w="940" w:type="dxa"/>
            <w:vAlign w:val="bottom"/>
            <w:tcBorders>
              <w:right w:val="single" w:sz="8" w:color="007CBA"/>
            </w:tcBorders>
            <w:shd w:val="clear" w:color="auto" w:fill="E5F1F8"/>
          </w:tcPr>
          <w:p>
            <w:pPr>
              <w:jc w:val="right"/>
              <w:ind w:right="109"/>
              <w:spacing w:after="0" w:line="159" w:lineRule="exact"/>
              <w:rPr>
                <w:sz w:val="20"/>
                <w:szCs w:val="20"/>
                <w:color w:val="auto"/>
              </w:rPr>
            </w:pPr>
            <w:r>
              <w:rPr>
                <w:rFonts w:ascii="Arial" w:cs="Arial" w:eastAsia="Arial" w:hAnsi="Arial"/>
                <w:sz w:val="14"/>
                <w:szCs w:val="14"/>
                <w:color w:val="auto"/>
              </w:rPr>
              <w:t>5/27/2017</w:t>
            </w:r>
          </w:p>
        </w:tc>
        <w:tc>
          <w:tcPr>
            <w:tcW w:w="1060" w:type="dxa"/>
            <w:vAlign w:val="bottom"/>
            <w:tcBorders>
              <w:right w:val="single" w:sz="8" w:color="007CBA"/>
            </w:tcBorders>
            <w:shd w:val="clear" w:color="auto" w:fill="E5F1F8"/>
          </w:tcPr>
          <w:p>
            <w:pPr>
              <w:jc w:val="right"/>
              <w:ind w:right="100"/>
              <w:spacing w:after="0" w:line="159" w:lineRule="exact"/>
              <w:rPr>
                <w:sz w:val="20"/>
                <w:szCs w:val="20"/>
                <w:color w:val="auto"/>
              </w:rPr>
            </w:pPr>
            <w:r>
              <w:rPr>
                <w:rFonts w:ascii="Arial" w:cs="Arial" w:eastAsia="Arial" w:hAnsi="Arial"/>
                <w:sz w:val="11"/>
                <w:szCs w:val="11"/>
                <w:color w:val="auto"/>
              </w:rPr>
              <w:t>2,302</w:t>
            </w:r>
            <w:r>
              <w:rPr>
                <w:rFonts w:ascii="Arial" w:cs="Arial" w:eastAsia="Arial" w:hAnsi="Arial"/>
                <w:sz w:val="18"/>
                <w:szCs w:val="18"/>
                <w:color w:val="auto"/>
                <w:vertAlign w:val="superscript"/>
              </w:rPr>
              <w:t>5</w:t>
            </w:r>
          </w:p>
        </w:tc>
        <w:tc>
          <w:tcPr>
            <w:tcW w:w="1020" w:type="dxa"/>
            <w:vAlign w:val="bottom"/>
            <w:tcBorders>
              <w:right w:val="single" w:sz="8" w:color="007CBA"/>
            </w:tcBorders>
            <w:shd w:val="clear" w:color="auto" w:fill="E5F1F8"/>
          </w:tcPr>
          <w:p>
            <w:pPr>
              <w:jc w:val="right"/>
              <w:ind w:right="109"/>
              <w:spacing w:after="0" w:line="159" w:lineRule="exact"/>
              <w:rPr>
                <w:sz w:val="20"/>
                <w:szCs w:val="20"/>
                <w:color w:val="auto"/>
              </w:rPr>
            </w:pPr>
            <w:r>
              <w:rPr>
                <w:rFonts w:ascii="Arial" w:cs="Arial" w:eastAsia="Arial" w:hAnsi="Arial"/>
                <w:sz w:val="14"/>
                <w:szCs w:val="14"/>
                <w:color w:val="auto"/>
              </w:rPr>
              <w:t>509,962</w:t>
            </w:r>
          </w:p>
        </w:tc>
        <w:tc>
          <w:tcPr>
            <w:tcW w:w="1240" w:type="dxa"/>
            <w:vAlign w:val="bottom"/>
            <w:tcBorders>
              <w:right w:val="single" w:sz="8" w:color="007CBA"/>
            </w:tcBorders>
            <w:shd w:val="clear" w:color="auto" w:fill="E5F1F8"/>
          </w:tcPr>
          <w:p>
            <w:pPr>
              <w:jc w:val="right"/>
              <w:ind w:right="38"/>
              <w:spacing w:after="0" w:line="159" w:lineRule="exact"/>
              <w:rPr>
                <w:sz w:val="20"/>
                <w:szCs w:val="20"/>
                <w:color w:val="auto"/>
              </w:rPr>
            </w:pPr>
            <w:r>
              <w:rPr>
                <w:rFonts w:ascii="Arial" w:cs="Arial" w:eastAsia="Arial" w:hAnsi="Arial"/>
                <w:sz w:val="11"/>
                <w:szCs w:val="11"/>
                <w:color w:val="auto"/>
              </w:rPr>
              <w:t>3168</w:t>
            </w:r>
            <w:r>
              <w:rPr>
                <w:rFonts w:ascii="Arial" w:cs="Arial" w:eastAsia="Arial" w:hAnsi="Arial"/>
                <w:sz w:val="18"/>
                <w:szCs w:val="18"/>
                <w:color w:val="auto"/>
                <w:vertAlign w:val="superscript"/>
              </w:rPr>
              <w:t>11</w:t>
            </w:r>
          </w:p>
        </w:tc>
        <w:tc>
          <w:tcPr>
            <w:tcW w:w="920" w:type="dxa"/>
            <w:vAlign w:val="bottom"/>
            <w:shd w:val="clear" w:color="auto" w:fill="E5F1F8"/>
          </w:tcPr>
          <w:p>
            <w:pPr>
              <w:jc w:val="right"/>
              <w:ind w:right="90"/>
              <w:spacing w:after="0" w:line="159" w:lineRule="exact"/>
              <w:rPr>
                <w:sz w:val="20"/>
                <w:szCs w:val="20"/>
                <w:color w:val="auto"/>
              </w:rPr>
            </w:pPr>
            <w:r>
              <w:rPr>
                <w:rFonts w:ascii="Arial" w:cs="Arial" w:eastAsia="Arial" w:hAnsi="Arial"/>
                <w:sz w:val="14"/>
                <w:szCs w:val="14"/>
                <w:color w:val="auto"/>
              </w:rPr>
              <w:t>701,807</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3,794</w:t>
            </w:r>
          </w:p>
        </w:tc>
        <w:tc>
          <w:tcPr>
            <w:tcW w:w="1200" w:type="dxa"/>
            <w:vAlign w:val="bottom"/>
            <w:tcBorders>
              <w:right w:val="single" w:sz="8" w:color="007CBA"/>
            </w:tcBorders>
            <w:shd w:val="clear" w:color="auto" w:fill="E5F1F8"/>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2</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95.27</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5/27/2018</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11,878</w:t>
            </w:r>
            <w:r>
              <w:rPr>
                <w:rFonts w:ascii="Arial" w:cs="Arial" w:eastAsia="Arial" w:hAnsi="Arial"/>
                <w:sz w:val="18"/>
                <w:szCs w:val="18"/>
                <w:color w:val="auto"/>
                <w:vertAlign w:val="superscript"/>
              </w:rPr>
              <w:t>6</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2,631,333</w:t>
            </w:r>
          </w:p>
        </w:tc>
        <w:tc>
          <w:tcPr>
            <w:tcW w:w="1240" w:type="dxa"/>
            <w:vAlign w:val="bottom"/>
            <w:tcBorders>
              <w:right w:val="single" w:sz="8" w:color="007CBA"/>
            </w:tcBorders>
            <w:shd w:val="clear" w:color="auto" w:fill="E5F1F8"/>
          </w:tcPr>
          <w:p>
            <w:pPr>
              <w:jc w:val="right"/>
              <w:ind w:right="38"/>
              <w:spacing w:after="0" w:line="162" w:lineRule="exact"/>
              <w:rPr>
                <w:sz w:val="20"/>
                <w:szCs w:val="20"/>
                <w:color w:val="auto"/>
              </w:rPr>
            </w:pPr>
            <w:r>
              <w:rPr>
                <w:rFonts w:ascii="Arial" w:cs="Arial" w:eastAsia="Arial" w:hAnsi="Arial"/>
                <w:sz w:val="11"/>
                <w:szCs w:val="11"/>
                <w:color w:val="auto"/>
              </w:rPr>
              <w:t>3882</w:t>
            </w:r>
            <w:r>
              <w:rPr>
                <w:rFonts w:ascii="Arial" w:cs="Arial" w:eastAsia="Arial" w:hAnsi="Arial"/>
                <w:sz w:val="18"/>
                <w:szCs w:val="18"/>
                <w:color w:val="auto"/>
                <w:vertAlign w:val="superscript"/>
              </w:rPr>
              <w:t>12</w:t>
            </w:r>
          </w:p>
        </w:tc>
        <w:tc>
          <w:tcPr>
            <w:tcW w:w="920" w:type="dxa"/>
            <w:vAlign w:val="bottom"/>
            <w:shd w:val="clear" w:color="auto" w:fill="E5F1F8"/>
          </w:tcPr>
          <w:p>
            <w:pPr>
              <w:jc w:val="right"/>
              <w:ind w:right="90"/>
              <w:spacing w:after="0"/>
              <w:rPr>
                <w:sz w:val="20"/>
                <w:szCs w:val="20"/>
                <w:color w:val="auto"/>
              </w:rPr>
            </w:pPr>
            <w:r>
              <w:rPr>
                <w:rFonts w:ascii="Arial" w:cs="Arial" w:eastAsia="Arial" w:hAnsi="Arial"/>
                <w:sz w:val="14"/>
                <w:szCs w:val="14"/>
                <w:color w:val="auto"/>
              </w:rPr>
              <w:t>859,979</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4,274</w:t>
            </w:r>
          </w:p>
        </w:tc>
        <w:tc>
          <w:tcPr>
            <w:tcW w:w="1200" w:type="dxa"/>
            <w:vAlign w:val="bottom"/>
            <w:tcBorders>
              <w:right w:val="single" w:sz="8" w:color="007CBA"/>
            </w:tcBorders>
            <w:shd w:val="clear" w:color="auto" w:fill="E5F1F8"/>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3</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86.90</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5/12/2019</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2,025</w:t>
            </w:r>
            <w:r>
              <w:rPr>
                <w:rFonts w:ascii="Arial" w:cs="Arial" w:eastAsia="Arial" w:hAnsi="Arial"/>
                <w:sz w:val="18"/>
                <w:szCs w:val="18"/>
                <w:color w:val="auto"/>
                <w:vertAlign w:val="superscript"/>
              </w:rPr>
              <w:t>7</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448,598</w:t>
            </w:r>
          </w:p>
        </w:tc>
        <w:tc>
          <w:tcPr>
            <w:tcW w:w="1240" w:type="dxa"/>
            <w:vAlign w:val="bottom"/>
            <w:tcBorders>
              <w:right w:val="single" w:sz="8" w:color="007CBA"/>
            </w:tcBorders>
            <w:shd w:val="clear" w:color="auto" w:fill="E5F1F8"/>
          </w:tcPr>
          <w:p>
            <w:pPr>
              <w:jc w:val="right"/>
              <w:ind w:right="38"/>
              <w:spacing w:after="0" w:line="162" w:lineRule="exact"/>
              <w:rPr>
                <w:sz w:val="20"/>
                <w:szCs w:val="20"/>
                <w:color w:val="auto"/>
              </w:rPr>
            </w:pPr>
            <w:r>
              <w:rPr>
                <w:rFonts w:ascii="Arial" w:cs="Arial" w:eastAsia="Arial" w:hAnsi="Arial"/>
                <w:sz w:val="11"/>
                <w:szCs w:val="11"/>
                <w:color w:val="auto"/>
              </w:rPr>
              <w:t>10,034</w:t>
            </w:r>
            <w:r>
              <w:rPr>
                <w:rFonts w:ascii="Arial" w:cs="Arial" w:eastAsia="Arial" w:hAnsi="Arial"/>
                <w:sz w:val="18"/>
                <w:szCs w:val="18"/>
                <w:color w:val="auto"/>
                <w:vertAlign w:val="superscript"/>
              </w:rPr>
              <w:t>13</w:t>
            </w:r>
          </w:p>
        </w:tc>
        <w:tc>
          <w:tcPr>
            <w:tcW w:w="920" w:type="dxa"/>
            <w:vAlign w:val="bottom"/>
            <w:shd w:val="clear" w:color="auto" w:fill="E5F1F8"/>
          </w:tcPr>
          <w:p>
            <w:pPr>
              <w:jc w:val="right"/>
              <w:ind w:right="90"/>
              <w:spacing w:after="0"/>
              <w:rPr>
                <w:sz w:val="20"/>
                <w:szCs w:val="20"/>
                <w:color w:val="auto"/>
              </w:rPr>
            </w:pPr>
            <w:r>
              <w:rPr>
                <w:rFonts w:ascii="Arial" w:cs="Arial" w:eastAsia="Arial" w:hAnsi="Arial"/>
                <w:sz w:val="14"/>
                <w:szCs w:val="14"/>
                <w:color w:val="auto"/>
              </w:rPr>
              <w:t>2,222,832</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5,530</w:t>
            </w:r>
          </w:p>
        </w:tc>
        <w:tc>
          <w:tcPr>
            <w:tcW w:w="1200" w:type="dxa"/>
            <w:vAlign w:val="bottom"/>
            <w:tcBorders>
              <w:right w:val="single" w:sz="8" w:color="007CBA"/>
            </w:tcBorders>
            <w:shd w:val="clear" w:color="auto" w:fill="E5F1F8"/>
          </w:tcPr>
          <w:p>
            <w:pPr>
              <w:jc w:val="right"/>
              <w:ind w:right="75"/>
              <w:spacing w:after="0" w:line="162" w:lineRule="exact"/>
              <w:rPr>
                <w:sz w:val="20"/>
                <w:szCs w:val="20"/>
                <w:color w:val="auto"/>
              </w:rPr>
            </w:pPr>
            <w:r>
              <w:rPr>
                <w:rFonts w:ascii="Arial" w:cs="Arial" w:eastAsia="Arial" w:hAnsi="Arial"/>
                <w:sz w:val="18"/>
                <w:szCs w:val="18"/>
                <w:color w:val="auto"/>
                <w:vertAlign w:val="subscript"/>
              </w:rPr>
              <w:t>0</w:t>
            </w:r>
            <w:r>
              <w:rPr>
                <w:rFonts w:ascii="Arial" w:cs="Arial" w:eastAsia="Arial" w:hAnsi="Arial"/>
                <w:sz w:val="9"/>
                <w:szCs w:val="9"/>
                <w:color w:val="auto"/>
              </w:rPr>
              <w:t>4</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69.12</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5/24/2020</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2,509</w:t>
            </w:r>
            <w:r>
              <w:rPr>
                <w:rFonts w:ascii="Arial" w:cs="Arial" w:eastAsia="Arial" w:hAnsi="Arial"/>
                <w:sz w:val="18"/>
                <w:szCs w:val="18"/>
                <w:color w:val="auto"/>
                <w:vertAlign w:val="superscript"/>
              </w:rPr>
              <w:t>8</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555,819</w:t>
            </w:r>
          </w:p>
        </w:tc>
        <w:tc>
          <w:tcPr>
            <w:tcW w:w="1240" w:type="dxa"/>
            <w:vAlign w:val="bottom"/>
            <w:tcBorders>
              <w:right w:val="single" w:sz="8" w:color="007CBA"/>
            </w:tcBorders>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3,681</w:t>
            </w:r>
          </w:p>
        </w:tc>
        <w:tc>
          <w:tcPr>
            <w:tcW w:w="1200" w:type="dxa"/>
            <w:vAlign w:val="bottom"/>
            <w:tcBorders>
              <w:right w:val="single" w:sz="8" w:color="007CBA"/>
            </w:tcBorders>
            <w:shd w:val="clear" w:color="auto" w:fill="E5F1F8"/>
          </w:tcPr>
          <w:p>
            <w:pPr>
              <w:jc w:val="right"/>
              <w:ind w:right="135"/>
              <w:spacing w:after="0"/>
              <w:rPr>
                <w:sz w:val="20"/>
                <w:szCs w:val="20"/>
                <w:color w:val="auto"/>
              </w:rPr>
            </w:pPr>
            <w:r>
              <w:rPr>
                <w:rFonts w:ascii="Arial" w:cs="Arial" w:eastAsia="Arial" w:hAnsi="Arial"/>
                <w:sz w:val="14"/>
                <w:szCs w:val="14"/>
                <w:color w:val="auto"/>
              </w:rPr>
              <w:t>1,224</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108.24</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5/23/2023</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1,328</w:t>
            </w:r>
            <w:r>
              <w:rPr>
                <w:rFonts w:ascii="Arial" w:cs="Arial" w:eastAsia="Arial" w:hAnsi="Arial"/>
                <w:sz w:val="18"/>
                <w:szCs w:val="18"/>
                <w:color w:val="auto"/>
                <w:vertAlign w:val="superscript"/>
              </w:rPr>
              <w:t>9</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294,192</w:t>
            </w:r>
          </w:p>
        </w:tc>
        <w:tc>
          <w:tcPr>
            <w:tcW w:w="1240" w:type="dxa"/>
            <w:vAlign w:val="bottom"/>
            <w:tcBorders>
              <w:right w:val="single" w:sz="8" w:color="007CBA"/>
            </w:tcBorders>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shd w:val="clear" w:color="auto" w:fill="E5F1F8"/>
          </w:tcPr>
          <w:p>
            <w:pPr>
              <w:jc w:val="right"/>
              <w:ind w:right="135"/>
              <w:spacing w:after="0"/>
              <w:rPr>
                <w:sz w:val="20"/>
                <w:szCs w:val="20"/>
                <w:color w:val="auto"/>
              </w:rPr>
            </w:pPr>
            <w:r>
              <w:rPr>
                <w:rFonts w:ascii="Arial" w:cs="Arial" w:eastAsia="Arial" w:hAnsi="Arial"/>
                <w:sz w:val="14"/>
                <w:szCs w:val="14"/>
                <w:color w:val="auto"/>
              </w:rPr>
              <w:t>2,302</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121.00</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5/22/2024</w:t>
            </w:r>
          </w:p>
        </w:tc>
        <w:tc>
          <w:tcPr>
            <w:tcW w:w="1060" w:type="dxa"/>
            <w:vAlign w:val="bottom"/>
            <w:tcBorders>
              <w:right w:val="single" w:sz="8" w:color="007CBA"/>
            </w:tcBorders>
            <w:shd w:val="clear" w:color="auto" w:fill="E5F1F8"/>
          </w:tcPr>
          <w:p>
            <w:pPr>
              <w:jc w:val="right"/>
              <w:ind w:right="40"/>
              <w:spacing w:after="0" w:line="170" w:lineRule="exact"/>
              <w:rPr>
                <w:sz w:val="20"/>
                <w:szCs w:val="20"/>
                <w:color w:val="auto"/>
              </w:rPr>
            </w:pPr>
            <w:r>
              <w:rPr>
                <w:rFonts w:ascii="Arial" w:cs="Arial" w:eastAsia="Arial" w:hAnsi="Arial"/>
                <w:sz w:val="12"/>
                <w:szCs w:val="12"/>
                <w:color w:val="auto"/>
              </w:rPr>
              <w:t>1,003</w:t>
            </w:r>
            <w:r>
              <w:rPr>
                <w:rFonts w:ascii="Arial" w:cs="Arial" w:eastAsia="Arial" w:hAnsi="Arial"/>
                <w:sz w:val="19"/>
                <w:szCs w:val="19"/>
                <w:color w:val="auto"/>
                <w:vertAlign w:val="superscript"/>
              </w:rPr>
              <w:t>10</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222,195</w:t>
            </w:r>
          </w:p>
        </w:tc>
        <w:tc>
          <w:tcPr>
            <w:tcW w:w="1240" w:type="dxa"/>
            <w:vAlign w:val="bottom"/>
            <w:tcBorders>
              <w:right w:val="single" w:sz="8" w:color="007CBA"/>
            </w:tcBorders>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shd w:val="clear" w:color="auto" w:fill="E5F1F8"/>
          </w:tcPr>
          <w:p>
            <w:pPr>
              <w:jc w:val="right"/>
              <w:ind w:right="135"/>
              <w:spacing w:after="0"/>
              <w:rPr>
                <w:sz w:val="20"/>
                <w:szCs w:val="20"/>
                <w:color w:val="auto"/>
              </w:rPr>
            </w:pPr>
            <w:r>
              <w:rPr>
                <w:rFonts w:ascii="Arial" w:cs="Arial" w:eastAsia="Arial" w:hAnsi="Arial"/>
                <w:sz w:val="14"/>
                <w:szCs w:val="14"/>
                <w:color w:val="auto"/>
              </w:rPr>
              <w:t>3,036</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154.58</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5/21/2025</w:t>
            </w:r>
          </w:p>
        </w:tc>
        <w:tc>
          <w:tcPr>
            <w:tcW w:w="1060" w:type="dxa"/>
            <w:vAlign w:val="bottom"/>
            <w:tcBorders>
              <w:right w:val="single" w:sz="8" w:color="007CBA"/>
            </w:tcBorders>
            <w:shd w:val="clear" w:color="auto" w:fill="E5F1F8"/>
          </w:tcPr>
          <w:p>
            <w:pPr>
              <w:spacing w:after="0"/>
              <w:rPr>
                <w:sz w:val="14"/>
                <w:szCs w:val="14"/>
                <w:color w:val="auto"/>
              </w:rPr>
            </w:pPr>
          </w:p>
        </w:tc>
        <w:tc>
          <w:tcPr>
            <w:tcW w:w="1020" w:type="dxa"/>
            <w:vAlign w:val="bottom"/>
            <w:tcBorders>
              <w:right w:val="single" w:sz="8" w:color="007CBA"/>
            </w:tcBorders>
            <w:shd w:val="clear" w:color="auto" w:fill="E5F1F8"/>
          </w:tcPr>
          <w:p>
            <w:pPr>
              <w:spacing w:after="0"/>
              <w:rPr>
                <w:sz w:val="14"/>
                <w:szCs w:val="14"/>
                <w:color w:val="auto"/>
              </w:rPr>
            </w:pPr>
          </w:p>
        </w:tc>
        <w:tc>
          <w:tcPr>
            <w:tcW w:w="1240" w:type="dxa"/>
            <w:vAlign w:val="bottom"/>
            <w:tcBorders>
              <w:right w:val="single" w:sz="8" w:color="007CBA"/>
            </w:tcBorders>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00" w:type="dxa"/>
            <w:vAlign w:val="bottom"/>
            <w:tcBorders>
              <w:right w:val="single" w:sz="8" w:color="007CBA"/>
            </w:tcBorders>
          </w:tcPr>
          <w:p>
            <w:pPr>
              <w:ind w:left="80"/>
              <w:spacing w:after="0" w:line="159" w:lineRule="exact"/>
              <w:rPr>
                <w:sz w:val="20"/>
                <w:szCs w:val="20"/>
                <w:color w:val="auto"/>
              </w:rPr>
            </w:pPr>
            <w:r>
              <w:rPr>
                <w:rFonts w:ascii="Arial" w:cs="Arial" w:eastAsia="Arial" w:hAnsi="Arial"/>
                <w:sz w:val="14"/>
                <w:szCs w:val="14"/>
                <w:b w:val="1"/>
                <w:bCs w:val="1"/>
                <w:color w:val="auto"/>
              </w:rPr>
              <w:t>Roselyn R. Bar</w:t>
            </w:r>
          </w:p>
        </w:tc>
        <w:tc>
          <w:tcPr>
            <w:tcW w:w="1060" w:type="dxa"/>
            <w:vAlign w:val="bottom"/>
            <w:tcBorders>
              <w:right w:val="single" w:sz="8" w:color="007CBA"/>
            </w:tcBorders>
          </w:tcPr>
          <w:p>
            <w:pPr>
              <w:jc w:val="right"/>
              <w:ind w:right="89"/>
              <w:spacing w:after="0" w:line="159" w:lineRule="exact"/>
              <w:rPr>
                <w:sz w:val="20"/>
                <w:szCs w:val="20"/>
                <w:color w:val="auto"/>
              </w:rPr>
            </w:pPr>
            <w:r>
              <w:rPr>
                <w:rFonts w:ascii="Arial" w:cs="Arial" w:eastAsia="Arial" w:hAnsi="Arial"/>
                <w:sz w:val="14"/>
                <w:szCs w:val="14"/>
                <w:color w:val="auto"/>
              </w:rPr>
              <w:t>3,096</w:t>
            </w:r>
          </w:p>
        </w:tc>
        <w:tc>
          <w:tcPr>
            <w:tcW w:w="1200" w:type="dxa"/>
            <w:vAlign w:val="bottom"/>
            <w:tcBorders>
              <w:right w:val="single" w:sz="8" w:color="007CBA"/>
            </w:tcBorders>
          </w:tcPr>
          <w:p>
            <w:pPr>
              <w:jc w:val="right"/>
              <w:ind w:right="135"/>
              <w:spacing w:after="0" w:line="159" w:lineRule="exact"/>
              <w:rPr>
                <w:sz w:val="20"/>
                <w:szCs w:val="20"/>
                <w:color w:val="auto"/>
              </w:rPr>
            </w:pPr>
            <w:r>
              <w:rPr>
                <w:rFonts w:ascii="Arial" w:cs="Arial" w:eastAsia="Arial" w:hAnsi="Arial"/>
                <w:sz w:val="14"/>
                <w:szCs w:val="14"/>
                <w:color w:val="auto"/>
              </w:rPr>
              <w:t>0</w:t>
            </w:r>
          </w:p>
        </w:tc>
        <w:tc>
          <w:tcPr>
            <w:tcW w:w="1060" w:type="dxa"/>
            <w:vAlign w:val="bottom"/>
            <w:tcBorders>
              <w:right w:val="single" w:sz="8" w:color="007CBA"/>
            </w:tcBorders>
          </w:tcPr>
          <w:p>
            <w:pPr>
              <w:spacing w:after="0"/>
              <w:rPr>
                <w:sz w:val="13"/>
                <w:szCs w:val="13"/>
                <w:color w:val="auto"/>
              </w:rPr>
            </w:pPr>
          </w:p>
        </w:tc>
        <w:tc>
          <w:tcPr>
            <w:tcW w:w="82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95.27</w:t>
            </w:r>
          </w:p>
        </w:tc>
        <w:tc>
          <w:tcPr>
            <w:tcW w:w="94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5/27/2018</w:t>
            </w:r>
          </w:p>
        </w:tc>
        <w:tc>
          <w:tcPr>
            <w:tcW w:w="1060" w:type="dxa"/>
            <w:vAlign w:val="bottom"/>
            <w:tcBorders>
              <w:right w:val="single" w:sz="8" w:color="007CBA"/>
            </w:tcBorders>
          </w:tcPr>
          <w:p>
            <w:pPr>
              <w:jc w:val="right"/>
              <w:ind w:right="100"/>
              <w:spacing w:after="0" w:line="159" w:lineRule="exact"/>
              <w:rPr>
                <w:sz w:val="20"/>
                <w:szCs w:val="20"/>
                <w:color w:val="auto"/>
              </w:rPr>
            </w:pPr>
            <w:r>
              <w:rPr>
                <w:rFonts w:ascii="Arial" w:cs="Arial" w:eastAsia="Arial" w:hAnsi="Arial"/>
                <w:sz w:val="11"/>
                <w:szCs w:val="11"/>
                <w:color w:val="auto"/>
              </w:rPr>
              <w:t>1,879</w:t>
            </w:r>
            <w:r>
              <w:rPr>
                <w:rFonts w:ascii="Arial" w:cs="Arial" w:eastAsia="Arial" w:hAnsi="Arial"/>
                <w:sz w:val="18"/>
                <w:szCs w:val="18"/>
                <w:color w:val="auto"/>
                <w:vertAlign w:val="superscript"/>
              </w:rPr>
              <w:t>5</w:t>
            </w:r>
          </w:p>
        </w:tc>
        <w:tc>
          <w:tcPr>
            <w:tcW w:w="102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416,255</w:t>
            </w:r>
          </w:p>
        </w:tc>
        <w:tc>
          <w:tcPr>
            <w:tcW w:w="1240" w:type="dxa"/>
            <w:vAlign w:val="bottom"/>
            <w:tcBorders>
              <w:right w:val="single" w:sz="8" w:color="007CBA"/>
            </w:tcBorders>
          </w:tcPr>
          <w:p>
            <w:pPr>
              <w:jc w:val="right"/>
              <w:ind w:right="38"/>
              <w:spacing w:after="0" w:line="159" w:lineRule="exact"/>
              <w:rPr>
                <w:sz w:val="20"/>
                <w:szCs w:val="20"/>
                <w:color w:val="auto"/>
              </w:rPr>
            </w:pPr>
            <w:r>
              <w:rPr>
                <w:rFonts w:ascii="Arial" w:cs="Arial" w:eastAsia="Arial" w:hAnsi="Arial"/>
                <w:sz w:val="11"/>
                <w:szCs w:val="11"/>
                <w:color w:val="auto"/>
              </w:rPr>
              <w:t>2644</w:t>
            </w:r>
            <w:r>
              <w:rPr>
                <w:rFonts w:ascii="Arial" w:cs="Arial" w:eastAsia="Arial" w:hAnsi="Arial"/>
                <w:sz w:val="18"/>
                <w:szCs w:val="18"/>
                <w:color w:val="auto"/>
                <w:vertAlign w:val="superscript"/>
              </w:rPr>
              <w:t>11</w:t>
            </w:r>
          </w:p>
        </w:tc>
        <w:tc>
          <w:tcPr>
            <w:tcW w:w="920" w:type="dxa"/>
            <w:vAlign w:val="bottom"/>
          </w:tcPr>
          <w:p>
            <w:pPr>
              <w:jc w:val="right"/>
              <w:ind w:right="90"/>
              <w:spacing w:after="0" w:line="159" w:lineRule="exact"/>
              <w:rPr>
                <w:sz w:val="20"/>
                <w:szCs w:val="20"/>
                <w:color w:val="auto"/>
              </w:rPr>
            </w:pPr>
            <w:r>
              <w:rPr>
                <w:rFonts w:ascii="Arial" w:cs="Arial" w:eastAsia="Arial" w:hAnsi="Arial"/>
                <w:sz w:val="14"/>
                <w:szCs w:val="14"/>
                <w:color w:val="auto"/>
              </w:rPr>
              <w:t>585,725</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3,485</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2</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86.90</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5/12/2019</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9,913</w:t>
            </w:r>
            <w:r>
              <w:rPr>
                <w:rFonts w:ascii="Arial" w:cs="Arial" w:eastAsia="Arial" w:hAnsi="Arial"/>
                <w:sz w:val="18"/>
                <w:szCs w:val="18"/>
                <w:color w:val="auto"/>
                <w:vertAlign w:val="superscript"/>
              </w:rPr>
              <w:t>6</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2,196,027</w:t>
            </w:r>
          </w:p>
        </w:tc>
        <w:tc>
          <w:tcPr>
            <w:tcW w:w="1240" w:type="dxa"/>
            <w:vAlign w:val="bottom"/>
            <w:tcBorders>
              <w:right w:val="single" w:sz="8" w:color="007CBA"/>
            </w:tcBorders>
          </w:tcPr>
          <w:p>
            <w:pPr>
              <w:jc w:val="right"/>
              <w:ind w:right="38"/>
              <w:spacing w:after="0" w:line="162" w:lineRule="exact"/>
              <w:rPr>
                <w:sz w:val="20"/>
                <w:szCs w:val="20"/>
                <w:color w:val="auto"/>
              </w:rPr>
            </w:pPr>
            <w:r>
              <w:rPr>
                <w:rFonts w:ascii="Arial" w:cs="Arial" w:eastAsia="Arial" w:hAnsi="Arial"/>
                <w:sz w:val="11"/>
                <w:szCs w:val="11"/>
                <w:color w:val="auto"/>
              </w:rPr>
              <w:t>3240</w:t>
            </w:r>
            <w:r>
              <w:rPr>
                <w:rFonts w:ascii="Arial" w:cs="Arial" w:eastAsia="Arial" w:hAnsi="Arial"/>
                <w:sz w:val="18"/>
                <w:szCs w:val="18"/>
                <w:color w:val="auto"/>
                <w:vertAlign w:val="superscript"/>
              </w:rPr>
              <w:t>12</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717,757</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4,513</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0</w:t>
            </w:r>
            <w:r>
              <w:rPr>
                <w:rFonts w:ascii="Arial" w:cs="Arial" w:eastAsia="Arial" w:hAnsi="Arial"/>
                <w:sz w:val="18"/>
                <w:szCs w:val="18"/>
                <w:color w:val="auto"/>
                <w:vertAlign w:val="superscript"/>
              </w:rPr>
              <w:t>3</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69.12</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5/24/2020</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1,653</w:t>
            </w:r>
            <w:r>
              <w:rPr>
                <w:rFonts w:ascii="Arial" w:cs="Arial" w:eastAsia="Arial" w:hAnsi="Arial"/>
                <w:sz w:val="18"/>
                <w:szCs w:val="18"/>
                <w:color w:val="auto"/>
                <w:vertAlign w:val="superscript"/>
              </w:rPr>
              <w:t>7</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366,189</w:t>
            </w:r>
          </w:p>
        </w:tc>
        <w:tc>
          <w:tcPr>
            <w:tcW w:w="1240" w:type="dxa"/>
            <w:vAlign w:val="bottom"/>
            <w:tcBorders>
              <w:right w:val="single" w:sz="8" w:color="007CBA"/>
            </w:tcBorders>
          </w:tcPr>
          <w:p>
            <w:pPr>
              <w:jc w:val="right"/>
              <w:ind w:right="38"/>
              <w:spacing w:after="0" w:line="162" w:lineRule="exact"/>
              <w:rPr>
                <w:sz w:val="20"/>
                <w:szCs w:val="20"/>
                <w:color w:val="auto"/>
              </w:rPr>
            </w:pPr>
            <w:r>
              <w:rPr>
                <w:rFonts w:ascii="Arial" w:cs="Arial" w:eastAsia="Arial" w:hAnsi="Arial"/>
                <w:sz w:val="11"/>
                <w:szCs w:val="11"/>
                <w:color w:val="auto"/>
              </w:rPr>
              <w:t>9394</w:t>
            </w:r>
            <w:r>
              <w:rPr>
                <w:rFonts w:ascii="Arial" w:cs="Arial" w:eastAsia="Arial" w:hAnsi="Arial"/>
                <w:sz w:val="18"/>
                <w:szCs w:val="18"/>
                <w:color w:val="auto"/>
                <w:vertAlign w:val="superscript"/>
              </w:rPr>
              <w:t>13</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2,081,053</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3,003</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1,001</w:t>
            </w:r>
            <w:r>
              <w:rPr>
                <w:rFonts w:ascii="Arial" w:cs="Arial" w:eastAsia="Arial" w:hAnsi="Arial"/>
                <w:sz w:val="18"/>
                <w:szCs w:val="18"/>
                <w:color w:val="auto"/>
                <w:vertAlign w:val="superscript"/>
              </w:rPr>
              <w:t>4</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108.24</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5/23/2023</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2,349</w:t>
            </w:r>
            <w:r>
              <w:rPr>
                <w:rFonts w:ascii="Arial" w:cs="Arial" w:eastAsia="Arial" w:hAnsi="Arial"/>
                <w:sz w:val="18"/>
                <w:szCs w:val="18"/>
                <w:color w:val="auto"/>
                <w:vertAlign w:val="superscript"/>
              </w:rPr>
              <w:t>8</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520,374</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tcPr>
          <w:p>
            <w:pPr>
              <w:jc w:val="right"/>
              <w:ind w:right="135"/>
              <w:spacing w:after="0"/>
              <w:rPr>
                <w:sz w:val="20"/>
                <w:szCs w:val="20"/>
                <w:color w:val="auto"/>
              </w:rPr>
            </w:pPr>
            <w:r>
              <w:rPr>
                <w:rFonts w:ascii="Arial" w:cs="Arial" w:eastAsia="Arial" w:hAnsi="Arial"/>
                <w:sz w:val="14"/>
                <w:szCs w:val="14"/>
                <w:color w:val="auto"/>
              </w:rPr>
              <w:t>1,877</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121.00</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5/22/2024</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978</w:t>
            </w:r>
            <w:r>
              <w:rPr>
                <w:rFonts w:ascii="Arial" w:cs="Arial" w:eastAsia="Arial" w:hAnsi="Arial"/>
                <w:sz w:val="18"/>
                <w:szCs w:val="18"/>
                <w:color w:val="auto"/>
                <w:vertAlign w:val="superscript"/>
              </w:rPr>
              <w:t>9</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216,656</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00" w:type="dxa"/>
            <w:vAlign w:val="bottom"/>
            <w:tcBorders>
              <w:right w:val="single" w:sz="8" w:color="007CBA"/>
            </w:tcBorders>
          </w:tcPr>
          <w:p>
            <w:pPr>
              <w:spacing w:after="0"/>
              <w:rPr>
                <w:sz w:val="15"/>
                <w:szCs w:val="15"/>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tcPr>
          <w:p>
            <w:pPr>
              <w:jc w:val="right"/>
              <w:ind w:right="135"/>
              <w:spacing w:after="0"/>
              <w:rPr>
                <w:sz w:val="20"/>
                <w:szCs w:val="20"/>
                <w:color w:val="auto"/>
              </w:rPr>
            </w:pPr>
            <w:r>
              <w:rPr>
                <w:rFonts w:ascii="Arial" w:cs="Arial" w:eastAsia="Arial" w:hAnsi="Arial"/>
                <w:sz w:val="14"/>
                <w:szCs w:val="14"/>
                <w:color w:val="auto"/>
              </w:rPr>
              <w:t>2,478</w:t>
            </w:r>
          </w:p>
        </w:tc>
        <w:tc>
          <w:tcPr>
            <w:tcW w:w="1060" w:type="dxa"/>
            <w:vAlign w:val="bottom"/>
            <w:tcBorders>
              <w:right w:val="single" w:sz="8" w:color="007CBA"/>
            </w:tcBorders>
          </w:tcPr>
          <w:p>
            <w:pPr>
              <w:spacing w:after="0"/>
              <w:rPr>
                <w:sz w:val="15"/>
                <w:szCs w:val="15"/>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154.58</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5/21/2025</w:t>
            </w:r>
          </w:p>
        </w:tc>
        <w:tc>
          <w:tcPr>
            <w:tcW w:w="1060" w:type="dxa"/>
            <w:vAlign w:val="bottom"/>
            <w:tcBorders>
              <w:right w:val="single" w:sz="8" w:color="007CBA"/>
            </w:tcBorders>
          </w:tcPr>
          <w:p>
            <w:pPr>
              <w:jc w:val="right"/>
              <w:ind w:right="40"/>
              <w:spacing w:after="0" w:line="179" w:lineRule="exact"/>
              <w:rPr>
                <w:sz w:val="20"/>
                <w:szCs w:val="20"/>
                <w:color w:val="auto"/>
              </w:rPr>
            </w:pPr>
            <w:r>
              <w:rPr>
                <w:rFonts w:ascii="Arial" w:cs="Arial" w:eastAsia="Arial" w:hAnsi="Arial"/>
                <w:sz w:val="12"/>
                <w:szCs w:val="12"/>
                <w:color w:val="auto"/>
              </w:rPr>
              <w:t>757</w:t>
            </w:r>
            <w:r>
              <w:rPr>
                <w:rFonts w:ascii="Arial" w:cs="Arial" w:eastAsia="Arial" w:hAnsi="Arial"/>
                <w:sz w:val="20"/>
                <w:szCs w:val="20"/>
                <w:color w:val="auto"/>
                <w:vertAlign w:val="superscript"/>
              </w:rPr>
              <w:t>10</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167,698</w:t>
            </w:r>
          </w:p>
        </w:tc>
        <w:tc>
          <w:tcPr>
            <w:tcW w:w="1240" w:type="dxa"/>
            <w:vAlign w:val="bottom"/>
            <w:tcBorders>
              <w:right w:val="single" w:sz="8" w:color="007CBA"/>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00" w:type="dxa"/>
            <w:vAlign w:val="bottom"/>
            <w:tcBorders>
              <w:right w:val="single" w:sz="8" w:color="007CBA"/>
            </w:tcBorders>
            <w:shd w:val="clear" w:color="auto" w:fill="E5F1F8"/>
          </w:tcPr>
          <w:p>
            <w:pPr>
              <w:ind w:left="80"/>
              <w:spacing w:after="0" w:line="159" w:lineRule="exact"/>
              <w:rPr>
                <w:sz w:val="20"/>
                <w:szCs w:val="20"/>
                <w:color w:val="auto"/>
              </w:rPr>
            </w:pPr>
            <w:r>
              <w:rPr>
                <w:rFonts w:ascii="Arial" w:cs="Arial" w:eastAsia="Arial" w:hAnsi="Arial"/>
                <w:sz w:val="14"/>
                <w:szCs w:val="14"/>
                <w:b w:val="1"/>
                <w:bCs w:val="1"/>
                <w:color w:val="auto"/>
              </w:rPr>
              <w:t>Donald A. McCunniff</w:t>
            </w:r>
          </w:p>
        </w:tc>
        <w:tc>
          <w:tcPr>
            <w:tcW w:w="1060" w:type="dxa"/>
            <w:vAlign w:val="bottom"/>
            <w:tcBorders>
              <w:right w:val="single" w:sz="8" w:color="007CBA"/>
            </w:tcBorders>
            <w:shd w:val="clear" w:color="auto" w:fill="E5F1F8"/>
          </w:tcPr>
          <w:p>
            <w:pPr>
              <w:jc w:val="right"/>
              <w:ind w:right="89"/>
              <w:spacing w:after="0" w:line="159" w:lineRule="exact"/>
              <w:rPr>
                <w:sz w:val="20"/>
                <w:szCs w:val="20"/>
                <w:color w:val="auto"/>
              </w:rPr>
            </w:pPr>
            <w:r>
              <w:rPr>
                <w:rFonts w:ascii="Arial" w:cs="Arial" w:eastAsia="Arial" w:hAnsi="Arial"/>
                <w:sz w:val="14"/>
                <w:szCs w:val="14"/>
                <w:color w:val="auto"/>
              </w:rPr>
              <w:t>3,637</w:t>
            </w:r>
          </w:p>
        </w:tc>
        <w:tc>
          <w:tcPr>
            <w:tcW w:w="1200" w:type="dxa"/>
            <w:vAlign w:val="bottom"/>
            <w:tcBorders>
              <w:right w:val="single" w:sz="8" w:color="007CBA"/>
            </w:tcBorders>
            <w:shd w:val="clear" w:color="auto" w:fill="E5F1F8"/>
          </w:tcPr>
          <w:p>
            <w:pPr>
              <w:jc w:val="right"/>
              <w:ind w:right="135"/>
              <w:spacing w:after="0" w:line="159" w:lineRule="exact"/>
              <w:rPr>
                <w:sz w:val="20"/>
                <w:szCs w:val="20"/>
                <w:color w:val="auto"/>
              </w:rPr>
            </w:pPr>
            <w:r>
              <w:rPr>
                <w:rFonts w:ascii="Arial" w:cs="Arial" w:eastAsia="Arial" w:hAnsi="Arial"/>
                <w:sz w:val="14"/>
                <w:szCs w:val="14"/>
                <w:color w:val="auto"/>
              </w:rPr>
              <w:t>0</w:t>
            </w:r>
          </w:p>
        </w:tc>
        <w:tc>
          <w:tcPr>
            <w:tcW w:w="1060" w:type="dxa"/>
            <w:vAlign w:val="bottom"/>
            <w:tcBorders>
              <w:right w:val="single" w:sz="8" w:color="007CBA"/>
            </w:tcBorders>
            <w:shd w:val="clear" w:color="auto" w:fill="E5F1F8"/>
          </w:tcPr>
          <w:p>
            <w:pPr>
              <w:spacing w:after="0"/>
              <w:rPr>
                <w:sz w:val="13"/>
                <w:szCs w:val="13"/>
                <w:color w:val="auto"/>
              </w:rPr>
            </w:pPr>
          </w:p>
        </w:tc>
        <w:tc>
          <w:tcPr>
            <w:tcW w:w="820" w:type="dxa"/>
            <w:vAlign w:val="bottom"/>
            <w:tcBorders>
              <w:right w:val="single" w:sz="8" w:color="007CBA"/>
            </w:tcBorders>
            <w:shd w:val="clear" w:color="auto" w:fill="E5F1F8"/>
          </w:tcPr>
          <w:p>
            <w:pPr>
              <w:jc w:val="right"/>
              <w:ind w:right="109"/>
              <w:spacing w:after="0" w:line="159" w:lineRule="exact"/>
              <w:rPr>
                <w:sz w:val="20"/>
                <w:szCs w:val="20"/>
                <w:color w:val="auto"/>
              </w:rPr>
            </w:pPr>
            <w:r>
              <w:rPr>
                <w:rFonts w:ascii="Arial" w:cs="Arial" w:eastAsia="Arial" w:hAnsi="Arial"/>
                <w:sz w:val="14"/>
                <w:szCs w:val="14"/>
                <w:color w:val="auto"/>
              </w:rPr>
              <w:t>69.12</w:t>
            </w:r>
          </w:p>
        </w:tc>
        <w:tc>
          <w:tcPr>
            <w:tcW w:w="940" w:type="dxa"/>
            <w:vAlign w:val="bottom"/>
            <w:tcBorders>
              <w:right w:val="single" w:sz="8" w:color="007CBA"/>
            </w:tcBorders>
            <w:shd w:val="clear" w:color="auto" w:fill="E5F1F8"/>
          </w:tcPr>
          <w:p>
            <w:pPr>
              <w:jc w:val="right"/>
              <w:ind w:right="109"/>
              <w:spacing w:after="0" w:line="159" w:lineRule="exact"/>
              <w:rPr>
                <w:sz w:val="20"/>
                <w:szCs w:val="20"/>
                <w:color w:val="auto"/>
              </w:rPr>
            </w:pPr>
            <w:r>
              <w:rPr>
                <w:rFonts w:ascii="Arial" w:cs="Arial" w:eastAsia="Arial" w:hAnsi="Arial"/>
                <w:sz w:val="14"/>
                <w:szCs w:val="14"/>
                <w:color w:val="auto"/>
              </w:rPr>
              <w:t>5/24/2020</w:t>
            </w:r>
          </w:p>
        </w:tc>
        <w:tc>
          <w:tcPr>
            <w:tcW w:w="1060" w:type="dxa"/>
            <w:vAlign w:val="bottom"/>
            <w:tcBorders>
              <w:right w:val="single" w:sz="8" w:color="007CBA"/>
            </w:tcBorders>
            <w:shd w:val="clear" w:color="auto" w:fill="E5F1F8"/>
          </w:tcPr>
          <w:p>
            <w:pPr>
              <w:jc w:val="right"/>
              <w:ind w:right="100"/>
              <w:spacing w:after="0" w:line="159" w:lineRule="exact"/>
              <w:rPr>
                <w:sz w:val="20"/>
                <w:szCs w:val="20"/>
                <w:color w:val="auto"/>
              </w:rPr>
            </w:pPr>
            <w:r>
              <w:rPr>
                <w:rFonts w:ascii="Arial" w:cs="Arial" w:eastAsia="Arial" w:hAnsi="Arial"/>
                <w:sz w:val="11"/>
                <w:szCs w:val="11"/>
                <w:color w:val="auto"/>
              </w:rPr>
              <w:t>1,514</w:t>
            </w:r>
            <w:r>
              <w:rPr>
                <w:rFonts w:ascii="Arial" w:cs="Arial" w:eastAsia="Arial" w:hAnsi="Arial"/>
                <w:sz w:val="18"/>
                <w:szCs w:val="18"/>
                <w:color w:val="auto"/>
                <w:vertAlign w:val="superscript"/>
              </w:rPr>
              <w:t>5</w:t>
            </w:r>
          </w:p>
        </w:tc>
        <w:tc>
          <w:tcPr>
            <w:tcW w:w="1020" w:type="dxa"/>
            <w:vAlign w:val="bottom"/>
            <w:tcBorders>
              <w:right w:val="single" w:sz="8" w:color="007CBA"/>
            </w:tcBorders>
            <w:shd w:val="clear" w:color="auto" w:fill="E5F1F8"/>
          </w:tcPr>
          <w:p>
            <w:pPr>
              <w:jc w:val="right"/>
              <w:ind w:right="109"/>
              <w:spacing w:after="0" w:line="159" w:lineRule="exact"/>
              <w:rPr>
                <w:sz w:val="20"/>
                <w:szCs w:val="20"/>
                <w:color w:val="auto"/>
              </w:rPr>
            </w:pPr>
            <w:r>
              <w:rPr>
                <w:rFonts w:ascii="Arial" w:cs="Arial" w:eastAsia="Arial" w:hAnsi="Arial"/>
                <w:sz w:val="14"/>
                <w:szCs w:val="14"/>
                <w:color w:val="auto"/>
              </w:rPr>
              <w:t>335,396</w:t>
            </w:r>
          </w:p>
        </w:tc>
        <w:tc>
          <w:tcPr>
            <w:tcW w:w="1240" w:type="dxa"/>
            <w:vAlign w:val="bottom"/>
            <w:tcBorders>
              <w:right w:val="single" w:sz="8" w:color="007CBA"/>
            </w:tcBorders>
            <w:shd w:val="clear" w:color="auto" w:fill="E5F1F8"/>
          </w:tcPr>
          <w:p>
            <w:pPr>
              <w:jc w:val="right"/>
              <w:ind w:right="38"/>
              <w:spacing w:after="0" w:line="159" w:lineRule="exact"/>
              <w:rPr>
                <w:sz w:val="20"/>
                <w:szCs w:val="20"/>
                <w:color w:val="auto"/>
              </w:rPr>
            </w:pPr>
            <w:r>
              <w:rPr>
                <w:rFonts w:ascii="Arial" w:cs="Arial" w:eastAsia="Arial" w:hAnsi="Arial"/>
                <w:sz w:val="11"/>
                <w:szCs w:val="11"/>
                <w:color w:val="auto"/>
              </w:rPr>
              <w:t>2168</w:t>
            </w:r>
            <w:r>
              <w:rPr>
                <w:rFonts w:ascii="Arial" w:cs="Arial" w:eastAsia="Arial" w:hAnsi="Arial"/>
                <w:sz w:val="18"/>
                <w:szCs w:val="18"/>
                <w:color w:val="auto"/>
                <w:vertAlign w:val="superscript"/>
              </w:rPr>
              <w:t>11</w:t>
            </w:r>
          </w:p>
        </w:tc>
        <w:tc>
          <w:tcPr>
            <w:tcW w:w="920" w:type="dxa"/>
            <w:vAlign w:val="bottom"/>
            <w:shd w:val="clear" w:color="auto" w:fill="E5F1F8"/>
          </w:tcPr>
          <w:p>
            <w:pPr>
              <w:jc w:val="right"/>
              <w:ind w:right="90"/>
              <w:spacing w:after="0" w:line="159" w:lineRule="exact"/>
              <w:rPr>
                <w:sz w:val="20"/>
                <w:szCs w:val="20"/>
                <w:color w:val="auto"/>
              </w:rPr>
            </w:pPr>
            <w:r>
              <w:rPr>
                <w:rFonts w:ascii="Arial" w:cs="Arial" w:eastAsia="Arial" w:hAnsi="Arial"/>
                <w:sz w:val="14"/>
                <w:szCs w:val="14"/>
                <w:color w:val="auto"/>
              </w:rPr>
              <w:t>480,277</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2,421</w:t>
            </w:r>
          </w:p>
        </w:tc>
        <w:tc>
          <w:tcPr>
            <w:tcW w:w="1200" w:type="dxa"/>
            <w:vAlign w:val="bottom"/>
            <w:tcBorders>
              <w:right w:val="single" w:sz="8" w:color="007CBA"/>
            </w:tcBorders>
            <w:shd w:val="clear" w:color="auto" w:fill="E5F1F8"/>
          </w:tcPr>
          <w:p>
            <w:pPr>
              <w:jc w:val="right"/>
              <w:ind w:right="75"/>
              <w:spacing w:after="0" w:line="162" w:lineRule="exact"/>
              <w:rPr>
                <w:sz w:val="20"/>
                <w:szCs w:val="20"/>
                <w:color w:val="auto"/>
              </w:rPr>
            </w:pPr>
            <w:r>
              <w:rPr>
                <w:rFonts w:ascii="Arial" w:cs="Arial" w:eastAsia="Arial" w:hAnsi="Arial"/>
                <w:sz w:val="11"/>
                <w:szCs w:val="11"/>
                <w:color w:val="auto"/>
              </w:rPr>
              <w:t>805</w:t>
            </w:r>
            <w:r>
              <w:rPr>
                <w:rFonts w:ascii="Arial" w:cs="Arial" w:eastAsia="Arial" w:hAnsi="Arial"/>
                <w:sz w:val="18"/>
                <w:szCs w:val="18"/>
                <w:color w:val="auto"/>
                <w:vertAlign w:val="superscript"/>
              </w:rPr>
              <w:t>2</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108.24</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5/23/2023</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8,127</w:t>
            </w:r>
            <w:r>
              <w:rPr>
                <w:rFonts w:ascii="Arial" w:cs="Arial" w:eastAsia="Arial" w:hAnsi="Arial"/>
                <w:sz w:val="18"/>
                <w:szCs w:val="18"/>
                <w:color w:val="auto"/>
                <w:vertAlign w:val="superscript"/>
              </w:rPr>
              <w:t>6</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1,800,374</w:t>
            </w:r>
          </w:p>
        </w:tc>
        <w:tc>
          <w:tcPr>
            <w:tcW w:w="1240" w:type="dxa"/>
            <w:vAlign w:val="bottom"/>
            <w:tcBorders>
              <w:right w:val="single" w:sz="8" w:color="007CBA"/>
            </w:tcBorders>
            <w:shd w:val="clear" w:color="auto" w:fill="E5F1F8"/>
          </w:tcPr>
          <w:p>
            <w:pPr>
              <w:jc w:val="right"/>
              <w:ind w:right="38"/>
              <w:spacing w:after="0" w:line="162" w:lineRule="exact"/>
              <w:rPr>
                <w:sz w:val="20"/>
                <w:szCs w:val="20"/>
                <w:color w:val="auto"/>
              </w:rPr>
            </w:pPr>
            <w:r>
              <w:rPr>
                <w:rFonts w:ascii="Arial" w:cs="Arial" w:eastAsia="Arial" w:hAnsi="Arial"/>
                <w:sz w:val="11"/>
                <w:szCs w:val="11"/>
                <w:color w:val="auto"/>
              </w:rPr>
              <w:t>2656</w:t>
            </w:r>
            <w:r>
              <w:rPr>
                <w:rFonts w:ascii="Arial" w:cs="Arial" w:eastAsia="Arial" w:hAnsi="Arial"/>
                <w:sz w:val="18"/>
                <w:szCs w:val="18"/>
                <w:color w:val="auto"/>
                <w:vertAlign w:val="superscript"/>
              </w:rPr>
              <w:t>12</w:t>
            </w:r>
          </w:p>
        </w:tc>
        <w:tc>
          <w:tcPr>
            <w:tcW w:w="920" w:type="dxa"/>
            <w:vAlign w:val="bottom"/>
            <w:shd w:val="clear" w:color="auto" w:fill="E5F1F8"/>
          </w:tcPr>
          <w:p>
            <w:pPr>
              <w:jc w:val="right"/>
              <w:ind w:right="90"/>
              <w:spacing w:after="0"/>
              <w:rPr>
                <w:sz w:val="20"/>
                <w:szCs w:val="20"/>
                <w:color w:val="auto"/>
              </w:rPr>
            </w:pPr>
            <w:r>
              <w:rPr>
                <w:rFonts w:ascii="Arial" w:cs="Arial" w:eastAsia="Arial" w:hAnsi="Arial"/>
                <w:sz w:val="14"/>
                <w:szCs w:val="14"/>
                <w:color w:val="auto"/>
              </w:rPr>
              <w:t>588,384</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1,514</w:t>
            </w:r>
          </w:p>
        </w:tc>
        <w:tc>
          <w:tcPr>
            <w:tcW w:w="1200" w:type="dxa"/>
            <w:vAlign w:val="bottom"/>
            <w:tcBorders>
              <w:right w:val="single" w:sz="8" w:color="007CBA"/>
            </w:tcBorders>
            <w:shd w:val="clear" w:color="auto" w:fill="E5F1F8"/>
          </w:tcPr>
          <w:p>
            <w:pPr>
              <w:jc w:val="right"/>
              <w:ind w:right="75"/>
              <w:spacing w:after="0" w:line="162" w:lineRule="exact"/>
              <w:rPr>
                <w:sz w:val="20"/>
                <w:szCs w:val="20"/>
                <w:color w:val="auto"/>
              </w:rPr>
            </w:pPr>
            <w:r>
              <w:rPr>
                <w:rFonts w:ascii="Arial" w:cs="Arial" w:eastAsia="Arial" w:hAnsi="Arial"/>
                <w:sz w:val="11"/>
                <w:szCs w:val="11"/>
                <w:color w:val="auto"/>
              </w:rPr>
              <w:t>1,513</w:t>
            </w:r>
            <w:r>
              <w:rPr>
                <w:rFonts w:ascii="Arial" w:cs="Arial" w:eastAsia="Arial" w:hAnsi="Arial"/>
                <w:sz w:val="18"/>
                <w:szCs w:val="18"/>
                <w:color w:val="auto"/>
                <w:vertAlign w:val="superscript"/>
              </w:rPr>
              <w:t>3</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121.00</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5/22/2024</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1,332</w:t>
            </w:r>
            <w:r>
              <w:rPr>
                <w:rFonts w:ascii="Arial" w:cs="Arial" w:eastAsia="Arial" w:hAnsi="Arial"/>
                <w:sz w:val="18"/>
                <w:szCs w:val="18"/>
                <w:color w:val="auto"/>
                <w:vertAlign w:val="superscript"/>
              </w:rPr>
              <w:t>7</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295,078</w:t>
            </w:r>
          </w:p>
        </w:tc>
        <w:tc>
          <w:tcPr>
            <w:tcW w:w="1240" w:type="dxa"/>
            <w:vAlign w:val="bottom"/>
            <w:tcBorders>
              <w:right w:val="single" w:sz="8" w:color="007CBA"/>
            </w:tcBorders>
            <w:shd w:val="clear" w:color="auto" w:fill="E5F1F8"/>
          </w:tcPr>
          <w:p>
            <w:pPr>
              <w:jc w:val="right"/>
              <w:ind w:right="38"/>
              <w:spacing w:after="0" w:line="162" w:lineRule="exact"/>
              <w:rPr>
                <w:sz w:val="20"/>
                <w:szCs w:val="20"/>
                <w:color w:val="auto"/>
              </w:rPr>
            </w:pPr>
            <w:r>
              <w:rPr>
                <w:rFonts w:ascii="Arial" w:cs="Arial" w:eastAsia="Arial" w:hAnsi="Arial"/>
                <w:sz w:val="11"/>
                <w:szCs w:val="11"/>
                <w:color w:val="auto"/>
              </w:rPr>
              <w:t>5884</w:t>
            </w:r>
            <w:r>
              <w:rPr>
                <w:rFonts w:ascii="Arial" w:cs="Arial" w:eastAsia="Arial" w:hAnsi="Arial"/>
                <w:sz w:val="18"/>
                <w:szCs w:val="18"/>
                <w:color w:val="auto"/>
                <w:vertAlign w:val="superscript"/>
              </w:rPr>
              <w:t>13</w:t>
            </w:r>
          </w:p>
        </w:tc>
        <w:tc>
          <w:tcPr>
            <w:tcW w:w="920" w:type="dxa"/>
            <w:vAlign w:val="bottom"/>
            <w:shd w:val="clear" w:color="auto" w:fill="E5F1F8"/>
          </w:tcPr>
          <w:p>
            <w:pPr>
              <w:jc w:val="right"/>
              <w:ind w:right="90"/>
              <w:spacing w:after="0"/>
              <w:rPr>
                <w:sz w:val="20"/>
                <w:szCs w:val="20"/>
                <w:color w:val="auto"/>
              </w:rPr>
            </w:pPr>
            <w:r>
              <w:rPr>
                <w:rFonts w:ascii="Arial" w:cs="Arial" w:eastAsia="Arial" w:hAnsi="Arial"/>
                <w:sz w:val="14"/>
                <w:szCs w:val="14"/>
                <w:color w:val="auto"/>
              </w:rPr>
              <w:t>1,303,483</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89"/>
              <w:spacing w:after="0"/>
              <w:rPr>
                <w:sz w:val="20"/>
                <w:szCs w:val="20"/>
                <w:color w:val="auto"/>
              </w:rPr>
            </w:pPr>
            <w:r>
              <w:rPr>
                <w:rFonts w:ascii="Arial" w:cs="Arial" w:eastAsia="Arial" w:hAnsi="Arial"/>
                <w:sz w:val="14"/>
                <w:szCs w:val="14"/>
                <w:color w:val="auto"/>
              </w:rPr>
              <w:t>666</w:t>
            </w:r>
          </w:p>
        </w:tc>
        <w:tc>
          <w:tcPr>
            <w:tcW w:w="1200" w:type="dxa"/>
            <w:vAlign w:val="bottom"/>
            <w:tcBorders>
              <w:right w:val="single" w:sz="8" w:color="007CBA"/>
            </w:tcBorders>
            <w:shd w:val="clear" w:color="auto" w:fill="E5F1F8"/>
          </w:tcPr>
          <w:p>
            <w:pPr>
              <w:jc w:val="right"/>
              <w:ind w:right="75"/>
              <w:spacing w:after="0" w:line="162" w:lineRule="exact"/>
              <w:rPr>
                <w:sz w:val="20"/>
                <w:szCs w:val="20"/>
                <w:color w:val="auto"/>
              </w:rPr>
            </w:pPr>
            <w:r>
              <w:rPr>
                <w:rFonts w:ascii="Arial" w:cs="Arial" w:eastAsia="Arial" w:hAnsi="Arial"/>
                <w:sz w:val="11"/>
                <w:szCs w:val="11"/>
                <w:color w:val="auto"/>
              </w:rPr>
              <w:t>1,997</w:t>
            </w:r>
            <w:r>
              <w:rPr>
                <w:rFonts w:ascii="Arial" w:cs="Arial" w:eastAsia="Arial" w:hAnsi="Arial"/>
                <w:sz w:val="18"/>
                <w:szCs w:val="18"/>
                <w:color w:val="auto"/>
                <w:vertAlign w:val="superscript"/>
              </w:rPr>
              <w:t>4</w:t>
            </w: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154.58</w:t>
            </w:r>
          </w:p>
        </w:tc>
        <w:tc>
          <w:tcPr>
            <w:tcW w:w="94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5/21/2025</w:t>
            </w: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1,471</w:t>
            </w:r>
            <w:r>
              <w:rPr>
                <w:rFonts w:ascii="Arial" w:cs="Arial" w:eastAsia="Arial" w:hAnsi="Arial"/>
                <w:sz w:val="18"/>
                <w:szCs w:val="18"/>
                <w:color w:val="auto"/>
                <w:vertAlign w:val="superscript"/>
              </w:rPr>
              <w:t>8</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325,871</w:t>
            </w:r>
          </w:p>
        </w:tc>
        <w:tc>
          <w:tcPr>
            <w:tcW w:w="1240" w:type="dxa"/>
            <w:vAlign w:val="bottom"/>
            <w:tcBorders>
              <w:right w:val="single" w:sz="8" w:color="007CBA"/>
            </w:tcBorders>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spacing w:after="0"/>
              <w:rPr>
                <w:sz w:val="14"/>
                <w:szCs w:val="14"/>
                <w:color w:val="auto"/>
              </w:rPr>
            </w:pPr>
          </w:p>
        </w:tc>
        <w:tc>
          <w:tcPr>
            <w:tcW w:w="120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spacing w:after="0"/>
              <w:rPr>
                <w:sz w:val="14"/>
                <w:szCs w:val="14"/>
                <w:color w:val="auto"/>
              </w:rPr>
            </w:pPr>
          </w:p>
        </w:tc>
        <w:tc>
          <w:tcPr>
            <w:tcW w:w="820" w:type="dxa"/>
            <w:vAlign w:val="bottom"/>
            <w:tcBorders>
              <w:right w:val="single" w:sz="8" w:color="007CBA"/>
            </w:tcBorders>
            <w:shd w:val="clear" w:color="auto" w:fill="E5F1F8"/>
          </w:tcPr>
          <w:p>
            <w:pPr>
              <w:spacing w:after="0"/>
              <w:rPr>
                <w:sz w:val="14"/>
                <w:szCs w:val="14"/>
                <w:color w:val="auto"/>
              </w:rPr>
            </w:pPr>
          </w:p>
        </w:tc>
        <w:tc>
          <w:tcPr>
            <w:tcW w:w="940" w:type="dxa"/>
            <w:vAlign w:val="bottom"/>
            <w:tcBorders>
              <w:right w:val="single" w:sz="8" w:color="007CBA"/>
            </w:tcBorders>
            <w:shd w:val="clear" w:color="auto" w:fill="E5F1F8"/>
          </w:tcPr>
          <w:p>
            <w:pPr>
              <w:spacing w:after="0"/>
              <w:rPr>
                <w:sz w:val="14"/>
                <w:szCs w:val="14"/>
                <w:color w:val="auto"/>
              </w:rPr>
            </w:pPr>
          </w:p>
        </w:tc>
        <w:tc>
          <w:tcPr>
            <w:tcW w:w="1060" w:type="dxa"/>
            <w:vAlign w:val="bottom"/>
            <w:tcBorders>
              <w:right w:val="single" w:sz="8" w:color="007CBA"/>
            </w:tcBorders>
            <w:shd w:val="clear" w:color="auto" w:fill="E5F1F8"/>
          </w:tcPr>
          <w:p>
            <w:pPr>
              <w:jc w:val="right"/>
              <w:ind w:right="100"/>
              <w:spacing w:after="0" w:line="162" w:lineRule="exact"/>
              <w:rPr>
                <w:sz w:val="20"/>
                <w:szCs w:val="20"/>
                <w:color w:val="auto"/>
              </w:rPr>
            </w:pPr>
            <w:r>
              <w:rPr>
                <w:rFonts w:ascii="Arial" w:cs="Arial" w:eastAsia="Arial" w:hAnsi="Arial"/>
                <w:sz w:val="11"/>
                <w:szCs w:val="11"/>
                <w:color w:val="auto"/>
              </w:rPr>
              <w:t>525</w:t>
            </w:r>
            <w:r>
              <w:rPr>
                <w:rFonts w:ascii="Arial" w:cs="Arial" w:eastAsia="Arial" w:hAnsi="Arial"/>
                <w:sz w:val="18"/>
                <w:szCs w:val="18"/>
                <w:color w:val="auto"/>
                <w:vertAlign w:val="superscript"/>
              </w:rPr>
              <w:t>9</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116,303</w:t>
            </w:r>
          </w:p>
        </w:tc>
        <w:tc>
          <w:tcPr>
            <w:tcW w:w="1240" w:type="dxa"/>
            <w:vAlign w:val="bottom"/>
            <w:tcBorders>
              <w:right w:val="single" w:sz="8" w:color="007CBA"/>
            </w:tcBorders>
            <w:shd w:val="clear" w:color="auto" w:fill="E5F1F8"/>
          </w:tcPr>
          <w:p>
            <w:pPr>
              <w:spacing w:after="0"/>
              <w:rPr>
                <w:sz w:val="14"/>
                <w:szCs w:val="14"/>
                <w:color w:val="auto"/>
              </w:rPr>
            </w:pPr>
          </w:p>
        </w:tc>
        <w:tc>
          <w:tcPr>
            <w:tcW w:w="920" w:type="dxa"/>
            <w:vAlign w:val="bottom"/>
            <w:shd w:val="clear" w:color="auto" w:fill="E5F1F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00" w:type="dxa"/>
            <w:vAlign w:val="bottom"/>
            <w:tcBorders>
              <w:right w:val="single" w:sz="8" w:color="007CBA"/>
            </w:tcBorders>
            <w:shd w:val="clear" w:color="auto" w:fill="E5F1F8"/>
          </w:tcPr>
          <w:p>
            <w:pPr>
              <w:spacing w:after="0"/>
              <w:rPr>
                <w:sz w:val="15"/>
                <w:szCs w:val="15"/>
                <w:color w:val="auto"/>
              </w:rPr>
            </w:pPr>
          </w:p>
        </w:tc>
        <w:tc>
          <w:tcPr>
            <w:tcW w:w="1060" w:type="dxa"/>
            <w:vAlign w:val="bottom"/>
            <w:tcBorders>
              <w:right w:val="single" w:sz="8" w:color="007CBA"/>
            </w:tcBorders>
            <w:shd w:val="clear" w:color="auto" w:fill="E5F1F8"/>
          </w:tcPr>
          <w:p>
            <w:pPr>
              <w:spacing w:after="0"/>
              <w:rPr>
                <w:sz w:val="15"/>
                <w:szCs w:val="15"/>
                <w:color w:val="auto"/>
              </w:rPr>
            </w:pPr>
          </w:p>
        </w:tc>
        <w:tc>
          <w:tcPr>
            <w:tcW w:w="1200" w:type="dxa"/>
            <w:vAlign w:val="bottom"/>
            <w:tcBorders>
              <w:right w:val="single" w:sz="8" w:color="007CBA"/>
            </w:tcBorders>
            <w:shd w:val="clear" w:color="auto" w:fill="E5F1F8"/>
          </w:tcPr>
          <w:p>
            <w:pPr>
              <w:spacing w:after="0"/>
              <w:rPr>
                <w:sz w:val="15"/>
                <w:szCs w:val="15"/>
                <w:color w:val="auto"/>
              </w:rPr>
            </w:pPr>
          </w:p>
        </w:tc>
        <w:tc>
          <w:tcPr>
            <w:tcW w:w="1060" w:type="dxa"/>
            <w:vAlign w:val="bottom"/>
            <w:tcBorders>
              <w:right w:val="single" w:sz="8" w:color="007CBA"/>
            </w:tcBorders>
            <w:shd w:val="clear" w:color="auto" w:fill="E5F1F8"/>
          </w:tcPr>
          <w:p>
            <w:pPr>
              <w:spacing w:after="0"/>
              <w:rPr>
                <w:sz w:val="15"/>
                <w:szCs w:val="15"/>
                <w:color w:val="auto"/>
              </w:rPr>
            </w:pPr>
          </w:p>
        </w:tc>
        <w:tc>
          <w:tcPr>
            <w:tcW w:w="820" w:type="dxa"/>
            <w:vAlign w:val="bottom"/>
            <w:tcBorders>
              <w:right w:val="single" w:sz="8" w:color="007CBA"/>
            </w:tcBorders>
            <w:shd w:val="clear" w:color="auto" w:fill="E5F1F8"/>
          </w:tcPr>
          <w:p>
            <w:pPr>
              <w:spacing w:after="0"/>
              <w:rPr>
                <w:sz w:val="15"/>
                <w:szCs w:val="15"/>
                <w:color w:val="auto"/>
              </w:rPr>
            </w:pPr>
          </w:p>
        </w:tc>
        <w:tc>
          <w:tcPr>
            <w:tcW w:w="940" w:type="dxa"/>
            <w:vAlign w:val="bottom"/>
            <w:tcBorders>
              <w:right w:val="single" w:sz="8" w:color="007CBA"/>
            </w:tcBorders>
            <w:shd w:val="clear" w:color="auto" w:fill="E5F1F8"/>
          </w:tcPr>
          <w:p>
            <w:pPr>
              <w:spacing w:after="0"/>
              <w:rPr>
                <w:sz w:val="15"/>
                <w:szCs w:val="15"/>
                <w:color w:val="auto"/>
              </w:rPr>
            </w:pPr>
          </w:p>
        </w:tc>
        <w:tc>
          <w:tcPr>
            <w:tcW w:w="1060" w:type="dxa"/>
            <w:vAlign w:val="bottom"/>
            <w:tcBorders>
              <w:right w:val="single" w:sz="8" w:color="007CBA"/>
            </w:tcBorders>
            <w:shd w:val="clear" w:color="auto" w:fill="E5F1F8"/>
          </w:tcPr>
          <w:p>
            <w:pPr>
              <w:jc w:val="right"/>
              <w:ind w:right="40"/>
              <w:spacing w:after="0" w:line="179" w:lineRule="exact"/>
              <w:rPr>
                <w:sz w:val="20"/>
                <w:szCs w:val="20"/>
                <w:color w:val="auto"/>
              </w:rPr>
            </w:pPr>
            <w:r>
              <w:rPr>
                <w:rFonts w:ascii="Arial" w:cs="Arial" w:eastAsia="Arial" w:hAnsi="Arial"/>
                <w:sz w:val="12"/>
                <w:szCs w:val="12"/>
                <w:color w:val="auto"/>
              </w:rPr>
              <w:t>481</w:t>
            </w:r>
            <w:r>
              <w:rPr>
                <w:rFonts w:ascii="Arial" w:cs="Arial" w:eastAsia="Arial" w:hAnsi="Arial"/>
                <w:sz w:val="20"/>
                <w:szCs w:val="20"/>
                <w:color w:val="auto"/>
                <w:vertAlign w:val="superscript"/>
              </w:rPr>
              <w:t>10</w:t>
            </w:r>
          </w:p>
        </w:tc>
        <w:tc>
          <w:tcPr>
            <w:tcW w:w="1020" w:type="dxa"/>
            <w:vAlign w:val="bottom"/>
            <w:tcBorders>
              <w:right w:val="single" w:sz="8" w:color="007CBA"/>
            </w:tcBorders>
            <w:shd w:val="clear" w:color="auto" w:fill="E5F1F8"/>
          </w:tcPr>
          <w:p>
            <w:pPr>
              <w:jc w:val="right"/>
              <w:ind w:right="109"/>
              <w:spacing w:after="0"/>
              <w:rPr>
                <w:sz w:val="20"/>
                <w:szCs w:val="20"/>
                <w:color w:val="auto"/>
              </w:rPr>
            </w:pPr>
            <w:r>
              <w:rPr>
                <w:rFonts w:ascii="Arial" w:cs="Arial" w:eastAsia="Arial" w:hAnsi="Arial"/>
                <w:sz w:val="14"/>
                <w:szCs w:val="14"/>
                <w:color w:val="auto"/>
              </w:rPr>
              <w:t>106,556</w:t>
            </w:r>
          </w:p>
        </w:tc>
        <w:tc>
          <w:tcPr>
            <w:tcW w:w="1240" w:type="dxa"/>
            <w:vAlign w:val="bottom"/>
            <w:tcBorders>
              <w:right w:val="single" w:sz="8" w:color="007CBA"/>
            </w:tcBorders>
            <w:shd w:val="clear" w:color="auto" w:fill="E5F1F8"/>
          </w:tcPr>
          <w:p>
            <w:pPr>
              <w:spacing w:after="0"/>
              <w:rPr>
                <w:sz w:val="15"/>
                <w:szCs w:val="15"/>
                <w:color w:val="auto"/>
              </w:rPr>
            </w:pPr>
          </w:p>
        </w:tc>
        <w:tc>
          <w:tcPr>
            <w:tcW w:w="92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00" w:type="dxa"/>
            <w:vAlign w:val="bottom"/>
            <w:tcBorders>
              <w:right w:val="single" w:sz="8" w:color="007CBA"/>
            </w:tcBorders>
          </w:tcPr>
          <w:p>
            <w:pPr>
              <w:ind w:left="80"/>
              <w:spacing w:after="0" w:line="159" w:lineRule="exact"/>
              <w:rPr>
                <w:sz w:val="20"/>
                <w:szCs w:val="20"/>
                <w:color w:val="auto"/>
              </w:rPr>
            </w:pPr>
            <w:r>
              <w:rPr>
                <w:rFonts w:ascii="Arial" w:cs="Arial" w:eastAsia="Arial" w:hAnsi="Arial"/>
                <w:sz w:val="14"/>
                <w:szCs w:val="14"/>
                <w:b w:val="1"/>
                <w:bCs w:val="1"/>
                <w:color w:val="auto"/>
              </w:rPr>
              <w:t>Daniel L. Grant</w:t>
            </w:r>
          </w:p>
        </w:tc>
        <w:tc>
          <w:tcPr>
            <w:tcW w:w="1060" w:type="dxa"/>
            <w:vAlign w:val="bottom"/>
            <w:tcBorders>
              <w:right w:val="single" w:sz="8" w:color="007CBA"/>
            </w:tcBorders>
          </w:tcPr>
          <w:p>
            <w:pPr>
              <w:jc w:val="right"/>
              <w:ind w:right="89"/>
              <w:spacing w:after="0" w:line="159" w:lineRule="exact"/>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tcPr>
          <w:p>
            <w:pPr>
              <w:jc w:val="right"/>
              <w:ind w:right="75"/>
              <w:spacing w:after="0" w:line="159" w:lineRule="exact"/>
              <w:rPr>
                <w:sz w:val="20"/>
                <w:szCs w:val="20"/>
                <w:color w:val="auto"/>
              </w:rPr>
            </w:pPr>
            <w:r>
              <w:rPr>
                <w:rFonts w:ascii="Arial" w:cs="Arial" w:eastAsia="Arial" w:hAnsi="Arial"/>
                <w:sz w:val="11"/>
                <w:szCs w:val="11"/>
                <w:color w:val="auto"/>
              </w:rPr>
              <w:t>816</w:t>
            </w:r>
            <w:r>
              <w:rPr>
                <w:rFonts w:ascii="Arial" w:cs="Arial" w:eastAsia="Arial" w:hAnsi="Arial"/>
                <w:sz w:val="18"/>
                <w:szCs w:val="18"/>
                <w:color w:val="auto"/>
                <w:vertAlign w:val="superscript"/>
              </w:rPr>
              <w:t>3</w:t>
            </w:r>
          </w:p>
        </w:tc>
        <w:tc>
          <w:tcPr>
            <w:tcW w:w="1060" w:type="dxa"/>
            <w:vAlign w:val="bottom"/>
            <w:tcBorders>
              <w:right w:val="single" w:sz="8" w:color="007CBA"/>
            </w:tcBorders>
          </w:tcPr>
          <w:p>
            <w:pPr>
              <w:spacing w:after="0"/>
              <w:rPr>
                <w:sz w:val="13"/>
                <w:szCs w:val="13"/>
                <w:color w:val="auto"/>
              </w:rPr>
            </w:pPr>
          </w:p>
        </w:tc>
        <w:tc>
          <w:tcPr>
            <w:tcW w:w="82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121.00</w:t>
            </w:r>
          </w:p>
        </w:tc>
        <w:tc>
          <w:tcPr>
            <w:tcW w:w="94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5/22/2024</w:t>
            </w:r>
          </w:p>
        </w:tc>
        <w:tc>
          <w:tcPr>
            <w:tcW w:w="1060" w:type="dxa"/>
            <w:vAlign w:val="bottom"/>
            <w:tcBorders>
              <w:right w:val="single" w:sz="8" w:color="007CBA"/>
            </w:tcBorders>
          </w:tcPr>
          <w:p>
            <w:pPr>
              <w:jc w:val="right"/>
              <w:ind w:right="100"/>
              <w:spacing w:after="0" w:line="159" w:lineRule="exact"/>
              <w:rPr>
                <w:sz w:val="20"/>
                <w:szCs w:val="20"/>
                <w:color w:val="auto"/>
              </w:rPr>
            </w:pPr>
            <w:r>
              <w:rPr>
                <w:rFonts w:ascii="Arial" w:cs="Arial" w:eastAsia="Arial" w:hAnsi="Arial"/>
                <w:sz w:val="11"/>
                <w:szCs w:val="11"/>
                <w:color w:val="auto"/>
              </w:rPr>
              <w:t>816</w:t>
            </w:r>
            <w:r>
              <w:rPr>
                <w:rFonts w:ascii="Arial" w:cs="Arial" w:eastAsia="Arial" w:hAnsi="Arial"/>
                <w:sz w:val="18"/>
                <w:szCs w:val="18"/>
                <w:color w:val="auto"/>
                <w:vertAlign w:val="superscript"/>
              </w:rPr>
              <w:t>5</w:t>
            </w:r>
          </w:p>
        </w:tc>
        <w:tc>
          <w:tcPr>
            <w:tcW w:w="1020" w:type="dxa"/>
            <w:vAlign w:val="bottom"/>
            <w:tcBorders>
              <w:right w:val="single" w:sz="8" w:color="007CBA"/>
            </w:tcBorders>
          </w:tcPr>
          <w:p>
            <w:pPr>
              <w:jc w:val="right"/>
              <w:ind w:right="109"/>
              <w:spacing w:after="0" w:line="159" w:lineRule="exact"/>
              <w:rPr>
                <w:sz w:val="20"/>
                <w:szCs w:val="20"/>
                <w:color w:val="auto"/>
              </w:rPr>
            </w:pPr>
            <w:r>
              <w:rPr>
                <w:rFonts w:ascii="Arial" w:cs="Arial" w:eastAsia="Arial" w:hAnsi="Arial"/>
                <w:sz w:val="14"/>
                <w:szCs w:val="14"/>
                <w:color w:val="auto"/>
              </w:rPr>
              <w:t>180,768</w:t>
            </w:r>
          </w:p>
        </w:tc>
        <w:tc>
          <w:tcPr>
            <w:tcW w:w="1240" w:type="dxa"/>
            <w:vAlign w:val="bottom"/>
            <w:tcBorders>
              <w:right w:val="single" w:sz="8" w:color="007CBA"/>
            </w:tcBorders>
          </w:tcPr>
          <w:p>
            <w:pPr>
              <w:jc w:val="right"/>
              <w:ind w:right="38"/>
              <w:spacing w:after="0" w:line="159" w:lineRule="exact"/>
              <w:rPr>
                <w:sz w:val="20"/>
                <w:szCs w:val="20"/>
                <w:color w:val="auto"/>
              </w:rPr>
            </w:pPr>
            <w:r>
              <w:rPr>
                <w:rFonts w:ascii="Arial" w:cs="Arial" w:eastAsia="Arial" w:hAnsi="Arial"/>
                <w:sz w:val="11"/>
                <w:szCs w:val="11"/>
                <w:color w:val="auto"/>
              </w:rPr>
              <w:t>2058</w:t>
            </w:r>
            <w:r>
              <w:rPr>
                <w:rFonts w:ascii="Arial" w:cs="Arial" w:eastAsia="Arial" w:hAnsi="Arial"/>
                <w:sz w:val="18"/>
                <w:szCs w:val="18"/>
                <w:color w:val="auto"/>
                <w:vertAlign w:val="superscript"/>
              </w:rPr>
              <w:t>11</w:t>
            </w:r>
          </w:p>
        </w:tc>
        <w:tc>
          <w:tcPr>
            <w:tcW w:w="920" w:type="dxa"/>
            <w:vAlign w:val="bottom"/>
          </w:tcPr>
          <w:p>
            <w:pPr>
              <w:jc w:val="right"/>
              <w:ind w:right="90"/>
              <w:spacing w:after="0" w:line="159" w:lineRule="exact"/>
              <w:rPr>
                <w:sz w:val="20"/>
                <w:szCs w:val="20"/>
                <w:color w:val="auto"/>
              </w:rPr>
            </w:pPr>
            <w:r>
              <w:rPr>
                <w:rFonts w:ascii="Arial" w:cs="Arial" w:eastAsia="Arial" w:hAnsi="Arial"/>
                <w:sz w:val="14"/>
                <w:szCs w:val="14"/>
                <w:color w:val="auto"/>
              </w:rPr>
              <w:t>455,909</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89"/>
              <w:spacing w:after="0"/>
              <w:rPr>
                <w:sz w:val="20"/>
                <w:szCs w:val="20"/>
                <w:color w:val="auto"/>
              </w:rPr>
            </w:pPr>
            <w:r>
              <w:rPr>
                <w:rFonts w:ascii="Arial" w:cs="Arial" w:eastAsia="Arial" w:hAnsi="Arial"/>
                <w:sz w:val="14"/>
                <w:szCs w:val="14"/>
                <w:color w:val="auto"/>
              </w:rPr>
              <w:t>0</w:t>
            </w:r>
          </w:p>
        </w:tc>
        <w:tc>
          <w:tcPr>
            <w:tcW w:w="1200" w:type="dxa"/>
            <w:vAlign w:val="bottom"/>
            <w:tcBorders>
              <w:right w:val="single" w:sz="8" w:color="007CBA"/>
            </w:tcBorders>
          </w:tcPr>
          <w:p>
            <w:pPr>
              <w:jc w:val="right"/>
              <w:ind w:right="75"/>
              <w:spacing w:after="0" w:line="162" w:lineRule="exact"/>
              <w:rPr>
                <w:sz w:val="20"/>
                <w:szCs w:val="20"/>
                <w:color w:val="auto"/>
              </w:rPr>
            </w:pPr>
            <w:r>
              <w:rPr>
                <w:rFonts w:ascii="Arial" w:cs="Arial" w:eastAsia="Arial" w:hAnsi="Arial"/>
                <w:sz w:val="11"/>
                <w:szCs w:val="11"/>
                <w:color w:val="auto"/>
              </w:rPr>
              <w:t>1,076</w:t>
            </w:r>
            <w:r>
              <w:rPr>
                <w:rFonts w:ascii="Arial" w:cs="Arial" w:eastAsia="Arial" w:hAnsi="Arial"/>
                <w:sz w:val="18"/>
                <w:szCs w:val="18"/>
                <w:color w:val="auto"/>
                <w:vertAlign w:val="superscript"/>
              </w:rPr>
              <w:t>4</w:t>
            </w: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154.58</w:t>
            </w:r>
          </w:p>
        </w:tc>
        <w:tc>
          <w:tcPr>
            <w:tcW w:w="94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5/21/2025</w:t>
            </w: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7,643</w:t>
            </w:r>
            <w:r>
              <w:rPr>
                <w:rFonts w:ascii="Arial" w:cs="Arial" w:eastAsia="Arial" w:hAnsi="Arial"/>
                <w:sz w:val="18"/>
                <w:szCs w:val="18"/>
                <w:color w:val="auto"/>
                <w:vertAlign w:val="superscript"/>
              </w:rPr>
              <w:t>6</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1,693,154</w:t>
            </w:r>
          </w:p>
        </w:tc>
        <w:tc>
          <w:tcPr>
            <w:tcW w:w="1240" w:type="dxa"/>
            <w:vAlign w:val="bottom"/>
            <w:tcBorders>
              <w:right w:val="single" w:sz="8" w:color="007CBA"/>
            </w:tcBorders>
          </w:tcPr>
          <w:p>
            <w:pPr>
              <w:jc w:val="right"/>
              <w:ind w:right="38"/>
              <w:spacing w:after="0" w:line="162" w:lineRule="exact"/>
              <w:rPr>
                <w:sz w:val="20"/>
                <w:szCs w:val="20"/>
                <w:color w:val="auto"/>
              </w:rPr>
            </w:pPr>
            <w:r>
              <w:rPr>
                <w:rFonts w:ascii="Arial" w:cs="Arial" w:eastAsia="Arial" w:hAnsi="Arial"/>
                <w:sz w:val="11"/>
                <w:szCs w:val="11"/>
                <w:color w:val="auto"/>
              </w:rPr>
              <w:t>2506</w:t>
            </w:r>
            <w:r>
              <w:rPr>
                <w:rFonts w:ascii="Arial" w:cs="Arial" w:eastAsia="Arial" w:hAnsi="Arial"/>
                <w:sz w:val="18"/>
                <w:szCs w:val="18"/>
                <w:color w:val="auto"/>
                <w:vertAlign w:val="superscript"/>
              </w:rPr>
              <w:t>12</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555,154</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spacing w:after="0"/>
              <w:rPr>
                <w:sz w:val="14"/>
                <w:szCs w:val="14"/>
                <w:color w:val="auto"/>
              </w:rPr>
            </w:pPr>
          </w:p>
        </w:tc>
        <w:tc>
          <w:tcPr>
            <w:tcW w:w="94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718</w:t>
            </w:r>
            <w:r>
              <w:rPr>
                <w:rFonts w:ascii="Arial" w:cs="Arial" w:eastAsia="Arial" w:hAnsi="Arial"/>
                <w:sz w:val="18"/>
                <w:szCs w:val="18"/>
                <w:color w:val="auto"/>
                <w:vertAlign w:val="superscript"/>
              </w:rPr>
              <w:t>7</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159,059</w:t>
            </w:r>
          </w:p>
        </w:tc>
        <w:tc>
          <w:tcPr>
            <w:tcW w:w="1240" w:type="dxa"/>
            <w:vAlign w:val="bottom"/>
            <w:tcBorders>
              <w:right w:val="single" w:sz="8" w:color="007CBA"/>
            </w:tcBorders>
          </w:tcPr>
          <w:p>
            <w:pPr>
              <w:jc w:val="right"/>
              <w:ind w:right="38"/>
              <w:spacing w:after="0" w:line="162" w:lineRule="exact"/>
              <w:rPr>
                <w:sz w:val="20"/>
                <w:szCs w:val="20"/>
                <w:color w:val="auto"/>
              </w:rPr>
            </w:pPr>
            <w:r>
              <w:rPr>
                <w:rFonts w:ascii="Arial" w:cs="Arial" w:eastAsia="Arial" w:hAnsi="Arial"/>
                <w:sz w:val="11"/>
                <w:szCs w:val="11"/>
                <w:color w:val="auto"/>
              </w:rPr>
              <w:t>4814</w:t>
            </w:r>
            <w:r>
              <w:rPr>
                <w:rFonts w:ascii="Arial" w:cs="Arial" w:eastAsia="Arial" w:hAnsi="Arial"/>
                <w:sz w:val="18"/>
                <w:szCs w:val="18"/>
                <w:color w:val="auto"/>
                <w:vertAlign w:val="superscript"/>
              </w:rPr>
              <w:t>13</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1,066,445</w:t>
            </w: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spacing w:after="0"/>
              <w:rPr>
                <w:sz w:val="14"/>
                <w:szCs w:val="14"/>
                <w:color w:val="auto"/>
              </w:rPr>
            </w:pPr>
          </w:p>
        </w:tc>
        <w:tc>
          <w:tcPr>
            <w:tcW w:w="94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1,163</w:t>
            </w:r>
            <w:r>
              <w:rPr>
                <w:rFonts w:ascii="Arial" w:cs="Arial" w:eastAsia="Arial" w:hAnsi="Arial"/>
                <w:sz w:val="18"/>
                <w:szCs w:val="18"/>
                <w:color w:val="auto"/>
                <w:vertAlign w:val="superscript"/>
              </w:rPr>
              <w:t>8</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257,639</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120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spacing w:after="0"/>
              <w:rPr>
                <w:sz w:val="14"/>
                <w:szCs w:val="14"/>
                <w:color w:val="auto"/>
              </w:rPr>
            </w:pPr>
          </w:p>
        </w:tc>
        <w:tc>
          <w:tcPr>
            <w:tcW w:w="820" w:type="dxa"/>
            <w:vAlign w:val="bottom"/>
            <w:tcBorders>
              <w:right w:val="single" w:sz="8" w:color="007CBA"/>
            </w:tcBorders>
          </w:tcPr>
          <w:p>
            <w:pPr>
              <w:spacing w:after="0"/>
              <w:rPr>
                <w:sz w:val="14"/>
                <w:szCs w:val="14"/>
                <w:color w:val="auto"/>
              </w:rPr>
            </w:pPr>
          </w:p>
        </w:tc>
        <w:tc>
          <w:tcPr>
            <w:tcW w:w="940" w:type="dxa"/>
            <w:vAlign w:val="bottom"/>
            <w:tcBorders>
              <w:right w:val="single" w:sz="8" w:color="007CBA"/>
            </w:tcBorders>
          </w:tcPr>
          <w:p>
            <w:pPr>
              <w:spacing w:after="0"/>
              <w:rPr>
                <w:sz w:val="14"/>
                <w:szCs w:val="14"/>
                <w:color w:val="auto"/>
              </w:rPr>
            </w:pPr>
          </w:p>
        </w:tc>
        <w:tc>
          <w:tcPr>
            <w:tcW w:w="1060" w:type="dxa"/>
            <w:vAlign w:val="bottom"/>
            <w:tcBorders>
              <w:right w:val="single" w:sz="8" w:color="007CBA"/>
            </w:tcBorders>
          </w:tcPr>
          <w:p>
            <w:pPr>
              <w:jc w:val="right"/>
              <w:ind w:right="100"/>
              <w:spacing w:after="0" w:line="162" w:lineRule="exact"/>
              <w:rPr>
                <w:sz w:val="20"/>
                <w:szCs w:val="20"/>
                <w:color w:val="auto"/>
              </w:rPr>
            </w:pPr>
            <w:r>
              <w:rPr>
                <w:rFonts w:ascii="Arial" w:cs="Arial" w:eastAsia="Arial" w:hAnsi="Arial"/>
                <w:sz w:val="11"/>
                <w:szCs w:val="11"/>
                <w:color w:val="auto"/>
              </w:rPr>
              <w:t>732</w:t>
            </w:r>
            <w:r>
              <w:rPr>
                <w:rFonts w:ascii="Arial" w:cs="Arial" w:eastAsia="Arial" w:hAnsi="Arial"/>
                <w:sz w:val="18"/>
                <w:szCs w:val="18"/>
                <w:color w:val="auto"/>
                <w:vertAlign w:val="superscript"/>
              </w:rPr>
              <w:t>9</w:t>
            </w:r>
          </w:p>
        </w:tc>
        <w:tc>
          <w:tcPr>
            <w:tcW w:w="1020" w:type="dxa"/>
            <w:vAlign w:val="bottom"/>
            <w:tcBorders>
              <w:right w:val="single" w:sz="8" w:color="007CBA"/>
            </w:tcBorders>
          </w:tcPr>
          <w:p>
            <w:pPr>
              <w:jc w:val="right"/>
              <w:ind w:right="109"/>
              <w:spacing w:after="0"/>
              <w:rPr>
                <w:sz w:val="20"/>
                <w:szCs w:val="20"/>
                <w:color w:val="auto"/>
              </w:rPr>
            </w:pPr>
            <w:r>
              <w:rPr>
                <w:rFonts w:ascii="Arial" w:cs="Arial" w:eastAsia="Arial" w:hAnsi="Arial"/>
                <w:sz w:val="14"/>
                <w:szCs w:val="14"/>
                <w:color w:val="auto"/>
              </w:rPr>
              <w:t>162,160</w:t>
            </w:r>
          </w:p>
        </w:tc>
        <w:tc>
          <w:tcPr>
            <w:tcW w:w="1240" w:type="dxa"/>
            <w:vAlign w:val="bottom"/>
            <w:tcBorders>
              <w:right w:val="single" w:sz="8" w:color="007CBA"/>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00" w:type="dxa"/>
            <w:vAlign w:val="bottom"/>
            <w:tcBorders>
              <w:bottom w:val="single" w:sz="8" w:color="007CBA"/>
              <w:right w:val="single" w:sz="8" w:color="007CBA"/>
            </w:tcBorders>
          </w:tcPr>
          <w:p>
            <w:pPr>
              <w:spacing w:after="0"/>
              <w:rPr>
                <w:sz w:val="15"/>
                <w:szCs w:val="15"/>
                <w:color w:val="auto"/>
              </w:rPr>
            </w:pPr>
          </w:p>
        </w:tc>
        <w:tc>
          <w:tcPr>
            <w:tcW w:w="1060" w:type="dxa"/>
            <w:vAlign w:val="bottom"/>
            <w:tcBorders>
              <w:bottom w:val="single" w:sz="8" w:color="007CBA"/>
              <w:right w:val="single" w:sz="8" w:color="007CBA"/>
            </w:tcBorders>
          </w:tcPr>
          <w:p>
            <w:pPr>
              <w:spacing w:after="0"/>
              <w:rPr>
                <w:sz w:val="15"/>
                <w:szCs w:val="15"/>
                <w:color w:val="auto"/>
              </w:rPr>
            </w:pPr>
          </w:p>
        </w:tc>
        <w:tc>
          <w:tcPr>
            <w:tcW w:w="1200" w:type="dxa"/>
            <w:vAlign w:val="bottom"/>
            <w:tcBorders>
              <w:bottom w:val="single" w:sz="8" w:color="007CBA"/>
              <w:right w:val="single" w:sz="8" w:color="007CBA"/>
            </w:tcBorders>
          </w:tcPr>
          <w:p>
            <w:pPr>
              <w:spacing w:after="0"/>
              <w:rPr>
                <w:sz w:val="15"/>
                <w:szCs w:val="15"/>
                <w:color w:val="auto"/>
              </w:rPr>
            </w:pPr>
          </w:p>
        </w:tc>
        <w:tc>
          <w:tcPr>
            <w:tcW w:w="1060" w:type="dxa"/>
            <w:vAlign w:val="bottom"/>
            <w:tcBorders>
              <w:bottom w:val="single" w:sz="8" w:color="007CBA"/>
              <w:right w:val="single" w:sz="8" w:color="007CBA"/>
            </w:tcBorders>
          </w:tcPr>
          <w:p>
            <w:pPr>
              <w:spacing w:after="0"/>
              <w:rPr>
                <w:sz w:val="15"/>
                <w:szCs w:val="15"/>
                <w:color w:val="auto"/>
              </w:rPr>
            </w:pPr>
          </w:p>
        </w:tc>
        <w:tc>
          <w:tcPr>
            <w:tcW w:w="820" w:type="dxa"/>
            <w:vAlign w:val="bottom"/>
            <w:tcBorders>
              <w:bottom w:val="single" w:sz="8" w:color="007CBA"/>
              <w:right w:val="single" w:sz="8" w:color="007CBA"/>
            </w:tcBorders>
          </w:tcPr>
          <w:p>
            <w:pPr>
              <w:spacing w:after="0"/>
              <w:rPr>
                <w:sz w:val="15"/>
                <w:szCs w:val="15"/>
                <w:color w:val="auto"/>
              </w:rPr>
            </w:pPr>
          </w:p>
        </w:tc>
        <w:tc>
          <w:tcPr>
            <w:tcW w:w="940" w:type="dxa"/>
            <w:vAlign w:val="bottom"/>
            <w:tcBorders>
              <w:bottom w:val="single" w:sz="8" w:color="007CBA"/>
              <w:right w:val="single" w:sz="8" w:color="007CBA"/>
            </w:tcBorders>
          </w:tcPr>
          <w:p>
            <w:pPr>
              <w:spacing w:after="0"/>
              <w:rPr>
                <w:sz w:val="15"/>
                <w:szCs w:val="15"/>
                <w:color w:val="auto"/>
              </w:rPr>
            </w:pPr>
          </w:p>
        </w:tc>
        <w:tc>
          <w:tcPr>
            <w:tcW w:w="1060" w:type="dxa"/>
            <w:vAlign w:val="bottom"/>
            <w:tcBorders>
              <w:bottom w:val="single" w:sz="8" w:color="007CBA"/>
              <w:right w:val="single" w:sz="8" w:color="007CBA"/>
            </w:tcBorders>
          </w:tcPr>
          <w:p>
            <w:pPr>
              <w:jc w:val="right"/>
              <w:ind w:right="40"/>
              <w:spacing w:after="0" w:line="179" w:lineRule="exact"/>
              <w:rPr>
                <w:sz w:val="20"/>
                <w:szCs w:val="20"/>
                <w:color w:val="auto"/>
              </w:rPr>
            </w:pPr>
            <w:r>
              <w:rPr>
                <w:rFonts w:ascii="Arial" w:cs="Arial" w:eastAsia="Arial" w:hAnsi="Arial"/>
                <w:sz w:val="12"/>
                <w:szCs w:val="12"/>
                <w:color w:val="auto"/>
              </w:rPr>
              <w:t>680</w:t>
            </w:r>
            <w:r>
              <w:rPr>
                <w:rFonts w:ascii="Arial" w:cs="Arial" w:eastAsia="Arial" w:hAnsi="Arial"/>
                <w:sz w:val="20"/>
                <w:szCs w:val="20"/>
                <w:color w:val="auto"/>
                <w:vertAlign w:val="superscript"/>
              </w:rPr>
              <w:t>10</w:t>
            </w:r>
          </w:p>
        </w:tc>
        <w:tc>
          <w:tcPr>
            <w:tcW w:w="1020" w:type="dxa"/>
            <w:vAlign w:val="bottom"/>
            <w:tcBorders>
              <w:bottom w:val="single" w:sz="8" w:color="007CBA"/>
              <w:right w:val="single" w:sz="8" w:color="007CBA"/>
            </w:tcBorders>
          </w:tcPr>
          <w:p>
            <w:pPr>
              <w:jc w:val="right"/>
              <w:ind w:right="109"/>
              <w:spacing w:after="0"/>
              <w:rPr>
                <w:sz w:val="20"/>
                <w:szCs w:val="20"/>
                <w:color w:val="auto"/>
              </w:rPr>
            </w:pPr>
            <w:r>
              <w:rPr>
                <w:rFonts w:ascii="Arial" w:cs="Arial" w:eastAsia="Arial" w:hAnsi="Arial"/>
                <w:sz w:val="14"/>
                <w:szCs w:val="14"/>
                <w:color w:val="auto"/>
              </w:rPr>
              <w:t>150,640</w:t>
            </w:r>
          </w:p>
        </w:tc>
        <w:tc>
          <w:tcPr>
            <w:tcW w:w="1240" w:type="dxa"/>
            <w:vAlign w:val="bottom"/>
            <w:tcBorders>
              <w:bottom w:val="single" w:sz="8" w:color="007CBA"/>
              <w:right w:val="single" w:sz="8" w:color="007CBA"/>
            </w:tcBorders>
          </w:tcPr>
          <w:p>
            <w:pPr>
              <w:spacing w:after="0"/>
              <w:rPr>
                <w:sz w:val="15"/>
                <w:szCs w:val="15"/>
                <w:color w:val="auto"/>
              </w:rPr>
            </w:pPr>
          </w:p>
        </w:tc>
        <w:tc>
          <w:tcPr>
            <w:tcW w:w="920" w:type="dxa"/>
            <w:vAlign w:val="bottom"/>
            <w:tcBorders>
              <w:bottom w:val="single" w:sz="8" w:color="007CB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-4965065</wp:posOffset>
            </wp:positionV>
            <wp:extent cx="57632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ind w:left="120" w:hanging="112"/>
        <w:spacing w:after="0" w:line="224" w:lineRule="auto"/>
        <w:tabs>
          <w:tab w:leader="none" w:pos="12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Based on the closing price of our common stock as of December 30, 2016 ($221.53).</w:t>
      </w:r>
    </w:p>
    <w:p>
      <w:pPr>
        <w:spacing w:after="0" w:line="71" w:lineRule="exact"/>
        <w:rPr>
          <w:rFonts w:ascii="Arial" w:cs="Arial" w:eastAsia="Arial" w:hAnsi="Arial"/>
          <w:sz w:val="24"/>
          <w:szCs w:val="24"/>
          <w:color w:val="auto"/>
          <w:vertAlign w:val="superscript"/>
        </w:rPr>
      </w:pP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Options exercisable on May 23, 2017.</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Options exercisable ratably in installments on May 24, 2017 and 2018.</w:t>
      </w:r>
    </w:p>
    <w:p>
      <w:pPr>
        <w:ind w:right="642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4"/>
          <w:szCs w:val="14"/>
          <w:color w:val="auto"/>
        </w:rPr>
        <w:t xml:space="preserve"> Options exercisable ratably in installments on May 21, 2017, 2018 and 2019. </w:t>
      </w:r>
      <w:r>
        <w:rPr>
          <w:rFonts w:ascii="Arial" w:cs="Arial" w:eastAsia="Arial" w:hAnsi="Arial"/>
          <w:sz w:val="24"/>
          <w:szCs w:val="24"/>
          <w:color w:val="auto"/>
          <w:vertAlign w:val="superscript"/>
        </w:rPr>
        <w:t>5</w:t>
      </w:r>
      <w:r>
        <w:rPr>
          <w:rFonts w:ascii="Arial" w:cs="Arial" w:eastAsia="Arial" w:hAnsi="Arial"/>
          <w:sz w:val="14"/>
          <w:szCs w:val="14"/>
          <w:color w:val="auto"/>
        </w:rPr>
        <w:t xml:space="preserve"> RSU restrictions lapse on May 22, 2017.</w:t>
      </w:r>
    </w:p>
    <w:p>
      <w:pPr>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6</w:t>
      </w:r>
      <w:r>
        <w:rPr>
          <w:rFonts w:ascii="Arial" w:cs="Arial" w:eastAsia="Arial" w:hAnsi="Arial"/>
          <w:sz w:val="14"/>
          <w:szCs w:val="14"/>
          <w:color w:val="auto"/>
        </w:rPr>
        <w:t xml:space="preserve"> RSU restrictions lapse August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70485</wp:posOffset>
            </wp:positionV>
            <wp:extent cx="411480" cy="248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09"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47</w:t>
            </w: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Option Exercises and Stock Vested</w:t>
      </w:r>
    </w:p>
    <w:p>
      <w:pPr>
        <w:spacing w:after="0" w:line="124" w:lineRule="exact"/>
        <w:rPr>
          <w:sz w:val="20"/>
          <w:szCs w:val="20"/>
          <w:color w:val="auto"/>
        </w:rPr>
      </w:pPr>
    </w:p>
    <w:p>
      <w:pPr>
        <w:ind w:left="120" w:hanging="112"/>
        <w:spacing w:after="0"/>
        <w:tabs>
          <w:tab w:leader="none" w:pos="12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RSU restrictions lapse on May 21, 2018.</w:t>
      </w:r>
    </w:p>
    <w:p>
      <w:pPr>
        <w:ind w:left="120" w:hanging="112"/>
        <w:spacing w:after="0" w:line="211" w:lineRule="auto"/>
        <w:tabs>
          <w:tab w:leader="none" w:pos="12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RSU restrictions lapse ratably in installments on February 4, 2017, February 4, 2018 and February 4, 2019.</w:t>
      </w:r>
    </w:p>
    <w:p>
      <w:pPr>
        <w:spacing w:after="0" w:line="71" w:lineRule="exact"/>
        <w:rPr>
          <w:rFonts w:ascii="Arial" w:cs="Arial" w:eastAsia="Arial" w:hAnsi="Arial"/>
          <w:sz w:val="24"/>
          <w:szCs w:val="24"/>
          <w:color w:val="auto"/>
          <w:vertAlign w:val="superscript"/>
        </w:rPr>
      </w:pP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9</w:t>
      </w:r>
      <w:r>
        <w:rPr>
          <w:rFonts w:ascii="Arial" w:cs="Arial" w:eastAsia="Arial" w:hAnsi="Arial"/>
          <w:sz w:val="14"/>
          <w:szCs w:val="14"/>
          <w:color w:val="auto"/>
        </w:rPr>
        <w:t xml:space="preserve"> Incentive Stock Plan units restrictions lapse on December 1, 2017.</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10</w:t>
      </w:r>
      <w:r>
        <w:rPr>
          <w:rFonts w:ascii="Arial" w:cs="Arial" w:eastAsia="Arial" w:hAnsi="Arial"/>
          <w:sz w:val="14"/>
          <w:szCs w:val="14"/>
          <w:color w:val="auto"/>
        </w:rPr>
        <w:t xml:space="preserve"> Incentive Stock Plan units restrictions lapse on December 1, 2018.</w:t>
      </w:r>
    </w:p>
    <w:p>
      <w:pPr>
        <w:jc w:val="both"/>
        <w:ind w:right="1480"/>
        <w:spacing w:after="0" w:line="270"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11</w:t>
      </w:r>
      <w:r>
        <w:rPr>
          <w:rFonts w:ascii="Arial" w:cs="Arial" w:eastAsia="Arial" w:hAnsi="Arial"/>
          <w:sz w:val="14"/>
          <w:szCs w:val="14"/>
          <w:color w:val="auto"/>
        </w:rPr>
        <w:t xml:space="preserve"> The amount for these outstanding awards of PSUs are presented at the maximum performance levels. The awards generally vest at December 31, 2016. </w:t>
      </w:r>
      <w:r>
        <w:rPr>
          <w:rFonts w:ascii="Arial" w:cs="Arial" w:eastAsia="Arial" w:hAnsi="Arial"/>
          <w:sz w:val="24"/>
          <w:szCs w:val="24"/>
          <w:color w:val="auto"/>
          <w:vertAlign w:val="superscript"/>
        </w:rPr>
        <w:t>12</w:t>
      </w:r>
      <w:r>
        <w:rPr>
          <w:rFonts w:ascii="Arial" w:cs="Arial" w:eastAsia="Arial" w:hAnsi="Arial"/>
          <w:sz w:val="14"/>
          <w:szCs w:val="14"/>
          <w:color w:val="auto"/>
        </w:rPr>
        <w:t xml:space="preserve"> The amount for these outstanding awards of PSUs are presented at the maximum performance levels. The awards generally vest at December 31, 2017. </w:t>
      </w:r>
      <w:r>
        <w:rPr>
          <w:rFonts w:ascii="Arial" w:cs="Arial" w:eastAsia="Arial" w:hAnsi="Arial"/>
          <w:sz w:val="24"/>
          <w:szCs w:val="24"/>
          <w:color w:val="auto"/>
          <w:vertAlign w:val="superscript"/>
        </w:rPr>
        <w:t>13</w:t>
      </w:r>
      <w:r>
        <w:rPr>
          <w:rFonts w:ascii="Arial" w:cs="Arial" w:eastAsia="Arial" w:hAnsi="Arial"/>
          <w:sz w:val="14"/>
          <w:szCs w:val="14"/>
          <w:color w:val="auto"/>
        </w:rPr>
        <w:t xml:space="preserve"> The amount for these outstanding awards of PSUs are presented at the maximum performance levels. The awards generally vest at December 31, 2018.</w:t>
      </w:r>
    </w:p>
    <w:p>
      <w:pPr>
        <w:spacing w:after="0"/>
        <w:rPr>
          <w:sz w:val="20"/>
          <w:szCs w:val="20"/>
          <w:color w:val="auto"/>
        </w:rPr>
      </w:pPr>
      <w:r>
        <w:rPr>
          <w:rFonts w:ascii="Arial" w:cs="Arial" w:eastAsia="Arial" w:hAnsi="Arial"/>
          <w:sz w:val="25"/>
          <w:szCs w:val="25"/>
          <w:b w:val="1"/>
          <w:bCs w:val="1"/>
          <w:color w:val="007CBA"/>
        </w:rPr>
        <w:t>Option Exercises and Stock Vested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Martin Marietta’s common stock and (2) the vesting of stock, including RSUs and Incentive Stock Plan units, during the last completed fiscal year. There are no awards of stock appreciation rights for Martin Marietta’s common stock or other similar instruments.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Borders>
              <w:right w:val="single" w:sz="8" w:color="007CBA"/>
            </w:tcBorders>
            <w:shd w:val="clear" w:color="auto" w:fill="007CBA"/>
          </w:tcPr>
          <w:p>
            <w:pPr>
              <w:spacing w:after="0"/>
              <w:rPr>
                <w:sz w:val="14"/>
                <w:szCs w:val="14"/>
                <w:color w:val="auto"/>
              </w:rPr>
            </w:pPr>
          </w:p>
        </w:tc>
        <w:tc>
          <w:tcPr>
            <w:tcW w:w="2340" w:type="dxa"/>
            <w:vAlign w:val="bottom"/>
            <w:tcBorders>
              <w:right w:val="single" w:sz="8" w:color="007CBA"/>
            </w:tcBorders>
            <w:gridSpan w:val="2"/>
            <w:shd w:val="clear" w:color="auto" w:fill="007CBA"/>
          </w:tcPr>
          <w:p>
            <w:pPr>
              <w:jc w:val="right"/>
              <w:ind w:right="564"/>
              <w:spacing w:after="0"/>
              <w:rPr>
                <w:sz w:val="20"/>
                <w:szCs w:val="20"/>
                <w:color w:val="auto"/>
              </w:rPr>
            </w:pPr>
            <w:r>
              <w:rPr>
                <w:rFonts w:ascii="Arial" w:cs="Arial" w:eastAsia="Arial" w:hAnsi="Arial"/>
                <w:sz w:val="14"/>
                <w:szCs w:val="14"/>
                <w:b w:val="1"/>
                <w:bCs w:val="1"/>
                <w:color w:val="FFFFFF"/>
              </w:rPr>
              <w:t>OPTION AWARDS</w:t>
            </w:r>
          </w:p>
        </w:tc>
        <w:tc>
          <w:tcPr>
            <w:tcW w:w="2200" w:type="dxa"/>
            <w:vAlign w:val="bottom"/>
            <w:gridSpan w:val="2"/>
            <w:shd w:val="clear" w:color="auto" w:fill="007CBA"/>
          </w:tcPr>
          <w:p>
            <w:pPr>
              <w:jc w:val="right"/>
              <w:ind w:right="505"/>
              <w:spacing w:after="0"/>
              <w:rPr>
                <w:sz w:val="20"/>
                <w:szCs w:val="20"/>
                <w:color w:val="auto"/>
              </w:rPr>
            </w:pPr>
            <w:r>
              <w:rPr>
                <w:rFonts w:ascii="Arial" w:cs="Arial" w:eastAsia="Arial" w:hAnsi="Arial"/>
                <w:sz w:val="14"/>
                <w:szCs w:val="14"/>
                <w:b w:val="1"/>
                <w:bCs w:val="1"/>
                <w:color w:val="FFFFFF"/>
              </w:rPr>
              <w:t>STOCK AWARDS</w:t>
            </w:r>
          </w:p>
        </w:tc>
      </w:tr>
      <w:tr>
        <w:trPr>
          <w:trHeight w:val="162"/>
        </w:trPr>
        <w:tc>
          <w:tcPr>
            <w:tcW w:w="688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Number</w:t>
            </w:r>
          </w:p>
        </w:tc>
        <w:tc>
          <w:tcPr>
            <w:tcW w:w="1160" w:type="dxa"/>
            <w:vAlign w:val="bottom"/>
            <w:tcBorders>
              <w:right w:val="single" w:sz="8" w:color="007CBA"/>
            </w:tcBorders>
            <w:shd w:val="clear" w:color="auto" w:fill="007CBA"/>
          </w:tcPr>
          <w:p>
            <w:pPr>
              <w:spacing w:after="0"/>
              <w:rPr>
                <w:sz w:val="14"/>
                <w:szCs w:val="14"/>
                <w:color w:val="auto"/>
              </w:rPr>
            </w:pPr>
          </w:p>
        </w:tc>
        <w:tc>
          <w:tcPr>
            <w:tcW w:w="110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rPr>
              <w:t>Number of</w:t>
            </w:r>
          </w:p>
        </w:tc>
        <w:tc>
          <w:tcPr>
            <w:tcW w:w="1100" w:type="dxa"/>
            <w:vAlign w:val="bottom"/>
            <w:shd w:val="clear" w:color="auto" w:fill="007CBA"/>
          </w:tcPr>
          <w:p>
            <w:pPr>
              <w:spacing w:after="0"/>
              <w:rPr>
                <w:sz w:val="14"/>
                <w:szCs w:val="14"/>
                <w:color w:val="auto"/>
              </w:rPr>
            </w:pPr>
          </w:p>
        </w:tc>
      </w:tr>
      <w:tr>
        <w:trPr>
          <w:trHeight w:val="162"/>
        </w:trPr>
        <w:tc>
          <w:tcPr>
            <w:tcW w:w="688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of Shares</w:t>
            </w:r>
          </w:p>
        </w:tc>
        <w:tc>
          <w:tcPr>
            <w:tcW w:w="116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rPr>
              <w:t>Value</w:t>
            </w:r>
          </w:p>
        </w:tc>
        <w:tc>
          <w:tcPr>
            <w:tcW w:w="110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rPr>
              <w:t>Shares</w:t>
            </w:r>
          </w:p>
        </w:tc>
        <w:tc>
          <w:tcPr>
            <w:tcW w:w="110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Value</w:t>
            </w:r>
          </w:p>
        </w:tc>
      </w:tr>
      <w:tr>
        <w:trPr>
          <w:trHeight w:val="159"/>
        </w:trPr>
        <w:tc>
          <w:tcPr>
            <w:tcW w:w="6880" w:type="dxa"/>
            <w:vAlign w:val="bottom"/>
            <w:tcBorders>
              <w:right w:val="single" w:sz="8" w:color="007CBA"/>
            </w:tcBorders>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center"/>
              <w:ind w:right="85"/>
              <w:spacing w:after="0" w:line="159" w:lineRule="exact"/>
              <w:rPr>
                <w:sz w:val="20"/>
                <w:szCs w:val="20"/>
                <w:color w:val="auto"/>
              </w:rPr>
            </w:pPr>
            <w:r>
              <w:rPr>
                <w:rFonts w:ascii="Arial" w:cs="Arial" w:eastAsia="Arial" w:hAnsi="Arial"/>
                <w:sz w:val="14"/>
                <w:szCs w:val="14"/>
                <w:b w:val="1"/>
                <w:bCs w:val="1"/>
                <w:color w:val="FFFFFF"/>
              </w:rPr>
              <w:t>Acquired</w:t>
            </w:r>
          </w:p>
        </w:tc>
        <w:tc>
          <w:tcPr>
            <w:tcW w:w="1160" w:type="dxa"/>
            <w:vAlign w:val="bottom"/>
            <w:tcBorders>
              <w:right w:val="single" w:sz="8" w:color="007CBA"/>
            </w:tcBorders>
            <w:shd w:val="clear" w:color="auto" w:fill="007CBA"/>
          </w:tcPr>
          <w:p>
            <w:pPr>
              <w:jc w:val="center"/>
              <w:ind w:right="64"/>
              <w:spacing w:after="0" w:line="159" w:lineRule="exact"/>
              <w:rPr>
                <w:sz w:val="20"/>
                <w:szCs w:val="20"/>
                <w:color w:val="auto"/>
              </w:rPr>
            </w:pPr>
            <w:r>
              <w:rPr>
                <w:rFonts w:ascii="Arial" w:cs="Arial" w:eastAsia="Arial" w:hAnsi="Arial"/>
                <w:sz w:val="14"/>
                <w:szCs w:val="14"/>
                <w:b w:val="1"/>
                <w:bCs w:val="1"/>
                <w:color w:val="FFFFFF"/>
              </w:rPr>
              <w:t>Realized</w:t>
            </w:r>
          </w:p>
        </w:tc>
        <w:tc>
          <w:tcPr>
            <w:tcW w:w="1100" w:type="dxa"/>
            <w:vAlign w:val="bottom"/>
            <w:tcBorders>
              <w:right w:val="single" w:sz="8" w:color="007CBA"/>
            </w:tcBorders>
            <w:shd w:val="clear" w:color="auto" w:fill="007CBA"/>
          </w:tcPr>
          <w:p>
            <w:pPr>
              <w:jc w:val="center"/>
              <w:ind w:right="64"/>
              <w:spacing w:after="0" w:line="159" w:lineRule="exact"/>
              <w:rPr>
                <w:sz w:val="20"/>
                <w:szCs w:val="20"/>
                <w:color w:val="auto"/>
              </w:rPr>
            </w:pPr>
            <w:r>
              <w:rPr>
                <w:rFonts w:ascii="Arial" w:cs="Arial" w:eastAsia="Arial" w:hAnsi="Arial"/>
                <w:sz w:val="14"/>
                <w:szCs w:val="14"/>
                <w:b w:val="1"/>
                <w:bCs w:val="1"/>
                <w:color w:val="FFFFFF"/>
              </w:rPr>
              <w:t>Acquired</w:t>
            </w:r>
          </w:p>
        </w:tc>
        <w:tc>
          <w:tcPr>
            <w:tcW w:w="1100" w:type="dxa"/>
            <w:vAlign w:val="bottom"/>
            <w:shd w:val="clear" w:color="auto" w:fill="007CBA"/>
          </w:tcPr>
          <w:p>
            <w:pPr>
              <w:jc w:val="center"/>
              <w:ind w:right="45"/>
              <w:spacing w:after="0" w:line="159" w:lineRule="exact"/>
              <w:rPr>
                <w:sz w:val="20"/>
                <w:szCs w:val="20"/>
                <w:color w:val="auto"/>
              </w:rPr>
            </w:pPr>
            <w:r>
              <w:rPr>
                <w:rFonts w:ascii="Arial" w:cs="Arial" w:eastAsia="Arial" w:hAnsi="Arial"/>
                <w:sz w:val="14"/>
                <w:szCs w:val="14"/>
                <w:b w:val="1"/>
                <w:bCs w:val="1"/>
                <w:color w:val="FFFFFF"/>
              </w:rPr>
              <w:t>Realized</w:t>
            </w:r>
          </w:p>
        </w:tc>
      </w:tr>
      <w:tr>
        <w:trPr>
          <w:trHeight w:val="166"/>
        </w:trPr>
        <w:tc>
          <w:tcPr>
            <w:tcW w:w="6880" w:type="dxa"/>
            <w:vAlign w:val="bottom"/>
            <w:tcBorders>
              <w:right w:val="single" w:sz="8" w:color="007CBA"/>
            </w:tcBorders>
            <w:shd w:val="clear" w:color="auto" w:fill="007CBA"/>
          </w:tcPr>
          <w:p>
            <w:pPr>
              <w:spacing w:after="0"/>
              <w:rPr>
                <w:sz w:val="14"/>
                <w:szCs w:val="14"/>
                <w:color w:val="auto"/>
              </w:rPr>
            </w:pPr>
          </w:p>
        </w:tc>
        <w:tc>
          <w:tcPr>
            <w:tcW w:w="1180" w:type="dxa"/>
            <w:vAlign w:val="bottom"/>
            <w:tcBorders>
              <w:right w:val="single" w:sz="8" w:color="007CBA"/>
            </w:tcBorders>
            <w:shd w:val="clear" w:color="auto" w:fill="007CBA"/>
          </w:tcPr>
          <w:p>
            <w:pPr>
              <w:jc w:val="center"/>
              <w:ind w:right="125"/>
              <w:spacing w:after="0"/>
              <w:rPr>
                <w:sz w:val="20"/>
                <w:szCs w:val="20"/>
                <w:color w:val="auto"/>
              </w:rPr>
            </w:pPr>
            <w:r>
              <w:rPr>
                <w:rFonts w:ascii="Arial" w:cs="Arial" w:eastAsia="Arial" w:hAnsi="Arial"/>
                <w:sz w:val="14"/>
                <w:szCs w:val="14"/>
                <w:b w:val="1"/>
                <w:bCs w:val="1"/>
                <w:color w:val="FFFFFF"/>
              </w:rPr>
              <w:t>on Exercise</w:t>
            </w:r>
          </w:p>
        </w:tc>
        <w:tc>
          <w:tcPr>
            <w:tcW w:w="1160" w:type="dxa"/>
            <w:vAlign w:val="bottom"/>
            <w:tcBorders>
              <w:right w:val="single" w:sz="8" w:color="007CBA"/>
            </w:tcBorders>
            <w:shd w:val="clear" w:color="auto" w:fill="007CBA"/>
          </w:tcPr>
          <w:p>
            <w:pPr>
              <w:jc w:val="center"/>
              <w:ind w:right="124"/>
              <w:spacing w:after="0"/>
              <w:rPr>
                <w:sz w:val="20"/>
                <w:szCs w:val="20"/>
                <w:color w:val="auto"/>
              </w:rPr>
            </w:pPr>
            <w:r>
              <w:rPr>
                <w:rFonts w:ascii="Arial" w:cs="Arial" w:eastAsia="Arial" w:hAnsi="Arial"/>
                <w:sz w:val="14"/>
                <w:szCs w:val="14"/>
                <w:b w:val="1"/>
                <w:bCs w:val="1"/>
                <w:color w:val="FFFFFF"/>
              </w:rPr>
              <w:t>on Exercise</w:t>
            </w:r>
          </w:p>
        </w:tc>
        <w:tc>
          <w:tcPr>
            <w:tcW w:w="1100" w:type="dxa"/>
            <w:vAlign w:val="bottom"/>
            <w:tcBorders>
              <w:right w:val="single" w:sz="8" w:color="007CBA"/>
            </w:tcBorders>
            <w:shd w:val="clear" w:color="auto" w:fill="007CBA"/>
          </w:tcPr>
          <w:p>
            <w:pPr>
              <w:jc w:val="center"/>
              <w:ind w:right="104"/>
              <w:spacing w:after="0"/>
              <w:rPr>
                <w:sz w:val="20"/>
                <w:szCs w:val="20"/>
                <w:color w:val="auto"/>
              </w:rPr>
            </w:pPr>
            <w:r>
              <w:rPr>
                <w:rFonts w:ascii="Arial" w:cs="Arial" w:eastAsia="Arial" w:hAnsi="Arial"/>
                <w:sz w:val="14"/>
                <w:szCs w:val="14"/>
                <w:b w:val="1"/>
                <w:bCs w:val="1"/>
                <w:color w:val="FFFFFF"/>
              </w:rPr>
              <w:t>on Vesting</w:t>
            </w:r>
          </w:p>
        </w:tc>
        <w:tc>
          <w:tcPr>
            <w:tcW w:w="1100" w:type="dxa"/>
            <w:vAlign w:val="bottom"/>
            <w:shd w:val="clear" w:color="auto" w:fill="007CBA"/>
          </w:tcPr>
          <w:p>
            <w:pPr>
              <w:jc w:val="center"/>
              <w:ind w:right="65"/>
              <w:spacing w:after="0" w:line="165" w:lineRule="exact"/>
              <w:rPr>
                <w:sz w:val="20"/>
                <w:szCs w:val="20"/>
                <w:color w:val="auto"/>
              </w:rPr>
            </w:pPr>
            <w:r>
              <w:rPr>
                <w:rFonts w:ascii="Arial" w:cs="Arial" w:eastAsia="Arial" w:hAnsi="Arial"/>
                <w:sz w:val="12"/>
                <w:szCs w:val="12"/>
                <w:b w:val="1"/>
                <w:bCs w:val="1"/>
                <w:color w:val="FFFFFF"/>
              </w:rPr>
              <w:t>on Vesting</w:t>
            </w:r>
            <w:r>
              <w:rPr>
                <w:rFonts w:ascii="Arial" w:cs="Arial" w:eastAsia="Arial" w:hAnsi="Arial"/>
                <w:sz w:val="19"/>
                <w:szCs w:val="19"/>
                <w:b w:val="1"/>
                <w:bCs w:val="1"/>
                <w:color w:val="FFFFFF"/>
                <w:vertAlign w:val="superscript"/>
              </w:rPr>
              <w:t>1</w:t>
            </w:r>
          </w:p>
        </w:tc>
      </w:tr>
      <w:tr>
        <w:trPr>
          <w:trHeight w:val="162"/>
        </w:trPr>
        <w:tc>
          <w:tcPr>
            <w:tcW w:w="68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Name</w:t>
            </w:r>
          </w:p>
        </w:tc>
        <w:tc>
          <w:tcPr>
            <w:tcW w:w="118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w:t>
            </w:r>
          </w:p>
        </w:tc>
      </w:tr>
      <w:tr>
        <w:trPr>
          <w:trHeight w:val="189"/>
        </w:trPr>
        <w:tc>
          <w:tcPr>
            <w:tcW w:w="68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(a)</w:t>
            </w:r>
          </w:p>
        </w:tc>
        <w:tc>
          <w:tcPr>
            <w:tcW w:w="118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(b)</w:t>
            </w:r>
          </w:p>
        </w:tc>
        <w:tc>
          <w:tcPr>
            <w:tcW w:w="116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rPr>
              <w:t>(c)</w:t>
            </w:r>
          </w:p>
        </w:tc>
        <w:tc>
          <w:tcPr>
            <w:tcW w:w="1100" w:type="dxa"/>
            <w:vAlign w:val="bottom"/>
            <w:tcBorders>
              <w:right w:val="single" w:sz="8" w:color="007CBA"/>
            </w:tcBorders>
            <w:shd w:val="clear" w:color="auto" w:fill="007CBA"/>
          </w:tcPr>
          <w:p>
            <w:pPr>
              <w:jc w:val="center"/>
              <w:ind w:right="64"/>
              <w:spacing w:after="0"/>
              <w:rPr>
                <w:sz w:val="20"/>
                <w:szCs w:val="20"/>
                <w:color w:val="auto"/>
              </w:rPr>
            </w:pPr>
            <w:r>
              <w:rPr>
                <w:rFonts w:ascii="Arial" w:cs="Arial" w:eastAsia="Arial" w:hAnsi="Arial"/>
                <w:sz w:val="14"/>
                <w:szCs w:val="14"/>
                <w:b w:val="1"/>
                <w:bCs w:val="1"/>
                <w:color w:val="FFFFFF"/>
              </w:rPr>
              <w:t>(d)</w:t>
            </w:r>
          </w:p>
        </w:tc>
        <w:tc>
          <w:tcPr>
            <w:tcW w:w="110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(e)</w:t>
            </w:r>
          </w:p>
        </w:tc>
      </w:tr>
      <w:tr>
        <w:trPr>
          <w:trHeight w:val="189"/>
        </w:trPr>
        <w:tc>
          <w:tcPr>
            <w:tcW w:w="68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C. Howard Nye</w:t>
            </w:r>
          </w:p>
        </w:tc>
        <w:tc>
          <w:tcPr>
            <w:tcW w:w="1180" w:type="dxa"/>
            <w:vAlign w:val="bottom"/>
            <w:tcBorders>
              <w:right w:val="single" w:sz="8" w:color="007CBA"/>
            </w:tcBorders>
          </w:tcPr>
          <w:p>
            <w:pPr>
              <w:jc w:val="right"/>
              <w:ind w:right="165"/>
              <w:spacing w:after="0"/>
              <w:rPr>
                <w:sz w:val="20"/>
                <w:szCs w:val="20"/>
                <w:color w:val="auto"/>
              </w:rPr>
            </w:pPr>
            <w:r>
              <w:rPr>
                <w:rFonts w:ascii="Arial" w:cs="Arial" w:eastAsia="Arial" w:hAnsi="Arial"/>
                <w:sz w:val="16"/>
                <w:szCs w:val="16"/>
                <w:color w:val="auto"/>
              </w:rPr>
              <w:t>25,669</w:t>
            </w:r>
          </w:p>
        </w:tc>
        <w:tc>
          <w:tcPr>
            <w:tcW w:w="116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1,783,571</w:t>
            </w:r>
          </w:p>
        </w:tc>
        <w:tc>
          <w:tcPr>
            <w:tcW w:w="110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11,246</w:t>
            </w:r>
          </w:p>
        </w:tc>
        <w:tc>
          <w:tcPr>
            <w:tcW w:w="1100" w:type="dxa"/>
            <w:vAlign w:val="bottom"/>
          </w:tcPr>
          <w:p>
            <w:pPr>
              <w:jc w:val="right"/>
              <w:ind w:right="145"/>
              <w:spacing w:after="0"/>
              <w:rPr>
                <w:sz w:val="20"/>
                <w:szCs w:val="20"/>
                <w:color w:val="auto"/>
              </w:rPr>
            </w:pPr>
            <w:r>
              <w:rPr>
                <w:rFonts w:ascii="Arial" w:cs="Arial" w:eastAsia="Arial" w:hAnsi="Arial"/>
                <w:sz w:val="16"/>
                <w:szCs w:val="16"/>
                <w:color w:val="auto"/>
              </w:rPr>
              <w:t>1,901,829</w:t>
            </w:r>
          </w:p>
        </w:tc>
      </w:tr>
      <w:tr>
        <w:trPr>
          <w:trHeight w:val="189"/>
        </w:trPr>
        <w:tc>
          <w:tcPr>
            <w:tcW w:w="6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Anne H. Lloyd</w:t>
            </w:r>
          </w:p>
        </w:tc>
        <w:tc>
          <w:tcPr>
            <w:tcW w:w="1180" w:type="dxa"/>
            <w:vAlign w:val="bottom"/>
            <w:tcBorders>
              <w:right w:val="single" w:sz="8" w:color="007CBA"/>
            </w:tcBorders>
            <w:shd w:val="clear" w:color="auto" w:fill="E5F1F8"/>
          </w:tcPr>
          <w:p>
            <w:pPr>
              <w:jc w:val="right"/>
              <w:ind w:right="165"/>
              <w:spacing w:after="0"/>
              <w:rPr>
                <w:sz w:val="20"/>
                <w:szCs w:val="20"/>
                <w:color w:val="auto"/>
              </w:rPr>
            </w:pPr>
            <w:r>
              <w:rPr>
                <w:rFonts w:ascii="Arial" w:cs="Arial" w:eastAsia="Arial" w:hAnsi="Arial"/>
                <w:sz w:val="16"/>
                <w:szCs w:val="16"/>
                <w:color w:val="auto"/>
              </w:rPr>
              <w:t>13,578</w:t>
            </w:r>
          </w:p>
        </w:tc>
        <w:tc>
          <w:tcPr>
            <w:tcW w:w="116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921,947</w:t>
            </w:r>
          </w:p>
        </w:tc>
        <w:tc>
          <w:tcPr>
            <w:tcW w:w="110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3,390</w:t>
            </w:r>
          </w:p>
        </w:tc>
        <w:tc>
          <w:tcPr>
            <w:tcW w:w="1100" w:type="dxa"/>
            <w:vAlign w:val="bottom"/>
            <w:shd w:val="clear" w:color="auto" w:fill="E5F1F8"/>
          </w:tcPr>
          <w:p>
            <w:pPr>
              <w:jc w:val="right"/>
              <w:ind w:right="145"/>
              <w:spacing w:after="0"/>
              <w:rPr>
                <w:sz w:val="20"/>
                <w:szCs w:val="20"/>
                <w:color w:val="auto"/>
              </w:rPr>
            </w:pPr>
            <w:r>
              <w:rPr>
                <w:rFonts w:ascii="Arial" w:cs="Arial" w:eastAsia="Arial" w:hAnsi="Arial"/>
                <w:sz w:val="16"/>
                <w:szCs w:val="16"/>
                <w:color w:val="auto"/>
              </w:rPr>
              <w:t>588,335</w:t>
            </w:r>
          </w:p>
        </w:tc>
      </w:tr>
      <w:tr>
        <w:trPr>
          <w:trHeight w:val="189"/>
        </w:trPr>
        <w:tc>
          <w:tcPr>
            <w:tcW w:w="688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Roselyn R. Bar</w:t>
            </w:r>
          </w:p>
        </w:tc>
        <w:tc>
          <w:tcPr>
            <w:tcW w:w="1180" w:type="dxa"/>
            <w:vAlign w:val="bottom"/>
            <w:tcBorders>
              <w:right w:val="single" w:sz="8" w:color="007CBA"/>
            </w:tcBorders>
          </w:tcPr>
          <w:p>
            <w:pPr>
              <w:jc w:val="right"/>
              <w:ind w:right="165"/>
              <w:spacing w:after="0"/>
              <w:rPr>
                <w:sz w:val="20"/>
                <w:szCs w:val="20"/>
                <w:color w:val="auto"/>
              </w:rPr>
            </w:pPr>
            <w:r>
              <w:rPr>
                <w:rFonts w:ascii="Arial" w:cs="Arial" w:eastAsia="Arial" w:hAnsi="Arial"/>
                <w:sz w:val="16"/>
                <w:szCs w:val="16"/>
                <w:color w:val="auto"/>
              </w:rPr>
              <w:t>18,478</w:t>
            </w:r>
          </w:p>
        </w:tc>
        <w:tc>
          <w:tcPr>
            <w:tcW w:w="116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1,755,893</w:t>
            </w:r>
          </w:p>
        </w:tc>
        <w:tc>
          <w:tcPr>
            <w:tcW w:w="1100" w:type="dxa"/>
            <w:vAlign w:val="bottom"/>
            <w:tcBorders>
              <w:right w:val="single" w:sz="8" w:color="007CBA"/>
            </w:tcBorders>
          </w:tcPr>
          <w:p>
            <w:pPr>
              <w:jc w:val="right"/>
              <w:ind w:right="164"/>
              <w:spacing w:after="0"/>
              <w:rPr>
                <w:sz w:val="20"/>
                <w:szCs w:val="20"/>
                <w:color w:val="auto"/>
              </w:rPr>
            </w:pPr>
            <w:r>
              <w:rPr>
                <w:rFonts w:ascii="Arial" w:cs="Arial" w:eastAsia="Arial" w:hAnsi="Arial"/>
                <w:sz w:val="16"/>
                <w:szCs w:val="16"/>
                <w:color w:val="auto"/>
              </w:rPr>
              <w:t>2,817</w:t>
            </w:r>
          </w:p>
        </w:tc>
        <w:tc>
          <w:tcPr>
            <w:tcW w:w="1100" w:type="dxa"/>
            <w:vAlign w:val="bottom"/>
          </w:tcPr>
          <w:p>
            <w:pPr>
              <w:jc w:val="right"/>
              <w:ind w:right="145"/>
              <w:spacing w:after="0"/>
              <w:rPr>
                <w:sz w:val="20"/>
                <w:szCs w:val="20"/>
                <w:color w:val="auto"/>
              </w:rPr>
            </w:pPr>
            <w:r>
              <w:rPr>
                <w:rFonts w:ascii="Arial" w:cs="Arial" w:eastAsia="Arial" w:hAnsi="Arial"/>
                <w:sz w:val="16"/>
                <w:szCs w:val="16"/>
                <w:color w:val="auto"/>
              </w:rPr>
              <w:t>486,892</w:t>
            </w:r>
          </w:p>
        </w:tc>
      </w:tr>
      <w:tr>
        <w:trPr>
          <w:trHeight w:val="189"/>
        </w:trPr>
        <w:tc>
          <w:tcPr>
            <w:tcW w:w="68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Donald A. McCunniff</w:t>
            </w:r>
          </w:p>
        </w:tc>
        <w:tc>
          <w:tcPr>
            <w:tcW w:w="1180" w:type="dxa"/>
            <w:vAlign w:val="bottom"/>
            <w:tcBorders>
              <w:right w:val="single" w:sz="8" w:color="007CBA"/>
            </w:tcBorders>
            <w:shd w:val="clear" w:color="auto" w:fill="E5F1F8"/>
          </w:tcPr>
          <w:p>
            <w:pPr>
              <w:spacing w:after="0"/>
              <w:rPr>
                <w:sz w:val="16"/>
                <w:szCs w:val="16"/>
                <w:color w:val="auto"/>
              </w:rPr>
            </w:pPr>
          </w:p>
        </w:tc>
        <w:tc>
          <w:tcPr>
            <w:tcW w:w="1160" w:type="dxa"/>
            <w:vAlign w:val="bottom"/>
            <w:tcBorders>
              <w:right w:val="single" w:sz="8" w:color="007CBA"/>
            </w:tcBorders>
            <w:shd w:val="clear" w:color="auto" w:fill="E5F1F8"/>
          </w:tcPr>
          <w:p>
            <w:pPr>
              <w:spacing w:after="0"/>
              <w:rPr>
                <w:sz w:val="16"/>
                <w:szCs w:val="16"/>
                <w:color w:val="auto"/>
              </w:rPr>
            </w:pPr>
          </w:p>
        </w:tc>
        <w:tc>
          <w:tcPr>
            <w:tcW w:w="1100" w:type="dxa"/>
            <w:vAlign w:val="bottom"/>
            <w:tcBorders>
              <w:right w:val="single" w:sz="8" w:color="007CBA"/>
            </w:tcBorders>
            <w:shd w:val="clear" w:color="auto" w:fill="E5F1F8"/>
          </w:tcPr>
          <w:p>
            <w:pPr>
              <w:jc w:val="right"/>
              <w:ind w:right="164"/>
              <w:spacing w:after="0"/>
              <w:rPr>
                <w:sz w:val="20"/>
                <w:szCs w:val="20"/>
                <w:color w:val="auto"/>
              </w:rPr>
            </w:pPr>
            <w:r>
              <w:rPr>
                <w:rFonts w:ascii="Arial" w:cs="Arial" w:eastAsia="Arial" w:hAnsi="Arial"/>
                <w:sz w:val="16"/>
                <w:szCs w:val="16"/>
                <w:color w:val="auto"/>
              </w:rPr>
              <w:t>2,060</w:t>
            </w:r>
          </w:p>
        </w:tc>
        <w:tc>
          <w:tcPr>
            <w:tcW w:w="1100" w:type="dxa"/>
            <w:vAlign w:val="bottom"/>
            <w:shd w:val="clear" w:color="auto" w:fill="E5F1F8"/>
          </w:tcPr>
          <w:p>
            <w:pPr>
              <w:jc w:val="right"/>
              <w:ind w:right="145"/>
              <w:spacing w:after="0"/>
              <w:rPr>
                <w:sz w:val="20"/>
                <w:szCs w:val="20"/>
                <w:color w:val="auto"/>
              </w:rPr>
            </w:pPr>
            <w:r>
              <w:rPr>
                <w:rFonts w:ascii="Arial" w:cs="Arial" w:eastAsia="Arial" w:hAnsi="Arial"/>
                <w:sz w:val="16"/>
                <w:szCs w:val="16"/>
                <w:color w:val="auto"/>
              </w:rPr>
              <w:t>364,260</w:t>
            </w:r>
          </w:p>
        </w:tc>
      </w:tr>
      <w:tr>
        <w:trPr>
          <w:trHeight w:val="189"/>
        </w:trPr>
        <w:tc>
          <w:tcPr>
            <w:tcW w:w="68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6"/>
                <w:szCs w:val="16"/>
                <w:b w:val="1"/>
                <w:bCs w:val="1"/>
                <w:color w:val="auto"/>
              </w:rPr>
              <w:t>Daniel L. Grant</w:t>
            </w:r>
          </w:p>
        </w:tc>
        <w:tc>
          <w:tcPr>
            <w:tcW w:w="1180" w:type="dxa"/>
            <w:vAlign w:val="bottom"/>
            <w:tcBorders>
              <w:bottom w:val="single" w:sz="8" w:color="007CBA"/>
              <w:right w:val="single" w:sz="8" w:color="007CBA"/>
            </w:tcBorders>
          </w:tcPr>
          <w:p>
            <w:pPr>
              <w:jc w:val="right"/>
              <w:ind w:right="165"/>
              <w:spacing w:after="0"/>
              <w:rPr>
                <w:sz w:val="20"/>
                <w:szCs w:val="20"/>
                <w:color w:val="auto"/>
              </w:rPr>
            </w:pPr>
            <w:r>
              <w:rPr>
                <w:rFonts w:ascii="Arial" w:cs="Arial" w:eastAsia="Arial" w:hAnsi="Arial"/>
                <w:sz w:val="16"/>
                <w:szCs w:val="16"/>
                <w:color w:val="auto"/>
              </w:rPr>
              <w:t>1,175</w:t>
            </w:r>
          </w:p>
        </w:tc>
        <w:tc>
          <w:tcPr>
            <w:tcW w:w="1160" w:type="dxa"/>
            <w:vAlign w:val="bottom"/>
            <w:tcBorders>
              <w:bottom w:val="single" w:sz="8" w:color="007CBA"/>
              <w:right w:val="single" w:sz="8" w:color="007CBA"/>
            </w:tcBorders>
          </w:tcPr>
          <w:p>
            <w:pPr>
              <w:jc w:val="right"/>
              <w:ind w:right="164"/>
              <w:spacing w:after="0"/>
              <w:rPr>
                <w:sz w:val="20"/>
                <w:szCs w:val="20"/>
                <w:color w:val="auto"/>
              </w:rPr>
            </w:pPr>
            <w:r>
              <w:rPr>
                <w:rFonts w:ascii="Arial" w:cs="Arial" w:eastAsia="Arial" w:hAnsi="Arial"/>
                <w:sz w:val="16"/>
                <w:szCs w:val="16"/>
                <w:color w:val="auto"/>
              </w:rPr>
              <w:t>83,132</w:t>
            </w:r>
          </w:p>
        </w:tc>
        <w:tc>
          <w:tcPr>
            <w:tcW w:w="1100" w:type="dxa"/>
            <w:vAlign w:val="bottom"/>
            <w:tcBorders>
              <w:bottom w:val="single" w:sz="8" w:color="007CBA"/>
              <w:right w:val="single" w:sz="8" w:color="007CBA"/>
            </w:tcBorders>
          </w:tcPr>
          <w:p>
            <w:pPr>
              <w:jc w:val="right"/>
              <w:ind w:right="164"/>
              <w:spacing w:after="0"/>
              <w:rPr>
                <w:sz w:val="20"/>
                <w:szCs w:val="20"/>
                <w:color w:val="auto"/>
              </w:rPr>
            </w:pPr>
            <w:r>
              <w:rPr>
                <w:rFonts w:ascii="Arial" w:cs="Arial" w:eastAsia="Arial" w:hAnsi="Arial"/>
                <w:sz w:val="16"/>
                <w:szCs w:val="16"/>
                <w:color w:val="auto"/>
              </w:rPr>
              <w:t>41</w:t>
            </w:r>
          </w:p>
        </w:tc>
        <w:tc>
          <w:tcPr>
            <w:tcW w:w="1100" w:type="dxa"/>
            <w:vAlign w:val="bottom"/>
            <w:tcBorders>
              <w:bottom w:val="single" w:sz="8" w:color="007CBA"/>
            </w:tcBorders>
          </w:tcPr>
          <w:p>
            <w:pPr>
              <w:jc w:val="right"/>
              <w:ind w:right="145"/>
              <w:spacing w:after="0"/>
              <w:rPr>
                <w:sz w:val="20"/>
                <w:szCs w:val="20"/>
                <w:color w:val="auto"/>
              </w:rPr>
            </w:pPr>
            <w:r>
              <w:rPr>
                <w:rFonts w:ascii="Arial" w:cs="Arial" w:eastAsia="Arial" w:hAnsi="Arial"/>
                <w:sz w:val="16"/>
                <w:szCs w:val="16"/>
                <w:color w:val="auto"/>
              </w:rPr>
              <w:t>9,057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-1242695</wp:posOffset>
            </wp:positionV>
            <wp:extent cx="26930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20" w:hanging="112"/>
        <w:spacing w:after="0" w:line="224" w:lineRule="auto"/>
        <w:tabs>
          <w:tab w:leader="none" w:pos="12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The amounts in column (e) include the value of RSUs at the time of vesting and the appreciation of both mandatory and voluntary contributions under the Incentive Stock Plan.</w:t>
      </w:r>
    </w:p>
    <w:p>
      <w:pPr>
        <w:sectPr>
          <w:pgSz w:w="11900" w:h="16838" w:orient="portrait"/>
          <w:cols w:equalWidth="0" w:num="1">
            <w:col w:w="11420"/>
          </w:cols>
          <w:pgMar w:left="240" w:top="459"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Retirement and Other Benefits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We have a tax qualified defined benefit pension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68" w:lineRule="exact"/>
        <w:rPr>
          <w:sz w:val="20"/>
          <w:szCs w:val="20"/>
          <w:color w:val="auto"/>
        </w:rPr>
      </w:pPr>
    </w:p>
    <w:p>
      <w:pPr>
        <w:jc w:val="both"/>
        <w:ind w:left="340" w:right="120" w:hanging="332"/>
        <w:spacing w:after="0" w:line="253"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1.165% of the participant’s final average eligible pay up to social security covered compensation, multiplied by the participant’s credited years of service up to 35 years;</w:t>
      </w:r>
    </w:p>
    <w:p>
      <w:pPr>
        <w:spacing w:after="0" w:line="66" w:lineRule="exact"/>
        <w:rPr>
          <w:rFonts w:ascii="Arial" w:cs="Arial" w:eastAsia="Arial" w:hAnsi="Arial"/>
          <w:sz w:val="16"/>
          <w:szCs w:val="16"/>
          <w:color w:val="auto"/>
        </w:rPr>
      </w:pPr>
    </w:p>
    <w:p>
      <w:pPr>
        <w:jc w:val="both"/>
        <w:ind w:left="340" w:right="120" w:hanging="332"/>
        <w:spacing w:after="0" w:line="253"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in excess of social security covered compensation, multiplied by the participant’s credited years of service up to 35 years;</w:t>
      </w:r>
    </w:p>
    <w:p>
      <w:pPr>
        <w:spacing w:after="0" w:line="66"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35"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b w:val="1"/>
          <w:bCs w:val="1"/>
          <w:color w:val="auto"/>
        </w:rPr>
        <w:t xml:space="preserve">Supplemental Excess Retirement Plan (“SERP”). </w:t>
      </w:r>
      <w:r>
        <w:rPr>
          <w:rFonts w:ascii="Arial" w:cs="Arial" w:eastAsia="Arial" w:hAnsi="Arial"/>
          <w:sz w:val="16"/>
          <w:szCs w:val="16"/>
          <w:color w:val="auto"/>
        </w:rPr>
        <w:t>We also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nonqualified restoration plan that covers any employee in the defined benefit pension plan, including the named executive officers, who are highly compensated and whose qualified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175895</wp:posOffset>
            </wp:positionV>
            <wp:extent cx="411480" cy="248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12"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Option Exercises and Stock Vested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Executive Compensation</w:t>
      </w:r>
    </w:p>
    <w:p>
      <w:pPr>
        <w:sectPr>
          <w:pgSz w:w="11900" w:h="16838" w:orient="portrait"/>
          <w:cols w:equalWidth="0" w:num="1">
            <w:col w:w="11420"/>
          </w:cols>
          <w:pgMar w:left="240" w:top="459" w:right="239" w:bottom="1440" w:gutter="0" w:footer="0" w:header="0"/>
        </w:sectPr>
      </w:pP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Savings and Investment Plan. </w:t>
      </w:r>
      <w:r>
        <w:rPr>
          <w:rFonts w:ascii="Arial" w:cs="Arial" w:eastAsia="Arial" w:hAnsi="Arial"/>
          <w:sz w:val="16"/>
          <w:szCs w:val="16"/>
          <w:color w:val="auto"/>
        </w:rPr>
        <w:t>The Savings and Investment Plan is a tax-qualified defined contribution retirement savings plan pursuant to which all employees in the United States, including the named executive officers, are eligible to contribute up to 25% or the limit prescribed by the Internal Revenue Service on a ROTH individual retirement account on a before-tax basis and up to an additional 17% of pay on an after-tax basis not to exceed a total of 25% of pay. We match 100% of the first 1% of pay and 50% of the next 5% of pay that is contributed by employees to the Savings and Investment Plan up to Internal Revenue Service limitations. All contributions as well as any matching contributions are fully vested upon contribution. Prior to 2015, the Company sponsored two defined contribution savings plans, the Performance Sharing Plan for salaried employees and the Savings and Investment Plan for hourly employees generally. The two plans were merged in 2014.</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Retiree Medical. </w:t>
      </w:r>
      <w:r>
        <w:rPr>
          <w:rFonts w:ascii="Arial" w:cs="Arial" w:eastAsia="Arial" w:hAnsi="Arial"/>
          <w:sz w:val="16"/>
          <w:szCs w:val="16"/>
          <w:color w:val="auto"/>
        </w:rPr>
        <w:t>Eligible salaried employees who commenced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predetermined cap on total payments by Martin Marietta. Employees who commenced employment with Martin Marietta on or after January 1, 2002 are not eligible for retiree medical benefits. Mr. Nye, Mr. McCunniff and Mr. Grant are not eligible for retiree medical benefits as each commenced employment with Martin Marietta after 2002.</w:t>
      </w:r>
    </w:p>
    <w:p>
      <w:pPr>
        <w:spacing w:after="0" w:line="156"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b w:val="1"/>
          <w:bCs w:val="1"/>
          <w:color w:val="auto"/>
        </w:rPr>
        <w:t xml:space="preserve">Medical Insurance. </w:t>
      </w:r>
      <w:r>
        <w:rPr>
          <w:rFonts w:ascii="Arial" w:cs="Arial" w:eastAsia="Arial" w:hAnsi="Arial"/>
          <w:sz w:val="16"/>
          <w:szCs w:val="16"/>
          <w:color w:val="auto"/>
        </w:rPr>
        <w:t>Martin Marietta provides an opportunity to all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in the United States and the employees’ immediate family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42" w:lineRule="exact"/>
        <w:rPr>
          <w:sz w:val="20"/>
          <w:szCs w:val="20"/>
          <w:color w:val="auto"/>
        </w:rPr>
      </w:pPr>
    </w:p>
    <w:p>
      <w:pPr>
        <w:jc w:val="both"/>
        <w:ind w:right="120"/>
        <w:spacing w:after="0" w:line="252" w:lineRule="auto"/>
        <w:rPr>
          <w:sz w:val="20"/>
          <w:szCs w:val="20"/>
          <w:color w:val="auto"/>
        </w:rPr>
      </w:pPr>
      <w:r>
        <w:rPr>
          <w:rFonts w:ascii="Arial" w:cs="Arial" w:eastAsia="Arial" w:hAnsi="Arial"/>
          <w:sz w:val="16"/>
          <w:szCs w:val="16"/>
          <w:b w:val="1"/>
          <w:bCs w:val="1"/>
          <w:color w:val="auto"/>
        </w:rPr>
        <w:t xml:space="preserve">Life and Disability Insurance. </w:t>
      </w:r>
      <w:r>
        <w:rPr>
          <w:rFonts w:ascii="Arial" w:cs="Arial" w:eastAsia="Arial" w:hAnsi="Arial"/>
          <w:sz w:val="16"/>
          <w:szCs w:val="16"/>
          <w:color w:val="auto"/>
        </w:rPr>
        <w:t>Martin Marietta provides to all of its salaried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b w:val="1"/>
          <w:bCs w:val="1"/>
          <w:color w:val="auto"/>
        </w:rPr>
        <w:t xml:space="preserve">Housing Allowance and Relocation Costs. </w:t>
      </w:r>
      <w:r>
        <w:rPr>
          <w:rFonts w:ascii="Arial" w:cs="Arial" w:eastAsia="Arial" w:hAnsi="Arial"/>
          <w:sz w:val="16"/>
          <w:szCs w:val="16"/>
          <w:color w:val="auto"/>
        </w:rPr>
        <w:t>Martin Marietta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relocation benefits, including a housing allowance, to certain employees upon their employment with Martin Marietta or in conjunction with a job relocation or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424815</wp:posOffset>
            </wp:positionV>
            <wp:extent cx="411480" cy="248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62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49</w:t>
            </w:r>
          </w:p>
        </w:tc>
      </w:tr>
    </w:tbl>
    <w:p>
      <w:pPr>
        <w:sectPr>
          <w:pgSz w:w="11900" w:h="16838" w:orient="portrait"/>
          <w:cols w:equalWidth="0" w:num="2">
            <w:col w:w="5480" w:space="340"/>
            <w:col w:w="560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Pension Benefits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Pension Benefits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table below shows the present value of accumulated benefits payable to each of the named executive officers, including the number of years of service credited to each such named executive officer, under our Pension Plan and SERP, determined using interest rate and mortality rate assumptions consistent with those used in Martin Marietta’s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PENSION BENEFITS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Borders>
              <w:right w:val="single" w:sz="8" w:color="007CBA"/>
            </w:tcBorders>
            <w:shd w:val="clear" w:color="auto" w:fill="007CBA"/>
          </w:tcPr>
          <w:p>
            <w:pPr>
              <w:spacing w:after="0"/>
              <w:rPr>
                <w:sz w:val="14"/>
                <w:szCs w:val="14"/>
                <w:color w:val="auto"/>
              </w:rPr>
            </w:pPr>
          </w:p>
        </w:tc>
        <w:tc>
          <w:tcPr>
            <w:tcW w:w="1380" w:type="dxa"/>
            <w:vAlign w:val="bottom"/>
            <w:tcBorders>
              <w:right w:val="single" w:sz="8" w:color="007CBA"/>
            </w:tcBorders>
            <w:shd w:val="clear" w:color="auto" w:fill="007CBA"/>
          </w:tcPr>
          <w:p>
            <w:pPr>
              <w:spacing w:after="0"/>
              <w:rPr>
                <w:sz w:val="14"/>
                <w:szCs w:val="14"/>
                <w:color w:val="auto"/>
              </w:rPr>
            </w:pPr>
          </w:p>
        </w:tc>
        <w:tc>
          <w:tcPr>
            <w:tcW w:w="21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Numbers of Years</w:t>
            </w:r>
          </w:p>
        </w:tc>
        <w:tc>
          <w:tcPr>
            <w:tcW w:w="2220" w:type="dxa"/>
            <w:vAlign w:val="bottom"/>
            <w:tcBorders>
              <w:right w:val="single" w:sz="8" w:color="007CBA"/>
            </w:tcBorders>
            <w:shd w:val="clear" w:color="auto" w:fill="007CBA"/>
          </w:tcPr>
          <w:p>
            <w:pPr>
              <w:jc w:val="center"/>
              <w:ind w:right="62"/>
              <w:spacing w:after="0"/>
              <w:rPr>
                <w:sz w:val="20"/>
                <w:szCs w:val="20"/>
                <w:color w:val="auto"/>
              </w:rPr>
            </w:pPr>
            <w:r>
              <w:rPr>
                <w:rFonts w:ascii="Arial" w:cs="Arial" w:eastAsia="Arial" w:hAnsi="Arial"/>
                <w:sz w:val="14"/>
                <w:szCs w:val="14"/>
                <w:b w:val="1"/>
                <w:bCs w:val="1"/>
                <w:color w:val="FFFFFF"/>
              </w:rPr>
              <w:t>Present Value of</w:t>
            </w:r>
          </w:p>
        </w:tc>
        <w:tc>
          <w:tcPr>
            <w:tcW w:w="1960" w:type="dxa"/>
            <w:vAlign w:val="bottom"/>
            <w:shd w:val="clear" w:color="auto" w:fill="007CBA"/>
          </w:tcPr>
          <w:p>
            <w:pPr>
              <w:jc w:val="center"/>
              <w:ind w:right="28"/>
              <w:spacing w:after="0"/>
              <w:rPr>
                <w:sz w:val="20"/>
                <w:szCs w:val="20"/>
                <w:color w:val="auto"/>
              </w:rPr>
            </w:pPr>
            <w:r>
              <w:rPr>
                <w:rFonts w:ascii="Arial" w:cs="Arial" w:eastAsia="Arial" w:hAnsi="Arial"/>
                <w:sz w:val="14"/>
                <w:szCs w:val="14"/>
                <w:b w:val="1"/>
                <w:bCs w:val="1"/>
                <w:color w:val="FFFFFF"/>
              </w:rPr>
              <w:t>Payments During</w:t>
            </w:r>
          </w:p>
        </w:tc>
      </w:tr>
      <w:tr>
        <w:trPr>
          <w:trHeight w:val="159"/>
        </w:trPr>
        <w:tc>
          <w:tcPr>
            <w:tcW w:w="3760" w:type="dxa"/>
            <w:vAlign w:val="bottom"/>
            <w:tcBorders>
              <w:right w:val="single" w:sz="8" w:color="007CBA"/>
            </w:tcBorders>
            <w:shd w:val="clear" w:color="auto" w:fill="007CBA"/>
          </w:tcPr>
          <w:p>
            <w:pPr>
              <w:spacing w:after="0"/>
              <w:rPr>
                <w:sz w:val="13"/>
                <w:szCs w:val="13"/>
                <w:color w:val="auto"/>
              </w:rPr>
            </w:pPr>
          </w:p>
        </w:tc>
        <w:tc>
          <w:tcPr>
            <w:tcW w:w="1380" w:type="dxa"/>
            <w:vAlign w:val="bottom"/>
            <w:tcBorders>
              <w:right w:val="single" w:sz="8" w:color="007CBA"/>
            </w:tcBorders>
            <w:shd w:val="clear" w:color="auto" w:fill="007CBA"/>
          </w:tcPr>
          <w:p>
            <w:pPr>
              <w:spacing w:after="0"/>
              <w:rPr>
                <w:sz w:val="13"/>
                <w:szCs w:val="13"/>
                <w:color w:val="auto"/>
              </w:rPr>
            </w:pPr>
          </w:p>
        </w:tc>
        <w:tc>
          <w:tcPr>
            <w:tcW w:w="2100" w:type="dxa"/>
            <w:vAlign w:val="bottom"/>
            <w:tcBorders>
              <w:right w:val="single" w:sz="8" w:color="007CBA"/>
            </w:tcBorders>
            <w:shd w:val="clear" w:color="auto" w:fill="007CBA"/>
          </w:tcPr>
          <w:p>
            <w:pPr>
              <w:jc w:val="center"/>
              <w:spacing w:after="0" w:line="159" w:lineRule="exact"/>
              <w:rPr>
                <w:sz w:val="20"/>
                <w:szCs w:val="20"/>
                <w:color w:val="auto"/>
              </w:rPr>
            </w:pPr>
            <w:r>
              <w:rPr>
                <w:rFonts w:ascii="Arial" w:cs="Arial" w:eastAsia="Arial" w:hAnsi="Arial"/>
                <w:sz w:val="14"/>
                <w:szCs w:val="14"/>
                <w:b w:val="1"/>
                <w:bCs w:val="1"/>
                <w:color w:val="FFFFFF"/>
              </w:rPr>
              <w:t>Credited Service</w:t>
            </w:r>
          </w:p>
        </w:tc>
        <w:tc>
          <w:tcPr>
            <w:tcW w:w="2220" w:type="dxa"/>
            <w:vAlign w:val="bottom"/>
            <w:tcBorders>
              <w:right w:val="single" w:sz="8" w:color="007CBA"/>
            </w:tcBorders>
            <w:shd w:val="clear" w:color="auto" w:fill="007CBA"/>
          </w:tcPr>
          <w:p>
            <w:pPr>
              <w:jc w:val="center"/>
              <w:ind w:right="42"/>
              <w:spacing w:after="0" w:line="159" w:lineRule="exact"/>
              <w:rPr>
                <w:sz w:val="20"/>
                <w:szCs w:val="20"/>
                <w:color w:val="auto"/>
              </w:rPr>
            </w:pPr>
            <w:r>
              <w:rPr>
                <w:rFonts w:ascii="Arial" w:cs="Arial" w:eastAsia="Arial" w:hAnsi="Arial"/>
                <w:sz w:val="14"/>
                <w:szCs w:val="14"/>
                <w:b w:val="1"/>
                <w:bCs w:val="1"/>
                <w:color w:val="FFFFFF"/>
              </w:rPr>
              <w:t>Accumulated Benefit</w:t>
            </w:r>
          </w:p>
        </w:tc>
        <w:tc>
          <w:tcPr>
            <w:tcW w:w="1960" w:type="dxa"/>
            <w:vAlign w:val="bottom"/>
            <w:shd w:val="clear" w:color="auto" w:fill="007CBA"/>
          </w:tcPr>
          <w:p>
            <w:pPr>
              <w:jc w:val="center"/>
              <w:ind w:right="28"/>
              <w:spacing w:after="0" w:line="159" w:lineRule="exact"/>
              <w:rPr>
                <w:sz w:val="20"/>
                <w:szCs w:val="20"/>
                <w:color w:val="auto"/>
              </w:rPr>
            </w:pPr>
            <w:r>
              <w:rPr>
                <w:rFonts w:ascii="Arial" w:cs="Arial" w:eastAsia="Arial" w:hAnsi="Arial"/>
                <w:sz w:val="14"/>
                <w:szCs w:val="14"/>
                <w:b w:val="1"/>
                <w:bCs w:val="1"/>
                <w:color w:val="FFFFFF"/>
              </w:rPr>
              <w:t>Last Fiscal Year</w:t>
            </w:r>
          </w:p>
        </w:tc>
      </w:tr>
      <w:tr>
        <w:trPr>
          <w:trHeight w:val="166"/>
        </w:trPr>
        <w:tc>
          <w:tcPr>
            <w:tcW w:w="37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Name</w:t>
            </w:r>
          </w:p>
        </w:tc>
        <w:tc>
          <w:tcPr>
            <w:tcW w:w="1380" w:type="dxa"/>
            <w:vAlign w:val="bottom"/>
            <w:tcBorders>
              <w:right w:val="single" w:sz="8" w:color="007CBA"/>
            </w:tcBorders>
            <w:shd w:val="clear" w:color="auto" w:fill="007CBA"/>
          </w:tcPr>
          <w:p>
            <w:pPr>
              <w:jc w:val="center"/>
              <w:ind w:left="200"/>
              <w:spacing w:after="0"/>
              <w:rPr>
                <w:sz w:val="20"/>
                <w:szCs w:val="20"/>
                <w:color w:val="auto"/>
              </w:rPr>
            </w:pPr>
            <w:r>
              <w:rPr>
                <w:rFonts w:ascii="Arial" w:cs="Arial" w:eastAsia="Arial" w:hAnsi="Arial"/>
                <w:sz w:val="14"/>
                <w:szCs w:val="14"/>
                <w:b w:val="1"/>
                <w:bCs w:val="1"/>
                <w:color w:val="FFFFFF"/>
              </w:rPr>
              <w:t>Plan Name</w:t>
            </w:r>
          </w:p>
        </w:tc>
        <w:tc>
          <w:tcPr>
            <w:tcW w:w="21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right w:val="single" w:sz="8" w:color="007CBA"/>
            </w:tcBorders>
            <w:shd w:val="clear" w:color="auto" w:fill="007CBA"/>
          </w:tcPr>
          <w:p>
            <w:pPr>
              <w:jc w:val="right"/>
              <w:ind w:right="942"/>
              <w:spacing w:after="0" w:line="165"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9"/>
                <w:szCs w:val="19"/>
                <w:b w:val="1"/>
                <w:bCs w:val="1"/>
                <w:color w:val="FFFFFF"/>
                <w:vertAlign w:val="superscript"/>
              </w:rPr>
              <w:t>1</w:t>
            </w:r>
          </w:p>
        </w:tc>
        <w:tc>
          <w:tcPr>
            <w:tcW w:w="1960" w:type="dxa"/>
            <w:vAlign w:val="bottom"/>
            <w:shd w:val="clear" w:color="auto" w:fill="007CBA"/>
          </w:tcPr>
          <w:p>
            <w:pPr>
              <w:jc w:val="center"/>
              <w:ind w:right="28"/>
              <w:spacing w:after="0"/>
              <w:rPr>
                <w:sz w:val="20"/>
                <w:szCs w:val="20"/>
                <w:color w:val="auto"/>
              </w:rPr>
            </w:pPr>
            <w:r>
              <w:rPr>
                <w:rFonts w:ascii="Arial" w:cs="Arial" w:eastAsia="Arial" w:hAnsi="Arial"/>
                <w:sz w:val="14"/>
                <w:szCs w:val="14"/>
                <w:b w:val="1"/>
                <w:bCs w:val="1"/>
                <w:color w:val="FFFFFF"/>
              </w:rPr>
              <w:t>($)</w:t>
            </w:r>
          </w:p>
        </w:tc>
      </w:tr>
      <w:tr>
        <w:trPr>
          <w:trHeight w:val="189"/>
        </w:trPr>
        <w:tc>
          <w:tcPr>
            <w:tcW w:w="37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(a)</w:t>
            </w:r>
          </w:p>
        </w:tc>
        <w:tc>
          <w:tcPr>
            <w:tcW w:w="1380" w:type="dxa"/>
            <w:vAlign w:val="bottom"/>
            <w:tcBorders>
              <w:right w:val="single" w:sz="8" w:color="007CBA"/>
            </w:tcBorders>
            <w:shd w:val="clear" w:color="auto" w:fill="007CBA"/>
          </w:tcPr>
          <w:p>
            <w:pPr>
              <w:jc w:val="center"/>
              <w:ind w:left="240"/>
              <w:spacing w:after="0"/>
              <w:rPr>
                <w:sz w:val="20"/>
                <w:szCs w:val="20"/>
                <w:color w:val="auto"/>
              </w:rPr>
            </w:pPr>
            <w:r>
              <w:rPr>
                <w:rFonts w:ascii="Arial" w:cs="Arial" w:eastAsia="Arial" w:hAnsi="Arial"/>
                <w:sz w:val="14"/>
                <w:szCs w:val="14"/>
                <w:b w:val="1"/>
                <w:bCs w:val="1"/>
                <w:color w:val="FFFFFF"/>
              </w:rPr>
              <w:t>(b)</w:t>
            </w:r>
          </w:p>
        </w:tc>
        <w:tc>
          <w:tcPr>
            <w:tcW w:w="21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w:t>
            </w:r>
          </w:p>
        </w:tc>
        <w:tc>
          <w:tcPr>
            <w:tcW w:w="2220" w:type="dxa"/>
            <w:vAlign w:val="bottom"/>
            <w:tcBorders>
              <w:right w:val="single" w:sz="8" w:color="007CBA"/>
            </w:tcBorders>
            <w:shd w:val="clear" w:color="auto" w:fill="007CBA"/>
          </w:tcPr>
          <w:p>
            <w:pPr>
              <w:jc w:val="center"/>
              <w:ind w:right="42"/>
              <w:spacing w:after="0"/>
              <w:rPr>
                <w:sz w:val="20"/>
                <w:szCs w:val="20"/>
                <w:color w:val="auto"/>
              </w:rPr>
            </w:pPr>
            <w:r>
              <w:rPr>
                <w:rFonts w:ascii="Arial" w:cs="Arial" w:eastAsia="Arial" w:hAnsi="Arial"/>
                <w:sz w:val="14"/>
                <w:szCs w:val="14"/>
                <w:b w:val="1"/>
                <w:bCs w:val="1"/>
                <w:color w:val="FFFFFF"/>
              </w:rPr>
              <w:t>(d)</w:t>
            </w:r>
          </w:p>
        </w:tc>
        <w:tc>
          <w:tcPr>
            <w:tcW w:w="1960" w:type="dxa"/>
            <w:vAlign w:val="bottom"/>
            <w:shd w:val="clear" w:color="auto" w:fill="007CBA"/>
          </w:tcPr>
          <w:p>
            <w:pPr>
              <w:jc w:val="center"/>
              <w:ind w:right="28"/>
              <w:spacing w:after="0"/>
              <w:rPr>
                <w:sz w:val="20"/>
                <w:szCs w:val="20"/>
                <w:color w:val="auto"/>
              </w:rPr>
            </w:pPr>
            <w:r>
              <w:rPr>
                <w:rFonts w:ascii="Arial" w:cs="Arial" w:eastAsia="Arial" w:hAnsi="Arial"/>
                <w:sz w:val="14"/>
                <w:szCs w:val="14"/>
                <w:b w:val="1"/>
                <w:bCs w:val="1"/>
                <w:color w:val="FFFFFF"/>
              </w:rPr>
              <w:t>(e)</w:t>
            </w:r>
          </w:p>
        </w:tc>
      </w:tr>
      <w:tr>
        <w:trPr>
          <w:trHeight w:val="191"/>
        </w:trPr>
        <w:tc>
          <w:tcPr>
            <w:tcW w:w="376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C. Howard Nye</w:t>
            </w:r>
          </w:p>
        </w:tc>
        <w:tc>
          <w:tcPr>
            <w:tcW w:w="138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Pension Plan</w:t>
            </w:r>
          </w:p>
        </w:tc>
        <w:tc>
          <w:tcPr>
            <w:tcW w:w="210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10.417</w:t>
            </w:r>
          </w:p>
        </w:tc>
        <w:tc>
          <w:tcPr>
            <w:tcW w:w="222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372,213</w:t>
            </w:r>
          </w:p>
        </w:tc>
        <w:tc>
          <w:tcPr>
            <w:tcW w:w="1960" w:type="dxa"/>
            <w:vAlign w:val="bottom"/>
          </w:tcPr>
          <w:p>
            <w:pPr>
              <w:spacing w:after="0"/>
              <w:rPr>
                <w:sz w:val="16"/>
                <w:szCs w:val="16"/>
                <w:color w:val="auto"/>
              </w:rPr>
            </w:pPr>
          </w:p>
        </w:tc>
      </w:tr>
      <w:tr>
        <w:trPr>
          <w:trHeight w:val="198"/>
        </w:trPr>
        <w:tc>
          <w:tcPr>
            <w:tcW w:w="3760" w:type="dxa"/>
            <w:vAlign w:val="bottom"/>
            <w:tcBorders>
              <w:right w:val="single" w:sz="8" w:color="007CBA"/>
            </w:tcBorders>
          </w:tcPr>
          <w:p>
            <w:pPr>
              <w:spacing w:after="0"/>
              <w:rPr>
                <w:sz w:val="17"/>
                <w:szCs w:val="17"/>
                <w:color w:val="auto"/>
              </w:rPr>
            </w:pPr>
          </w:p>
        </w:tc>
        <w:tc>
          <w:tcPr>
            <w:tcW w:w="138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SERP</w:t>
            </w:r>
          </w:p>
        </w:tc>
        <w:tc>
          <w:tcPr>
            <w:tcW w:w="210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10.417</w:t>
            </w:r>
          </w:p>
        </w:tc>
        <w:tc>
          <w:tcPr>
            <w:tcW w:w="222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2,792,924</w:t>
            </w:r>
          </w:p>
        </w:tc>
        <w:tc>
          <w:tcPr>
            <w:tcW w:w="1960" w:type="dxa"/>
            <w:vAlign w:val="bottom"/>
          </w:tcPr>
          <w:p>
            <w:pPr>
              <w:spacing w:after="0"/>
              <w:rPr>
                <w:sz w:val="17"/>
                <w:szCs w:val="17"/>
                <w:color w:val="auto"/>
              </w:rPr>
            </w:pPr>
          </w:p>
        </w:tc>
      </w:tr>
      <w:tr>
        <w:trPr>
          <w:trHeight w:val="194"/>
        </w:trPr>
        <w:tc>
          <w:tcPr>
            <w:tcW w:w="37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Anne H. Lloyd</w:t>
            </w:r>
          </w:p>
        </w:tc>
        <w:tc>
          <w:tcPr>
            <w:tcW w:w="1380" w:type="dxa"/>
            <w:vAlign w:val="bottom"/>
            <w:tcBorders>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Pension Plan</w:t>
            </w:r>
          </w:p>
        </w:tc>
        <w:tc>
          <w:tcPr>
            <w:tcW w:w="210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18.583</w:t>
            </w:r>
          </w:p>
        </w:tc>
        <w:tc>
          <w:tcPr>
            <w:tcW w:w="222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746,658</w:t>
            </w:r>
          </w:p>
        </w:tc>
        <w:tc>
          <w:tcPr>
            <w:tcW w:w="1960" w:type="dxa"/>
            <w:vAlign w:val="bottom"/>
            <w:shd w:val="clear" w:color="auto" w:fill="E5F1F8"/>
          </w:tcPr>
          <w:p>
            <w:pPr>
              <w:spacing w:after="0"/>
              <w:rPr>
                <w:sz w:val="16"/>
                <w:szCs w:val="16"/>
                <w:color w:val="auto"/>
              </w:rPr>
            </w:pPr>
          </w:p>
        </w:tc>
      </w:tr>
      <w:tr>
        <w:trPr>
          <w:trHeight w:val="201"/>
        </w:trPr>
        <w:tc>
          <w:tcPr>
            <w:tcW w:w="3760" w:type="dxa"/>
            <w:vAlign w:val="bottom"/>
            <w:tcBorders>
              <w:right w:val="single" w:sz="8" w:color="007CBA"/>
            </w:tcBorders>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SERP</w:t>
            </w:r>
          </w:p>
        </w:tc>
        <w:tc>
          <w:tcPr>
            <w:tcW w:w="210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18.583</w:t>
            </w:r>
          </w:p>
        </w:tc>
        <w:tc>
          <w:tcPr>
            <w:tcW w:w="222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2,127,637</w:t>
            </w:r>
          </w:p>
        </w:tc>
        <w:tc>
          <w:tcPr>
            <w:tcW w:w="1960" w:type="dxa"/>
            <w:vAlign w:val="bottom"/>
            <w:shd w:val="clear" w:color="auto" w:fill="E5F1F8"/>
          </w:tcPr>
          <w:p>
            <w:pPr>
              <w:spacing w:after="0"/>
              <w:rPr>
                <w:sz w:val="17"/>
                <w:szCs w:val="17"/>
                <w:color w:val="auto"/>
              </w:rPr>
            </w:pPr>
          </w:p>
        </w:tc>
      </w:tr>
      <w:tr>
        <w:trPr>
          <w:trHeight w:val="191"/>
        </w:trPr>
        <w:tc>
          <w:tcPr>
            <w:tcW w:w="376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Roselyn R. Bar</w:t>
            </w:r>
          </w:p>
        </w:tc>
        <w:tc>
          <w:tcPr>
            <w:tcW w:w="138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Pension Plan</w:t>
            </w:r>
          </w:p>
        </w:tc>
        <w:tc>
          <w:tcPr>
            <w:tcW w:w="210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22.500</w:t>
            </w:r>
          </w:p>
        </w:tc>
        <w:tc>
          <w:tcPr>
            <w:tcW w:w="222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1,035,383</w:t>
            </w:r>
          </w:p>
        </w:tc>
        <w:tc>
          <w:tcPr>
            <w:tcW w:w="1960" w:type="dxa"/>
            <w:vAlign w:val="bottom"/>
          </w:tcPr>
          <w:p>
            <w:pPr>
              <w:spacing w:after="0"/>
              <w:rPr>
                <w:sz w:val="16"/>
                <w:szCs w:val="16"/>
                <w:color w:val="auto"/>
              </w:rPr>
            </w:pPr>
          </w:p>
        </w:tc>
      </w:tr>
      <w:tr>
        <w:trPr>
          <w:trHeight w:val="198"/>
        </w:trPr>
        <w:tc>
          <w:tcPr>
            <w:tcW w:w="3760" w:type="dxa"/>
            <w:vAlign w:val="bottom"/>
            <w:tcBorders>
              <w:right w:val="single" w:sz="8" w:color="007CBA"/>
            </w:tcBorders>
          </w:tcPr>
          <w:p>
            <w:pPr>
              <w:spacing w:after="0"/>
              <w:rPr>
                <w:sz w:val="17"/>
                <w:szCs w:val="17"/>
                <w:color w:val="auto"/>
              </w:rPr>
            </w:pPr>
          </w:p>
        </w:tc>
        <w:tc>
          <w:tcPr>
            <w:tcW w:w="138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SERP</w:t>
            </w:r>
          </w:p>
        </w:tc>
        <w:tc>
          <w:tcPr>
            <w:tcW w:w="210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22.500</w:t>
            </w:r>
          </w:p>
        </w:tc>
        <w:tc>
          <w:tcPr>
            <w:tcW w:w="222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2,094,440</w:t>
            </w:r>
          </w:p>
        </w:tc>
        <w:tc>
          <w:tcPr>
            <w:tcW w:w="1960" w:type="dxa"/>
            <w:vAlign w:val="bottom"/>
          </w:tcPr>
          <w:p>
            <w:pPr>
              <w:spacing w:after="0"/>
              <w:rPr>
                <w:sz w:val="17"/>
                <w:szCs w:val="17"/>
                <w:color w:val="auto"/>
              </w:rPr>
            </w:pPr>
          </w:p>
        </w:tc>
      </w:tr>
      <w:tr>
        <w:trPr>
          <w:trHeight w:val="194"/>
        </w:trPr>
        <w:tc>
          <w:tcPr>
            <w:tcW w:w="37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Donald A. McCunniff</w:t>
            </w:r>
          </w:p>
        </w:tc>
        <w:tc>
          <w:tcPr>
            <w:tcW w:w="1380" w:type="dxa"/>
            <w:vAlign w:val="bottom"/>
            <w:tcBorders>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Pension Plan</w:t>
            </w:r>
          </w:p>
        </w:tc>
        <w:tc>
          <w:tcPr>
            <w:tcW w:w="210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5.417</w:t>
            </w:r>
          </w:p>
        </w:tc>
        <w:tc>
          <w:tcPr>
            <w:tcW w:w="222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247,210</w:t>
            </w:r>
          </w:p>
        </w:tc>
        <w:tc>
          <w:tcPr>
            <w:tcW w:w="1960" w:type="dxa"/>
            <w:vAlign w:val="bottom"/>
            <w:shd w:val="clear" w:color="auto" w:fill="E5F1F8"/>
          </w:tcPr>
          <w:p>
            <w:pPr>
              <w:spacing w:after="0"/>
              <w:rPr>
                <w:sz w:val="16"/>
                <w:szCs w:val="16"/>
                <w:color w:val="auto"/>
              </w:rPr>
            </w:pPr>
          </w:p>
        </w:tc>
      </w:tr>
      <w:tr>
        <w:trPr>
          <w:trHeight w:val="201"/>
        </w:trPr>
        <w:tc>
          <w:tcPr>
            <w:tcW w:w="3760" w:type="dxa"/>
            <w:vAlign w:val="bottom"/>
            <w:tcBorders>
              <w:right w:val="single" w:sz="8" w:color="007CBA"/>
            </w:tcBorders>
            <w:shd w:val="clear" w:color="auto" w:fill="E5F1F8"/>
          </w:tcPr>
          <w:p>
            <w:pPr>
              <w:spacing w:after="0"/>
              <w:rPr>
                <w:sz w:val="17"/>
                <w:szCs w:val="17"/>
                <w:color w:val="auto"/>
              </w:rPr>
            </w:pPr>
          </w:p>
        </w:tc>
        <w:tc>
          <w:tcPr>
            <w:tcW w:w="1380" w:type="dxa"/>
            <w:vAlign w:val="bottom"/>
            <w:tcBorders>
              <w:right w:val="single" w:sz="8" w:color="007CBA"/>
            </w:tcBorders>
            <w:shd w:val="clear" w:color="auto" w:fill="E5F1F8"/>
          </w:tcPr>
          <w:p>
            <w:pPr>
              <w:jc w:val="center"/>
              <w:ind w:left="220"/>
              <w:spacing w:after="0"/>
              <w:rPr>
                <w:sz w:val="20"/>
                <w:szCs w:val="20"/>
                <w:color w:val="auto"/>
              </w:rPr>
            </w:pPr>
            <w:r>
              <w:rPr>
                <w:rFonts w:ascii="Arial" w:cs="Arial" w:eastAsia="Arial" w:hAnsi="Arial"/>
                <w:sz w:val="16"/>
                <w:szCs w:val="16"/>
                <w:color w:val="auto"/>
              </w:rPr>
              <w:t>SERP</w:t>
            </w:r>
          </w:p>
        </w:tc>
        <w:tc>
          <w:tcPr>
            <w:tcW w:w="210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5.417</w:t>
            </w:r>
          </w:p>
        </w:tc>
        <w:tc>
          <w:tcPr>
            <w:tcW w:w="2220" w:type="dxa"/>
            <w:vAlign w:val="bottom"/>
            <w:tcBorders>
              <w:right w:val="single" w:sz="8" w:color="007CBA"/>
            </w:tcBorders>
            <w:shd w:val="clear" w:color="auto" w:fill="E5F1F8"/>
          </w:tcPr>
          <w:p>
            <w:pPr>
              <w:jc w:val="right"/>
              <w:ind w:right="382"/>
              <w:spacing w:after="0"/>
              <w:rPr>
                <w:sz w:val="20"/>
                <w:szCs w:val="20"/>
                <w:color w:val="auto"/>
              </w:rPr>
            </w:pPr>
            <w:r>
              <w:rPr>
                <w:rFonts w:ascii="Arial" w:cs="Arial" w:eastAsia="Arial" w:hAnsi="Arial"/>
                <w:sz w:val="16"/>
                <w:szCs w:val="16"/>
                <w:color w:val="auto"/>
              </w:rPr>
              <w:t>340,753</w:t>
            </w:r>
          </w:p>
        </w:tc>
        <w:tc>
          <w:tcPr>
            <w:tcW w:w="1960" w:type="dxa"/>
            <w:vAlign w:val="bottom"/>
            <w:shd w:val="clear" w:color="auto" w:fill="E5F1F8"/>
          </w:tcPr>
          <w:p>
            <w:pPr>
              <w:spacing w:after="0"/>
              <w:rPr>
                <w:sz w:val="17"/>
                <w:szCs w:val="17"/>
                <w:color w:val="auto"/>
              </w:rPr>
            </w:pPr>
          </w:p>
        </w:tc>
      </w:tr>
      <w:tr>
        <w:trPr>
          <w:trHeight w:val="191"/>
        </w:trPr>
        <w:tc>
          <w:tcPr>
            <w:tcW w:w="376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Daniel L. Grant</w:t>
            </w:r>
          </w:p>
        </w:tc>
        <w:tc>
          <w:tcPr>
            <w:tcW w:w="1380" w:type="dxa"/>
            <w:vAlign w:val="bottom"/>
            <w:tcBorders>
              <w:right w:val="single" w:sz="8" w:color="007CBA"/>
            </w:tcBorders>
          </w:tcPr>
          <w:p>
            <w:pPr>
              <w:jc w:val="center"/>
              <w:ind w:left="220"/>
              <w:spacing w:after="0"/>
              <w:rPr>
                <w:sz w:val="20"/>
                <w:szCs w:val="20"/>
                <w:color w:val="auto"/>
              </w:rPr>
            </w:pPr>
            <w:r>
              <w:rPr>
                <w:rFonts w:ascii="Arial" w:cs="Arial" w:eastAsia="Arial" w:hAnsi="Arial"/>
                <w:sz w:val="16"/>
                <w:szCs w:val="16"/>
                <w:color w:val="auto"/>
              </w:rPr>
              <w:t>Pension Plan</w:t>
            </w:r>
          </w:p>
        </w:tc>
        <w:tc>
          <w:tcPr>
            <w:tcW w:w="210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3.333</w:t>
            </w:r>
          </w:p>
        </w:tc>
        <w:tc>
          <w:tcPr>
            <w:tcW w:w="2220" w:type="dxa"/>
            <w:vAlign w:val="bottom"/>
            <w:tcBorders>
              <w:right w:val="single" w:sz="8" w:color="007CBA"/>
            </w:tcBorders>
          </w:tcPr>
          <w:p>
            <w:pPr>
              <w:jc w:val="right"/>
              <w:ind w:right="382"/>
              <w:spacing w:after="0"/>
              <w:rPr>
                <w:sz w:val="20"/>
                <w:szCs w:val="20"/>
                <w:color w:val="auto"/>
              </w:rPr>
            </w:pPr>
            <w:r>
              <w:rPr>
                <w:rFonts w:ascii="Arial" w:cs="Arial" w:eastAsia="Arial" w:hAnsi="Arial"/>
                <w:sz w:val="16"/>
                <w:szCs w:val="16"/>
                <w:color w:val="auto"/>
              </w:rPr>
              <w:t>155,684</w:t>
            </w:r>
          </w:p>
        </w:tc>
        <w:tc>
          <w:tcPr>
            <w:tcW w:w="1960" w:type="dxa"/>
            <w:vAlign w:val="bottom"/>
          </w:tcPr>
          <w:p>
            <w:pPr>
              <w:spacing w:after="0"/>
              <w:rPr>
                <w:sz w:val="16"/>
                <w:szCs w:val="16"/>
                <w:color w:val="auto"/>
              </w:rPr>
            </w:pPr>
          </w:p>
        </w:tc>
      </w:tr>
      <w:tr>
        <w:trPr>
          <w:trHeight w:val="198"/>
        </w:trPr>
        <w:tc>
          <w:tcPr>
            <w:tcW w:w="3760" w:type="dxa"/>
            <w:vAlign w:val="bottom"/>
            <w:tcBorders>
              <w:bottom w:val="single" w:sz="8" w:color="007CBA"/>
              <w:right w:val="single" w:sz="8" w:color="007CBA"/>
            </w:tcBorders>
          </w:tcPr>
          <w:p>
            <w:pPr>
              <w:spacing w:after="0"/>
              <w:rPr>
                <w:sz w:val="17"/>
                <w:szCs w:val="17"/>
                <w:color w:val="auto"/>
              </w:rPr>
            </w:pPr>
          </w:p>
        </w:tc>
        <w:tc>
          <w:tcPr>
            <w:tcW w:w="1380" w:type="dxa"/>
            <w:vAlign w:val="bottom"/>
            <w:tcBorders>
              <w:bottom w:val="single" w:sz="8" w:color="007CBA"/>
              <w:right w:val="single" w:sz="8" w:color="007CBA"/>
            </w:tcBorders>
          </w:tcPr>
          <w:p>
            <w:pPr>
              <w:jc w:val="center"/>
              <w:ind w:left="220"/>
              <w:spacing w:after="0"/>
              <w:rPr>
                <w:sz w:val="20"/>
                <w:szCs w:val="20"/>
                <w:color w:val="auto"/>
              </w:rPr>
            </w:pPr>
            <w:r>
              <w:rPr>
                <w:rFonts w:ascii="Arial" w:cs="Arial" w:eastAsia="Arial" w:hAnsi="Arial"/>
                <w:sz w:val="16"/>
                <w:szCs w:val="16"/>
                <w:color w:val="auto"/>
              </w:rPr>
              <w:t>SERP</w:t>
            </w:r>
          </w:p>
        </w:tc>
        <w:tc>
          <w:tcPr>
            <w:tcW w:w="2100" w:type="dxa"/>
            <w:vAlign w:val="bottom"/>
            <w:tcBorders>
              <w:bottom w:val="single" w:sz="8" w:color="007CBA"/>
              <w:right w:val="single" w:sz="8" w:color="007CBA"/>
            </w:tcBorders>
          </w:tcPr>
          <w:p>
            <w:pPr>
              <w:jc w:val="right"/>
              <w:ind w:right="382"/>
              <w:spacing w:after="0"/>
              <w:rPr>
                <w:sz w:val="20"/>
                <w:szCs w:val="20"/>
                <w:color w:val="auto"/>
              </w:rPr>
            </w:pPr>
            <w:r>
              <w:rPr>
                <w:rFonts w:ascii="Arial" w:cs="Arial" w:eastAsia="Arial" w:hAnsi="Arial"/>
                <w:sz w:val="16"/>
                <w:szCs w:val="16"/>
                <w:color w:val="auto"/>
              </w:rPr>
              <w:t>3.333</w:t>
            </w:r>
          </w:p>
        </w:tc>
        <w:tc>
          <w:tcPr>
            <w:tcW w:w="2220" w:type="dxa"/>
            <w:vAlign w:val="bottom"/>
            <w:tcBorders>
              <w:bottom w:val="single" w:sz="8" w:color="007CBA"/>
              <w:right w:val="single" w:sz="8" w:color="007CBA"/>
            </w:tcBorders>
          </w:tcPr>
          <w:p>
            <w:pPr>
              <w:jc w:val="right"/>
              <w:ind w:right="382"/>
              <w:spacing w:after="0"/>
              <w:rPr>
                <w:sz w:val="20"/>
                <w:szCs w:val="20"/>
                <w:color w:val="auto"/>
              </w:rPr>
            </w:pPr>
            <w:r>
              <w:rPr>
                <w:rFonts w:ascii="Arial" w:cs="Arial" w:eastAsia="Arial" w:hAnsi="Arial"/>
                <w:sz w:val="16"/>
                <w:szCs w:val="16"/>
                <w:color w:val="auto"/>
              </w:rPr>
              <w:t>180,880</w:t>
            </w:r>
          </w:p>
        </w:tc>
        <w:tc>
          <w:tcPr>
            <w:tcW w:w="1960" w:type="dxa"/>
            <w:vAlign w:val="bottom"/>
            <w:tcBorders>
              <w:bottom w:val="single" w:sz="8" w:color="007CBA"/>
            </w:tcBorders>
          </w:tcPr>
          <w:p>
            <w:pPr>
              <w:spacing w:after="0"/>
              <w:rPr>
                <w:sz w:val="17"/>
                <w:szCs w:val="17"/>
                <w:color w:val="auto"/>
              </w:rPr>
            </w:pPr>
          </w:p>
        </w:tc>
      </w:tr>
    </w:tbl>
    <w:p>
      <w:pPr>
        <w:spacing w:after="0" w:line="72" w:lineRule="exact"/>
        <w:rPr>
          <w:sz w:val="20"/>
          <w:szCs w:val="20"/>
          <w:color w:val="auto"/>
        </w:rPr>
      </w:pPr>
    </w:p>
    <w:p>
      <w:pPr>
        <w:ind w:left="120" w:hanging="112"/>
        <w:spacing w:after="0" w:line="183" w:lineRule="auto"/>
        <w:tabs>
          <w:tab w:leader="none" w:pos="12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2016, included in Martin Marietta’s Annual Report on Form 10-K filed with the Securities and Exchange Commission on February 24, 2017.</w:t>
      </w:r>
    </w:p>
    <w:p>
      <w:pPr>
        <w:sectPr>
          <w:pgSz w:w="11900" w:h="16838" w:orient="portrait"/>
          <w:cols w:equalWidth="0" w:num="1">
            <w:col w:w="11420"/>
          </w:cols>
          <w:pgMar w:left="240" w:top="459" w:right="239" w:bottom="1440" w:gutter="0" w:footer="0" w:header="0"/>
        </w:sectPr>
      </w:pPr>
    </w:p>
    <w:p>
      <w:pPr>
        <w:spacing w:after="0" w:line="25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limitations, including a limitation on the amount of annual compensation for purposes of calculating eligible remuneration for a participant under a qualified retirement plan ($265,000 in 2016). Martin Marietta’s SERP is a restoration plan that generally provides for the payment of benefits in excess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Internal Revenue Code limits, which benefits vest in the same manner that benefits vest under the Pension Plan. The SERP provides for a lump sum payment of the vested benefits provided by the SERP subject to the provisions of Section 409A of the Internal Revenue Code. Of the named executive officers, Ms. Lloyd, Ms. Bar and Mr. McCunniff are each eligible for early retirement, which allows for payment to employees who are age 55 with at least five years of service at a reduced benefit based on the number of years of service and the number of years prior to age 62 at which the benefits began. Mr. Nye and Mr. Grant are not yet eligible for early retirement, but would still be eligible for payments at age 55 (age 64.417 for Mr. Grant) at a reduced benefit based on the number of years of service and the number of years prior to age 65 at which the benefits began. The present value of the Pension Plan and SERP benefit, respectively, for Mr. Nye, Ms. Lloyd, Ms. Bar, Mr. McCunniff, and Mr. Grant, if they had terminated on December 31, 2016 and began collecting benefits at age 55 (age 64.417 for Mr. Grant) would be as follows: Mr. Nye, $314,339 and $2,486,400, respectively; Ms. Lloyd, $837,523 and $2,528,351, respectively; Ms. Bar, $1,130,139 and $2,357,550, respectively; Mr. McCunniff, $253,095 and $354,997 respectively; and Mr. Grant, $0 and $0, respectively, since he is not vested in the plans. The amounts listed in the foregoing table are not subject to any deduction for Social Security benefits or other offset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295275</wp:posOffset>
            </wp:positionV>
            <wp:extent cx="411480" cy="248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1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6020"/>
        <w:spacing w:after="0" w:line="276" w:lineRule="exact"/>
        <w:rPr>
          <w:sz w:val="20"/>
          <w:szCs w:val="20"/>
          <w:color w:val="auto"/>
        </w:rPr>
      </w:pPr>
      <w:r>
        <w:rPr>
          <w:rFonts w:ascii="Arial" w:cs="Arial" w:eastAsia="Arial" w:hAnsi="Arial"/>
          <w:sz w:val="13"/>
          <w:szCs w:val="13"/>
          <w:color w:val="auto"/>
        </w:rPr>
        <w:t xml:space="preserve">Potential Payments Upon Termination or Change of Control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Potential Payments Upon Termination or Change of Control</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2016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Payments Upon Any Termination. </w:t>
      </w:r>
      <w:r>
        <w:rPr>
          <w:rFonts w:ascii="Arial" w:cs="Arial" w:eastAsia="Arial" w:hAnsi="Arial"/>
          <w:sz w:val="16"/>
          <w:szCs w:val="16"/>
          <w:color w:val="auto"/>
        </w:rPr>
        <w:t>Regardless of the manner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of a named executive officer terminates, he or she is entitled to receive the amounts earned during the term of employment, including cash compensation earned during the fiscal year, amounts contributed by the employee and Martin Marietta’s matching contributions to the Savings and Investment Plan, unused earned vacation pay and amounts accrued and vested through Martin Marietta’s Pension Plan and SERP.</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Payments Upon Voluntary Termination. </w:t>
      </w:r>
      <w:r>
        <w:rPr>
          <w:rFonts w:ascii="Arial" w:cs="Arial" w:eastAsia="Arial" w:hAnsi="Arial"/>
          <w:sz w:val="16"/>
          <w:szCs w:val="16"/>
          <w:color w:val="auto"/>
        </w:rPr>
        <w:t>In addition to the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upon a 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Payments Upon Involuntary Not-For-Cause Termination. </w:t>
      </w:r>
      <w:r>
        <w:rPr>
          <w:rFonts w:ascii="Arial" w:cs="Arial" w:eastAsia="Arial" w:hAnsi="Arial"/>
          <w:sz w:val="16"/>
          <w:szCs w:val="16"/>
          <w:color w:val="auto"/>
        </w:rPr>
        <w:t>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amounts 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Payments Upon Involuntary For-Cause Termination. </w:t>
      </w:r>
      <w:r>
        <w:rPr>
          <w:rFonts w:ascii="Arial" w:cs="Arial" w:eastAsia="Arial" w:hAnsi="Arial"/>
          <w:sz w:val="16"/>
          <w:szCs w:val="16"/>
          <w:color w:val="auto"/>
        </w:rPr>
        <w:t>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involuntary termination for cause, which is defined in the Employment Protection Agreement and the Stock Plan, the named executive officer would be entitled to receive the payments and benefits described under the heading </w:t>
      </w:r>
      <w:r>
        <w:rPr>
          <w:rFonts w:ascii="Arial" w:cs="Arial" w:eastAsia="Arial" w:hAnsi="Arial"/>
          <w:sz w:val="16"/>
          <w:szCs w:val="16"/>
          <w:i w:val="1"/>
          <w:iCs w:val="1"/>
          <w:color w:val="auto"/>
        </w:rPr>
        <w:t>Payments Upon Voluntary Termination</w:t>
      </w:r>
      <w:r>
        <w:rPr>
          <w:rFonts w:ascii="Arial" w:cs="Arial" w:eastAsia="Arial" w:hAnsi="Arial"/>
          <w:sz w:val="16"/>
          <w:szCs w:val="16"/>
          <w:color w:val="auto"/>
        </w:rPr>
        <w:t>.</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Payments Upon Retirement. </w:t>
      </w:r>
      <w:r>
        <w:rPr>
          <w:rFonts w:ascii="Arial" w:cs="Arial" w:eastAsia="Arial" w:hAnsi="Arial"/>
          <w:sz w:val="16"/>
          <w:szCs w:val="16"/>
          <w:color w:val="auto"/>
        </w:rPr>
        <w:t>In the event of the retirement at age 62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above of a named executive officer, in addition to the items described 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executive will receive a portion of the cash incentive bonus based upon performance and payable under 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 xml:space="preserve">Executive Incentive Plan that correlates to the percentage of the year in which the employee worked for the Company; continue to hold all outstanding options unaffected by the retirement and retain such options for the remainder of the outstanding term; will continue to hold all awards of RSUs and PSUs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6"/>
          <w:szCs w:val="16"/>
          <w:i w:val="1"/>
          <w:iCs w:val="1"/>
          <w:color w:val="auto"/>
        </w:rPr>
        <w:t>Retiree Medical</w:t>
      </w:r>
      <w:r>
        <w:rPr>
          <w:rFonts w:ascii="Arial" w:cs="Arial" w:eastAsia="Arial" w:hAnsi="Arial"/>
          <w:sz w:val="16"/>
          <w:szCs w:val="16"/>
          <w:color w:val="auto"/>
        </w:rPr>
        <w:t xml:space="preserve"> on page 49 (except Mr. Nye, Mr. McCunniff and Mr. Grant, who are not eligible for Retiree Medical); and will continue to receive life insurance coverage until his or her death.</w:t>
      </w:r>
    </w:p>
    <w:p>
      <w:pPr>
        <w:spacing w:after="0" w:line="15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b w:val="1"/>
          <w:bCs w:val="1"/>
          <w:color w:val="auto"/>
        </w:rPr>
        <w:t xml:space="preserve">Payments Made Upon Early Retirement. </w:t>
      </w:r>
      <w:r>
        <w:rPr>
          <w:rFonts w:ascii="Arial" w:cs="Arial" w:eastAsia="Arial" w:hAnsi="Arial"/>
          <w:sz w:val="16"/>
          <w:szCs w:val="16"/>
          <w:color w:val="auto"/>
        </w:rPr>
        <w:t>In the event of the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prior to reaching age 62 but on or after reaching age 55, the named executive officer will receive benefits as described under the heading </w:t>
      </w:r>
      <w:r>
        <w:rPr>
          <w:rFonts w:ascii="Arial" w:cs="Arial" w:eastAsia="Arial" w:hAnsi="Arial"/>
          <w:sz w:val="16"/>
          <w:szCs w:val="16"/>
          <w:i w:val="1"/>
          <w:iCs w:val="1"/>
          <w:color w:val="auto"/>
        </w:rPr>
        <w:t>Payments Upon Voluntary Termination</w:t>
      </w:r>
      <w:r>
        <w:rPr>
          <w:rFonts w:ascii="Arial" w:cs="Arial" w:eastAsia="Arial" w:hAnsi="Arial"/>
          <w:sz w:val="16"/>
          <w:szCs w:val="16"/>
          <w:color w:val="auto"/>
        </w:rPr>
        <w:t>. In addition,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officer will receive reduced benefits of the type described under </w:t>
      </w:r>
      <w:r>
        <w:rPr>
          <w:rFonts w:ascii="Arial" w:cs="Arial" w:eastAsia="Arial" w:hAnsi="Arial"/>
          <w:sz w:val="16"/>
          <w:szCs w:val="16"/>
          <w:i w:val="1"/>
          <w:iCs w:val="1"/>
          <w:color w:val="auto"/>
        </w:rPr>
        <w:t>Pension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Benefits </w:t>
      </w:r>
      <w:r>
        <w:rPr>
          <w:rFonts w:ascii="Arial" w:cs="Arial" w:eastAsia="Arial" w:hAnsi="Arial"/>
          <w:sz w:val="16"/>
          <w:szCs w:val="16"/>
          <w:color w:val="auto"/>
        </w:rPr>
        <w:t>on page 50 and may be eligible for benefits described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heading </w:t>
      </w:r>
      <w:r>
        <w:rPr>
          <w:rFonts w:ascii="Arial" w:cs="Arial" w:eastAsia="Arial" w:hAnsi="Arial"/>
          <w:sz w:val="16"/>
          <w:szCs w:val="16"/>
          <w:i w:val="1"/>
          <w:iCs w:val="1"/>
          <w:color w:val="auto"/>
        </w:rPr>
        <w:t>Retiree Medical</w:t>
      </w:r>
      <w:r>
        <w:rPr>
          <w:rFonts w:ascii="Arial" w:cs="Arial" w:eastAsia="Arial" w:hAnsi="Arial"/>
          <w:sz w:val="16"/>
          <w:szCs w:val="16"/>
          <w:color w:val="auto"/>
        </w:rPr>
        <w:t xml:space="preserve"> on page 49 at a higher cost.</w:t>
      </w:r>
    </w:p>
    <w:p>
      <w:pPr>
        <w:spacing w:after="0" w:line="141"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b w:val="1"/>
          <w:bCs w:val="1"/>
          <w:color w:val="auto"/>
        </w:rPr>
        <w:t xml:space="preserve">Payments Upon Death or Disability. </w:t>
      </w:r>
      <w:r>
        <w:rPr>
          <w:rFonts w:ascii="Arial" w:cs="Arial" w:eastAsia="Arial" w:hAnsi="Arial"/>
          <w:sz w:val="16"/>
          <w:szCs w:val="16"/>
          <w:color w:val="auto"/>
        </w:rPr>
        <w:t>In the event of the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 named executive officer, in addition to the payments and benefits under the headings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named executive officer or their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RSUs and options will vest and the executor of their estate will have one year to exercise the options. In the event of disability, the executive will receive a portion of the cash incentive bonus based upon performance and payable under the Executive Incentive Plan that correlates to the percentage of the year in which the employee worked for the Company; continue to hold all outstanding options unaffected by the disability and retain such options for the remainder of the outstanding term; will continue to hold all awards of PSUs for the remainder of the outstanding term unaffected by the disability; and will vest in all outstanding awards of common stock units under the Incentive Stock Plan.</w:t>
      </w:r>
    </w:p>
    <w:p>
      <w:pPr>
        <w:spacing w:after="0" w:line="14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b w:val="1"/>
          <w:bCs w:val="1"/>
          <w:color w:val="auto"/>
        </w:rPr>
        <w:t>Payments Upon or in Connection With a Change of Control</w:t>
      </w:r>
      <w:r>
        <w:rPr>
          <w:rFonts w:ascii="Arial" w:cs="Arial" w:eastAsia="Arial" w:hAnsi="Arial"/>
          <w:sz w:val="16"/>
          <w:szCs w:val="16"/>
          <w:color w:val="auto"/>
        </w:rPr>
        <w:t>. Martin</w:t>
      </w:r>
      <w:r>
        <w:rPr>
          <w:rFonts w:ascii="Arial" w:cs="Arial" w:eastAsia="Arial" w:hAnsi="Arial"/>
          <w:sz w:val="16"/>
          <w:szCs w:val="16"/>
          <w:b w:val="1"/>
          <w:bCs w:val="1"/>
          <w:color w:val="auto"/>
        </w:rPr>
        <w:t xml:space="preserve"> </w:t>
      </w:r>
      <w:r>
        <w:rPr>
          <w:rFonts w:ascii="Arial" w:cs="Arial" w:eastAsia="Arial" w:hAnsi="Arial"/>
          <w:sz w:val="16"/>
          <w:szCs w:val="16"/>
          <w:color w:val="auto"/>
        </w:rPr>
        <w:t>Marietta has entered into Employment Protection Agreements, as amended from time to time, with 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179070</wp:posOffset>
            </wp:positionV>
            <wp:extent cx="411480" cy="2489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00"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51</w:t>
            </w:r>
          </w:p>
        </w:tc>
      </w:tr>
    </w:tbl>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Executive Compensation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Potential Payments Upon Termination or Change of Control</w:t>
      </w: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or her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 perquisites and Martin Marietta’s match to the defined contribution plan; the payment of a pro-rata annual target bonus in the year of termination as determined under the Executive Incentive Plan (for Mr. Nye such target bonus is 110% for purposes of the Employment Protection Agreement) and to provide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w:t>
      </w:r>
    </w:p>
    <w:p>
      <w:pPr>
        <w:spacing w:after="0" w:line="200" w:lineRule="exact"/>
        <w:rPr>
          <w:sz w:val="20"/>
          <w:szCs w:val="20"/>
          <w:color w:val="auto"/>
        </w:rPr>
      </w:pPr>
    </w:p>
    <w:p>
      <w:pPr>
        <w:spacing w:after="0" w:line="298"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and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-3022600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could result in a Change of Control, then under no circumstances will the agreements terminate prior to 31 days after the second anniversary of the Change of Control.</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the Stock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301625</wp:posOffset>
            </wp:positionV>
            <wp:extent cx="411480"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2">
            <w:col w:w="5480" w:space="340"/>
            <w:col w:w="548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6020"/>
        <w:spacing w:after="0" w:line="276" w:lineRule="exact"/>
        <w:rPr>
          <w:sz w:val="20"/>
          <w:szCs w:val="20"/>
          <w:color w:val="auto"/>
        </w:rPr>
      </w:pPr>
      <w:r>
        <w:rPr>
          <w:rFonts w:ascii="Arial" w:cs="Arial" w:eastAsia="Arial" w:hAnsi="Arial"/>
          <w:sz w:val="13"/>
          <w:szCs w:val="13"/>
          <w:color w:val="auto"/>
        </w:rPr>
        <w:t xml:space="preserve">Potential Payments Upon Termination or Change of Control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Executive Compensation</w:t>
      </w:r>
    </w:p>
    <w:p>
      <w:pPr>
        <w:spacing w:after="0" w:line="2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Value of Payments Upon Termination</w:t>
      </w:r>
      <w:r>
        <w:rPr>
          <w:rFonts w:ascii="Arial" w:cs="Arial" w:eastAsia="Arial" w:hAnsi="Arial"/>
          <w:sz w:val="16"/>
          <w:szCs w:val="16"/>
          <w:color w:val="auto"/>
        </w:rPr>
        <w:t>. The following tables show the potential incremental value of payments to each of our named executive officers upon</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including in the event of a Change of Control of Martin Marietta, assuming a December 31, 2016 termination date and, where applicable, using the NYSE closing price of our common stock of $221.53 on December 30, 2016 (the last trading day of 2016).</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POTENTIAL INCREMENTAL VALUE OF PAYMENTS UPON TERMINATION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OR CHANGE OF CONTROL AT DECEMBER 31,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shd w:val="clear" w:color="auto" w:fill="007CBA"/>
          </w:tcPr>
          <w:p>
            <w:pPr>
              <w:spacing w:after="0"/>
              <w:rPr>
                <w:sz w:val="14"/>
                <w:szCs w:val="14"/>
                <w:color w:val="auto"/>
              </w:rPr>
            </w:pPr>
          </w:p>
        </w:tc>
        <w:tc>
          <w:tcPr>
            <w:tcW w:w="416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1000" w:type="dxa"/>
            <w:vAlign w:val="bottom"/>
            <w:shd w:val="clear" w:color="auto" w:fill="007CBA"/>
          </w:tcPr>
          <w:p>
            <w:pPr>
              <w:spacing w:after="0"/>
              <w:rPr>
                <w:sz w:val="14"/>
                <w:szCs w:val="14"/>
                <w:color w:val="auto"/>
              </w:rPr>
            </w:pPr>
          </w:p>
        </w:tc>
        <w:tc>
          <w:tcPr>
            <w:tcW w:w="10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Involuntary</w:t>
            </w:r>
          </w:p>
        </w:tc>
        <w:tc>
          <w:tcPr>
            <w:tcW w:w="1000" w:type="dxa"/>
            <w:vAlign w:val="bottom"/>
            <w:shd w:val="clear" w:color="auto" w:fill="007CBA"/>
          </w:tcPr>
          <w:p>
            <w:pPr>
              <w:spacing w:after="0"/>
              <w:rPr>
                <w:sz w:val="14"/>
                <w:szCs w:val="14"/>
                <w:color w:val="auto"/>
              </w:rPr>
            </w:pPr>
          </w:p>
        </w:tc>
        <w:tc>
          <w:tcPr>
            <w:tcW w:w="980" w:type="dxa"/>
            <w:vAlign w:val="bottom"/>
            <w:shd w:val="clear" w:color="auto" w:fill="007CBA"/>
          </w:tcPr>
          <w:p>
            <w:pPr>
              <w:spacing w:after="0"/>
              <w:rPr>
                <w:sz w:val="14"/>
                <w:szCs w:val="14"/>
                <w:color w:val="auto"/>
              </w:rPr>
            </w:pPr>
          </w:p>
        </w:tc>
        <w:tc>
          <w:tcPr>
            <w:tcW w:w="960" w:type="dxa"/>
            <w:vAlign w:val="bottom"/>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007CBA"/>
          </w:tcPr>
          <w:p>
            <w:pPr>
              <w:spacing w:after="0"/>
              <w:rPr>
                <w:sz w:val="12"/>
                <w:szCs w:val="12"/>
                <w:color w:val="auto"/>
              </w:rPr>
            </w:pPr>
          </w:p>
        </w:tc>
        <w:tc>
          <w:tcPr>
            <w:tcW w:w="4160" w:type="dxa"/>
            <w:vAlign w:val="bottom"/>
            <w:shd w:val="clear" w:color="auto" w:fill="007CBA"/>
          </w:tcPr>
          <w:p>
            <w:pPr>
              <w:spacing w:after="0"/>
              <w:rPr>
                <w:sz w:val="12"/>
                <w:szCs w:val="12"/>
                <w:color w:val="auto"/>
              </w:rPr>
            </w:pPr>
          </w:p>
        </w:tc>
        <w:tc>
          <w:tcPr>
            <w:tcW w:w="100" w:type="dxa"/>
            <w:vAlign w:val="bottom"/>
            <w:shd w:val="clear" w:color="auto" w:fill="007CBA"/>
          </w:tcPr>
          <w:p>
            <w:pPr>
              <w:spacing w:after="0"/>
              <w:rPr>
                <w:sz w:val="12"/>
                <w:szCs w:val="12"/>
                <w:color w:val="auto"/>
              </w:rPr>
            </w:pPr>
          </w:p>
        </w:tc>
        <w:tc>
          <w:tcPr>
            <w:tcW w:w="1000" w:type="dxa"/>
            <w:vAlign w:val="bottom"/>
            <w:shd w:val="clear" w:color="auto" w:fill="007CBA"/>
          </w:tcPr>
          <w:p>
            <w:pPr>
              <w:spacing w:after="0"/>
              <w:rPr>
                <w:sz w:val="12"/>
                <w:szCs w:val="12"/>
                <w:color w:val="auto"/>
              </w:rPr>
            </w:pPr>
          </w:p>
        </w:tc>
        <w:tc>
          <w:tcPr>
            <w:tcW w:w="10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rPr>
              <w:t>Not-for-</w:t>
            </w:r>
          </w:p>
        </w:tc>
        <w:tc>
          <w:tcPr>
            <w:tcW w:w="1000" w:type="dxa"/>
            <w:vAlign w:val="bottom"/>
            <w:shd w:val="clear" w:color="auto" w:fill="007CBA"/>
          </w:tcPr>
          <w:p>
            <w:pPr>
              <w:spacing w:after="0"/>
              <w:rPr>
                <w:sz w:val="12"/>
                <w:szCs w:val="12"/>
                <w:color w:val="auto"/>
              </w:rPr>
            </w:pPr>
          </w:p>
        </w:tc>
        <w:tc>
          <w:tcPr>
            <w:tcW w:w="980" w:type="dxa"/>
            <w:vAlign w:val="bottom"/>
            <w:shd w:val="clear" w:color="auto" w:fill="007CBA"/>
          </w:tcPr>
          <w:p>
            <w:pPr>
              <w:spacing w:after="0"/>
              <w:rPr>
                <w:sz w:val="12"/>
                <w:szCs w:val="12"/>
                <w:color w:val="auto"/>
              </w:rPr>
            </w:pPr>
          </w:p>
        </w:tc>
        <w:tc>
          <w:tcPr>
            <w:tcW w:w="960" w:type="dxa"/>
            <w:vAlign w:val="bottom"/>
            <w:vMerge w:val="continue"/>
            <w:shd w:val="clear" w:color="auto" w:fill="007CBA"/>
          </w:tcPr>
          <w:p>
            <w:pPr>
              <w:spacing w:after="0"/>
              <w:rPr>
                <w:sz w:val="12"/>
                <w:szCs w:val="12"/>
                <w:color w:val="auto"/>
              </w:rPr>
            </w:pPr>
          </w:p>
        </w:tc>
        <w:tc>
          <w:tcPr>
            <w:tcW w:w="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007CBA"/>
          </w:tcPr>
          <w:p>
            <w:pPr>
              <w:spacing w:after="0"/>
              <w:rPr>
                <w:sz w:val="14"/>
                <w:szCs w:val="14"/>
                <w:color w:val="auto"/>
              </w:rPr>
            </w:pPr>
          </w:p>
        </w:tc>
        <w:tc>
          <w:tcPr>
            <w:tcW w:w="416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1000" w:type="dxa"/>
            <w:vAlign w:val="bottom"/>
            <w:vMerge w:val="restart"/>
            <w:shd w:val="clear" w:color="auto" w:fill="007CBA"/>
          </w:tcPr>
          <w:p>
            <w:pPr>
              <w:jc w:val="right"/>
              <w:ind w:right="28"/>
              <w:spacing w:after="0"/>
              <w:rPr>
                <w:sz w:val="20"/>
                <w:szCs w:val="20"/>
                <w:color w:val="auto"/>
              </w:rPr>
            </w:pPr>
            <w:r>
              <w:rPr>
                <w:rFonts w:ascii="Arial" w:cs="Arial" w:eastAsia="Arial" w:hAnsi="Arial"/>
                <w:sz w:val="14"/>
                <w:szCs w:val="14"/>
                <w:b w:val="1"/>
                <w:bCs w:val="1"/>
                <w:color w:val="FFFFFF"/>
                <w:w w:val="96"/>
              </w:rPr>
              <w:t>Retirement</w:t>
            </w:r>
            <w:r>
              <w:rPr>
                <w:rFonts w:ascii="Arial" w:cs="Arial" w:eastAsia="Arial" w:hAnsi="Arial"/>
                <w:sz w:val="24"/>
                <w:szCs w:val="24"/>
                <w:b w:val="1"/>
                <w:bCs w:val="1"/>
                <w:color w:val="FFFFFF"/>
                <w:w w:val="96"/>
                <w:vertAlign w:val="superscript"/>
              </w:rPr>
              <w:t>10</w:t>
            </w:r>
          </w:p>
        </w:tc>
        <w:tc>
          <w:tcPr>
            <w:tcW w:w="10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Cause</w:t>
            </w:r>
          </w:p>
        </w:tc>
        <w:tc>
          <w:tcPr>
            <w:tcW w:w="1000" w:type="dxa"/>
            <w:vAlign w:val="bottom"/>
            <w:shd w:val="clear" w:color="auto" w:fill="007CBA"/>
          </w:tcPr>
          <w:p>
            <w:pPr>
              <w:spacing w:after="0"/>
              <w:rPr>
                <w:sz w:val="14"/>
                <w:szCs w:val="14"/>
                <w:color w:val="auto"/>
              </w:rPr>
            </w:pPr>
          </w:p>
        </w:tc>
        <w:tc>
          <w:tcPr>
            <w:tcW w:w="980" w:type="dxa"/>
            <w:vAlign w:val="bottom"/>
            <w:shd w:val="clear" w:color="auto" w:fill="007CBA"/>
          </w:tcPr>
          <w:p>
            <w:pPr>
              <w:spacing w:after="0"/>
              <w:rPr>
                <w:sz w:val="14"/>
                <w:szCs w:val="14"/>
                <w:color w:val="auto"/>
              </w:rPr>
            </w:pPr>
          </w:p>
        </w:tc>
        <w:tc>
          <w:tcPr>
            <w:tcW w:w="9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2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007CBA"/>
          </w:tcPr>
          <w:p>
            <w:pPr>
              <w:spacing w:after="0"/>
              <w:rPr>
                <w:sz w:val="14"/>
                <w:szCs w:val="14"/>
                <w:color w:val="auto"/>
              </w:rPr>
            </w:pPr>
          </w:p>
        </w:tc>
        <w:tc>
          <w:tcPr>
            <w:tcW w:w="416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1000" w:type="dxa"/>
            <w:vAlign w:val="bottom"/>
            <w:vMerge w:val="continue"/>
            <w:shd w:val="clear" w:color="auto" w:fill="007CBA"/>
          </w:tcPr>
          <w:p>
            <w:pPr>
              <w:spacing w:after="0"/>
              <w:rPr>
                <w:sz w:val="14"/>
                <w:szCs w:val="14"/>
                <w:color w:val="auto"/>
              </w:rPr>
            </w:pPr>
          </w:p>
        </w:tc>
        <w:tc>
          <w:tcPr>
            <w:tcW w:w="10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000" w:type="dxa"/>
            <w:vAlign w:val="bottom"/>
            <w:shd w:val="clear" w:color="auto" w:fill="007CBA"/>
          </w:tcPr>
          <w:p>
            <w:pPr>
              <w:jc w:val="right"/>
              <w:ind w:right="128"/>
              <w:spacing w:after="0"/>
              <w:rPr>
                <w:sz w:val="20"/>
                <w:szCs w:val="20"/>
                <w:color w:val="auto"/>
              </w:rPr>
            </w:pPr>
            <w:r>
              <w:rPr>
                <w:rFonts w:ascii="Arial" w:cs="Arial" w:eastAsia="Arial" w:hAnsi="Arial"/>
                <w:sz w:val="14"/>
                <w:szCs w:val="14"/>
                <w:b w:val="1"/>
                <w:bCs w:val="1"/>
                <w:color w:val="FFFFFF"/>
              </w:rPr>
              <w:t>Disability</w:t>
            </w:r>
          </w:p>
        </w:tc>
        <w:tc>
          <w:tcPr>
            <w:tcW w:w="980" w:type="dxa"/>
            <w:vAlign w:val="bottom"/>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Death</w:t>
            </w:r>
          </w:p>
        </w:tc>
        <w:tc>
          <w:tcPr>
            <w:tcW w:w="9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Control</w:t>
            </w:r>
          </w:p>
        </w:tc>
        <w:tc>
          <w:tcPr>
            <w:tcW w:w="2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007CBA"/>
          </w:tcPr>
          <w:p>
            <w:pPr>
              <w:ind w:left="240"/>
              <w:spacing w:after="0"/>
              <w:rPr>
                <w:sz w:val="20"/>
                <w:szCs w:val="20"/>
                <w:color w:val="auto"/>
              </w:rPr>
            </w:pPr>
            <w:r>
              <w:rPr>
                <w:rFonts w:ascii="Arial" w:cs="Arial" w:eastAsia="Arial" w:hAnsi="Arial"/>
                <w:sz w:val="14"/>
                <w:szCs w:val="14"/>
                <w:b w:val="1"/>
                <w:bCs w:val="1"/>
                <w:color w:val="FFFFFF"/>
              </w:rPr>
              <w:t>Name</w:t>
            </w:r>
          </w:p>
        </w:tc>
        <w:tc>
          <w:tcPr>
            <w:tcW w:w="4160" w:type="dxa"/>
            <w:vAlign w:val="bottom"/>
            <w:shd w:val="clear" w:color="auto" w:fill="007CBA"/>
          </w:tcPr>
          <w:p>
            <w:pPr>
              <w:ind w:left="1440"/>
              <w:spacing w:after="0"/>
              <w:rPr>
                <w:sz w:val="20"/>
                <w:szCs w:val="20"/>
                <w:color w:val="auto"/>
              </w:rPr>
            </w:pPr>
            <w:r>
              <w:rPr>
                <w:rFonts w:ascii="Arial" w:cs="Arial" w:eastAsia="Arial" w:hAnsi="Arial"/>
                <w:sz w:val="14"/>
                <w:szCs w:val="14"/>
                <w:b w:val="1"/>
                <w:bCs w:val="1"/>
                <w:color w:val="FFFFFF"/>
              </w:rPr>
              <w:t>Benefit or Payment1</w:t>
            </w:r>
          </w:p>
        </w:tc>
        <w:tc>
          <w:tcPr>
            <w:tcW w:w="1100" w:type="dxa"/>
            <w:vAlign w:val="bottom"/>
            <w:gridSpan w:val="2"/>
            <w:shd w:val="clear" w:color="auto" w:fill="007CBA"/>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7CBA"/>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7CBA"/>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41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right"/>
              <w:ind w:right="28"/>
              <w:spacing w:after="0" w:line="159" w:lineRule="exact"/>
              <w:rPr>
                <w:sz w:val="20"/>
                <w:szCs w:val="20"/>
                <w:color w:val="auto"/>
              </w:rPr>
            </w:pPr>
            <w:r>
              <w:rPr>
                <w:rFonts w:ascii="Arial" w:cs="Arial" w:eastAsia="Arial" w:hAnsi="Arial"/>
                <w:sz w:val="14"/>
                <w:szCs w:val="14"/>
                <w:color w:val="auto"/>
              </w:rPr>
              <w:t>9,048,795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5,272,857</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4,889,167</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10,162,024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10,162,024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10,162,024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341,048</w:t>
            </w: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341,048</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341,048</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341,048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 Howard Nye</w:t>
            </w: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1,422,740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744,750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1,422,740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1,422,740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1,422,740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5,527,395</w:t>
            </w: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5,527,395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5,527,395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5,527,395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2,084,680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563,404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7,964,021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80,196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41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4160" w:type="dxa"/>
            <w:vAlign w:val="bottom"/>
          </w:tcPr>
          <w:p>
            <w:pPr>
              <w:ind w:left="100"/>
              <w:spacing w:after="0" w:line="157" w:lineRule="exact"/>
              <w:rPr>
                <w:sz w:val="20"/>
                <w:szCs w:val="20"/>
                <w:color w:val="auto"/>
              </w:rPr>
            </w:pPr>
            <w:r>
              <w:rPr>
                <w:rFonts w:ascii="Arial" w:cs="Arial" w:eastAsia="Arial" w:hAnsi="Arial"/>
                <w:sz w:val="14"/>
                <w:szCs w:val="14"/>
                <w:color w:val="auto"/>
              </w:rPr>
              <w:t>Excise Tax &amp; Gross-up</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12,912,210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E5F1F8"/>
          </w:tcPr>
          <w:p>
            <w:pPr>
              <w:spacing w:after="0"/>
              <w:rPr>
                <w:sz w:val="13"/>
                <w:szCs w:val="13"/>
                <w:color w:val="auto"/>
              </w:rPr>
            </w:pPr>
          </w:p>
        </w:tc>
        <w:tc>
          <w:tcPr>
            <w:tcW w:w="4160" w:type="dxa"/>
            <w:vAlign w:val="bottom"/>
            <w:shd w:val="clear" w:color="auto" w:fill="E5F1F8"/>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00" w:type="dxa"/>
            <w:vAlign w:val="bottom"/>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060" w:type="dxa"/>
            <w:vAlign w:val="bottom"/>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980" w:type="dxa"/>
            <w:vAlign w:val="bottom"/>
            <w:shd w:val="clear" w:color="auto" w:fill="E5F1F8"/>
          </w:tcPr>
          <w:p>
            <w:pPr>
              <w:spacing w:after="0"/>
              <w:rPr>
                <w:sz w:val="13"/>
                <w:szCs w:val="13"/>
                <w:color w:val="auto"/>
              </w:rPr>
            </w:pPr>
          </w:p>
        </w:tc>
        <w:tc>
          <w:tcPr>
            <w:tcW w:w="960" w:type="dxa"/>
            <w:vAlign w:val="bottom"/>
            <w:shd w:val="clear" w:color="auto" w:fill="E5F1F8"/>
          </w:tcPr>
          <w:p>
            <w:pPr>
              <w:jc w:val="right"/>
              <w:ind w:right="28"/>
              <w:spacing w:after="0" w:line="159" w:lineRule="exact"/>
              <w:rPr>
                <w:sz w:val="20"/>
                <w:szCs w:val="20"/>
                <w:color w:val="auto"/>
              </w:rPr>
            </w:pPr>
            <w:r>
              <w:rPr>
                <w:rFonts w:ascii="Arial" w:cs="Arial" w:eastAsia="Arial" w:hAnsi="Arial"/>
                <w:sz w:val="14"/>
                <w:szCs w:val="14"/>
                <w:color w:val="auto"/>
              </w:rPr>
              <w:t>3,625,839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00" w:type="dxa"/>
            <w:vAlign w:val="bottom"/>
            <w:gridSpan w:val="2"/>
            <w:shd w:val="clear" w:color="auto" w:fill="E5F1F8"/>
          </w:tcPr>
          <w:p>
            <w:pPr>
              <w:jc w:val="right"/>
              <w:ind w:right="28"/>
              <w:spacing w:after="0"/>
              <w:rPr>
                <w:sz w:val="20"/>
                <w:szCs w:val="20"/>
                <w:color w:val="auto"/>
              </w:rPr>
            </w:pPr>
            <w:r>
              <w:rPr>
                <w:rFonts w:ascii="Arial" w:cs="Arial" w:eastAsia="Arial" w:hAnsi="Arial"/>
                <w:sz w:val="14"/>
                <w:szCs w:val="14"/>
                <w:color w:val="auto"/>
              </w:rPr>
              <w:t>1,514,379</w:t>
            </w:r>
          </w:p>
        </w:tc>
        <w:tc>
          <w:tcPr>
            <w:tcW w:w="1060" w:type="dxa"/>
            <w:vAlign w:val="bottom"/>
            <w:shd w:val="clear" w:color="auto" w:fill="E5F1F8"/>
          </w:tcPr>
          <w:p>
            <w:pPr>
              <w:jc w:val="right"/>
              <w:ind w:right="48"/>
              <w:spacing w:after="0"/>
              <w:rPr>
                <w:sz w:val="20"/>
                <w:szCs w:val="20"/>
                <w:color w:val="auto"/>
              </w:rPr>
            </w:pPr>
            <w:r>
              <w:rPr>
                <w:rFonts w:ascii="Arial" w:cs="Arial" w:eastAsia="Arial" w:hAnsi="Arial"/>
                <w:sz w:val="14"/>
                <w:szCs w:val="14"/>
                <w:color w:val="auto"/>
              </w:rPr>
              <w:t>2,631,333</w:t>
            </w: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4,145,712</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4,145,712</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4,145,712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00" w:type="dxa"/>
            <w:vAlign w:val="bottom"/>
            <w:gridSpan w:val="2"/>
            <w:shd w:val="clear" w:color="auto" w:fill="E5F1F8"/>
          </w:tcPr>
          <w:p>
            <w:pPr>
              <w:jc w:val="right"/>
              <w:ind w:right="28"/>
              <w:spacing w:after="0"/>
              <w:rPr>
                <w:sz w:val="20"/>
                <w:szCs w:val="20"/>
                <w:color w:val="auto"/>
              </w:rPr>
            </w:pPr>
            <w:r>
              <w:rPr>
                <w:rFonts w:ascii="Arial" w:cs="Arial" w:eastAsia="Arial" w:hAnsi="Arial"/>
                <w:sz w:val="14"/>
                <w:szCs w:val="14"/>
                <w:color w:val="auto"/>
              </w:rPr>
              <w:t>115,447</w:t>
            </w: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115,447</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115,447</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115,447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shd w:val="clear" w:color="auto" w:fill="E5F1F8"/>
          </w:tcPr>
          <w:p>
            <w:pPr>
              <w:ind w:left="240"/>
              <w:spacing w:after="0"/>
              <w:rPr>
                <w:sz w:val="20"/>
                <w:szCs w:val="20"/>
                <w:color w:val="auto"/>
              </w:rPr>
            </w:pPr>
            <w:r>
              <w:rPr>
                <w:rFonts w:ascii="Arial" w:cs="Arial" w:eastAsia="Arial" w:hAnsi="Arial"/>
                <w:sz w:val="14"/>
                <w:szCs w:val="14"/>
                <w:b w:val="1"/>
                <w:bCs w:val="1"/>
                <w:color w:val="auto"/>
              </w:rPr>
              <w:t>Anne H. Lloyd</w:t>
            </w: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301,344</w:t>
            </w:r>
          </w:p>
        </w:tc>
        <w:tc>
          <w:tcPr>
            <w:tcW w:w="1060" w:type="dxa"/>
            <w:vAlign w:val="bottom"/>
            <w:shd w:val="clear" w:color="auto" w:fill="E5F1F8"/>
          </w:tcPr>
          <w:p>
            <w:pPr>
              <w:jc w:val="right"/>
              <w:ind w:right="48"/>
              <w:spacing w:after="0"/>
              <w:rPr>
                <w:sz w:val="20"/>
                <w:szCs w:val="20"/>
                <w:color w:val="auto"/>
              </w:rPr>
            </w:pPr>
            <w:r>
              <w:rPr>
                <w:rFonts w:ascii="Arial" w:cs="Arial" w:eastAsia="Arial" w:hAnsi="Arial"/>
                <w:sz w:val="14"/>
                <w:szCs w:val="14"/>
                <w:color w:val="auto"/>
              </w:rPr>
              <w:t>157,057</w:t>
            </w: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301,344</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301,344</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301,344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1,541,406</w:t>
            </w: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1,541,406</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1,541,406</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1,541,406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43,721</w:t>
            </w: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4,072,579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8,993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4"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rPr>
                <w:sz w:val="20"/>
                <w:szCs w:val="20"/>
                <w:color w:val="auto"/>
              </w:rPr>
            </w:pPr>
            <w:r>
              <w:rPr>
                <w:rFonts w:ascii="Arial" w:cs="Arial" w:eastAsia="Arial" w:hAnsi="Arial"/>
                <w:sz w:val="14"/>
                <w:szCs w:val="14"/>
                <w:color w:val="auto"/>
              </w:rPr>
              <w:t>Excise Tax &amp; Gross-up</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5,041,826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41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right"/>
              <w:ind w:right="28"/>
              <w:spacing w:after="0" w:line="159" w:lineRule="exact"/>
              <w:rPr>
                <w:sz w:val="20"/>
                <w:szCs w:val="20"/>
                <w:color w:val="auto"/>
              </w:rPr>
            </w:pPr>
            <w:r>
              <w:rPr>
                <w:rFonts w:ascii="Arial" w:cs="Arial" w:eastAsia="Arial" w:hAnsi="Arial"/>
                <w:sz w:val="14"/>
                <w:szCs w:val="14"/>
                <w:color w:val="auto"/>
              </w:rPr>
              <w:t>3,392,745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1,302,818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2,196,027</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3,498,845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3,498,845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3,498,845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94,270</w:t>
            </w: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94,270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94,270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94,270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Roselyn R. Bar</w:t>
            </w: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224,132</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116,298</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224,132</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224,132</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224,132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1,399,405</w:t>
            </w: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1,399,405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1,399,405</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1,399,405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3,124,077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57,841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41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48,243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4160" w:type="dxa"/>
            <w:vAlign w:val="bottom"/>
          </w:tcPr>
          <w:p>
            <w:pPr>
              <w:ind w:left="100"/>
              <w:spacing w:after="0" w:line="157" w:lineRule="exact"/>
              <w:rPr>
                <w:sz w:val="20"/>
                <w:szCs w:val="20"/>
                <w:color w:val="auto"/>
              </w:rPr>
            </w:pPr>
            <w:r>
              <w:rPr>
                <w:rFonts w:ascii="Arial" w:cs="Arial" w:eastAsia="Arial" w:hAnsi="Arial"/>
                <w:sz w:val="14"/>
                <w:szCs w:val="14"/>
                <w:color w:val="auto"/>
              </w:rPr>
              <w:t>Excise Tax &amp; Gross-up</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4,405,031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2,357,589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E5F1F8"/>
          </w:tcPr>
          <w:p>
            <w:pPr>
              <w:spacing w:after="0"/>
              <w:rPr>
                <w:sz w:val="13"/>
                <w:szCs w:val="13"/>
                <w:color w:val="auto"/>
              </w:rPr>
            </w:pPr>
          </w:p>
        </w:tc>
        <w:tc>
          <w:tcPr>
            <w:tcW w:w="4160" w:type="dxa"/>
            <w:vAlign w:val="bottom"/>
            <w:shd w:val="clear" w:color="auto" w:fill="E5F1F8"/>
          </w:tcPr>
          <w:p>
            <w:pPr>
              <w:ind w:left="100"/>
              <w:spacing w:after="0" w:line="159"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00" w:type="dxa"/>
            <w:vAlign w:val="bottom"/>
            <w:gridSpan w:val="2"/>
            <w:shd w:val="clear" w:color="auto" w:fill="E5F1F8"/>
          </w:tcPr>
          <w:p>
            <w:pPr>
              <w:jc w:val="right"/>
              <w:ind w:right="28"/>
              <w:spacing w:after="0" w:line="159" w:lineRule="exact"/>
              <w:rPr>
                <w:sz w:val="20"/>
                <w:szCs w:val="20"/>
                <w:color w:val="auto"/>
              </w:rPr>
            </w:pPr>
            <w:r>
              <w:rPr>
                <w:rFonts w:ascii="Arial" w:cs="Arial" w:eastAsia="Arial" w:hAnsi="Arial"/>
                <w:sz w:val="14"/>
                <w:szCs w:val="14"/>
                <w:color w:val="auto"/>
              </w:rPr>
              <w:t>956,345</w:t>
            </w:r>
          </w:p>
        </w:tc>
        <w:tc>
          <w:tcPr>
            <w:tcW w:w="1060" w:type="dxa"/>
            <w:vAlign w:val="bottom"/>
            <w:shd w:val="clear" w:color="auto" w:fill="E5F1F8"/>
          </w:tcPr>
          <w:p>
            <w:pPr>
              <w:jc w:val="right"/>
              <w:ind w:right="48"/>
              <w:spacing w:after="0" w:line="159" w:lineRule="exact"/>
              <w:rPr>
                <w:sz w:val="20"/>
                <w:szCs w:val="20"/>
                <w:color w:val="auto"/>
              </w:rPr>
            </w:pPr>
            <w:r>
              <w:rPr>
                <w:rFonts w:ascii="Arial" w:cs="Arial" w:eastAsia="Arial" w:hAnsi="Arial"/>
                <w:sz w:val="14"/>
                <w:szCs w:val="14"/>
                <w:color w:val="auto"/>
              </w:rPr>
              <w:t>1,800,374</w:t>
            </w:r>
          </w:p>
        </w:tc>
        <w:tc>
          <w:tcPr>
            <w:tcW w:w="1000" w:type="dxa"/>
            <w:vAlign w:val="bottom"/>
            <w:shd w:val="clear" w:color="auto" w:fill="E5F1F8"/>
          </w:tcPr>
          <w:p>
            <w:pPr>
              <w:jc w:val="right"/>
              <w:ind w:right="68"/>
              <w:spacing w:after="0" w:line="159" w:lineRule="exact"/>
              <w:rPr>
                <w:sz w:val="20"/>
                <w:szCs w:val="20"/>
                <w:color w:val="auto"/>
              </w:rPr>
            </w:pPr>
            <w:r>
              <w:rPr>
                <w:rFonts w:ascii="Arial" w:cs="Arial" w:eastAsia="Arial" w:hAnsi="Arial"/>
                <w:sz w:val="14"/>
                <w:szCs w:val="14"/>
                <w:color w:val="auto"/>
              </w:rPr>
              <w:t>2,756,719</w:t>
            </w:r>
          </w:p>
        </w:tc>
        <w:tc>
          <w:tcPr>
            <w:tcW w:w="980" w:type="dxa"/>
            <w:vAlign w:val="bottom"/>
            <w:shd w:val="clear" w:color="auto" w:fill="E5F1F8"/>
          </w:tcPr>
          <w:p>
            <w:pPr>
              <w:jc w:val="right"/>
              <w:ind w:right="68"/>
              <w:spacing w:after="0" w:line="159" w:lineRule="exact"/>
              <w:rPr>
                <w:sz w:val="20"/>
                <w:szCs w:val="20"/>
                <w:color w:val="auto"/>
              </w:rPr>
            </w:pPr>
            <w:r>
              <w:rPr>
                <w:rFonts w:ascii="Arial" w:cs="Arial" w:eastAsia="Arial" w:hAnsi="Arial"/>
                <w:sz w:val="14"/>
                <w:szCs w:val="14"/>
                <w:color w:val="auto"/>
              </w:rPr>
              <w:t>2,756,719</w:t>
            </w:r>
          </w:p>
        </w:tc>
        <w:tc>
          <w:tcPr>
            <w:tcW w:w="960" w:type="dxa"/>
            <w:vAlign w:val="bottom"/>
            <w:shd w:val="clear" w:color="auto" w:fill="E5F1F8"/>
          </w:tcPr>
          <w:p>
            <w:pPr>
              <w:jc w:val="right"/>
              <w:ind w:right="28"/>
              <w:spacing w:after="0" w:line="159" w:lineRule="exact"/>
              <w:rPr>
                <w:sz w:val="20"/>
                <w:szCs w:val="20"/>
                <w:color w:val="auto"/>
              </w:rPr>
            </w:pPr>
            <w:r>
              <w:rPr>
                <w:rFonts w:ascii="Arial" w:cs="Arial" w:eastAsia="Arial" w:hAnsi="Arial"/>
                <w:sz w:val="14"/>
                <w:szCs w:val="14"/>
                <w:color w:val="auto"/>
              </w:rPr>
              <w:t>2,756,719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00" w:type="dxa"/>
            <w:vAlign w:val="bottom"/>
            <w:gridSpan w:val="2"/>
            <w:shd w:val="clear" w:color="auto" w:fill="E5F1F8"/>
          </w:tcPr>
          <w:p>
            <w:pPr>
              <w:jc w:val="right"/>
              <w:ind w:right="28"/>
              <w:spacing w:after="0"/>
              <w:rPr>
                <w:sz w:val="20"/>
                <w:szCs w:val="20"/>
                <w:color w:val="auto"/>
              </w:rPr>
            </w:pPr>
            <w:r>
              <w:rPr>
                <w:rFonts w:ascii="Arial" w:cs="Arial" w:eastAsia="Arial" w:hAnsi="Arial"/>
                <w:sz w:val="14"/>
                <w:szCs w:val="14"/>
                <w:color w:val="auto"/>
              </w:rPr>
              <w:t>75,901</w:t>
            </w: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75,901</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75,901</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75,901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shd w:val="clear" w:color="auto" w:fill="E5F1F8"/>
          </w:tcPr>
          <w:p>
            <w:pPr>
              <w:ind w:left="240"/>
              <w:spacing w:after="0"/>
              <w:rPr>
                <w:sz w:val="20"/>
                <w:szCs w:val="20"/>
                <w:color w:val="auto"/>
              </w:rPr>
            </w:pPr>
            <w:r>
              <w:rPr>
                <w:rFonts w:ascii="Arial" w:cs="Arial" w:eastAsia="Arial" w:hAnsi="Arial"/>
                <w:sz w:val="14"/>
                <w:szCs w:val="14"/>
                <w:b w:val="1"/>
                <w:bCs w:val="1"/>
                <w:color w:val="auto"/>
              </w:rPr>
              <w:t>Donald A. McCunniff</w:t>
            </w: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129,555</w:t>
            </w:r>
          </w:p>
        </w:tc>
        <w:tc>
          <w:tcPr>
            <w:tcW w:w="1060" w:type="dxa"/>
            <w:vAlign w:val="bottom"/>
            <w:shd w:val="clear" w:color="auto" w:fill="E5F1F8"/>
          </w:tcPr>
          <w:p>
            <w:pPr>
              <w:jc w:val="right"/>
              <w:ind w:right="48"/>
              <w:spacing w:after="0"/>
              <w:rPr>
                <w:sz w:val="20"/>
                <w:szCs w:val="20"/>
                <w:color w:val="auto"/>
              </w:rPr>
            </w:pPr>
            <w:r>
              <w:rPr>
                <w:rFonts w:ascii="Arial" w:cs="Arial" w:eastAsia="Arial" w:hAnsi="Arial"/>
                <w:sz w:val="14"/>
                <w:szCs w:val="14"/>
                <w:color w:val="auto"/>
              </w:rPr>
              <w:t>65,176</w:t>
            </w: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129,555</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129,555</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129,555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945,933</w:t>
            </w: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945,933</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945,933</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945,933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183,345</w:t>
            </w:r>
          </w:p>
        </w:tc>
        <w:tc>
          <w:tcPr>
            <w:tcW w:w="980" w:type="dxa"/>
            <w:vAlign w:val="bottom"/>
            <w:shd w:val="clear" w:color="auto" w:fill="E5F1F8"/>
          </w:tcPr>
          <w:p>
            <w:pPr>
              <w:jc w:val="right"/>
              <w:ind w:right="68"/>
              <w:spacing w:after="0"/>
              <w:rPr>
                <w:sz w:val="20"/>
                <w:szCs w:val="20"/>
                <w:color w:val="auto"/>
              </w:rPr>
            </w:pPr>
            <w:r>
              <w:rPr>
                <w:rFonts w:ascii="Arial" w:cs="Arial" w:eastAsia="Arial" w:hAnsi="Arial"/>
                <w:sz w:val="14"/>
                <w:szCs w:val="14"/>
                <w:color w:val="auto"/>
              </w:rPr>
              <w:t>4,790</w:t>
            </w: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1,010,569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34,136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line="164"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E5F1F8"/>
          </w:tcPr>
          <w:p>
            <w:pPr>
              <w:spacing w:after="0"/>
              <w:rPr>
                <w:sz w:val="14"/>
                <w:szCs w:val="14"/>
                <w:color w:val="auto"/>
              </w:rPr>
            </w:pPr>
          </w:p>
        </w:tc>
        <w:tc>
          <w:tcPr>
            <w:tcW w:w="4160" w:type="dxa"/>
            <w:vAlign w:val="bottom"/>
            <w:shd w:val="clear" w:color="auto" w:fill="E5F1F8"/>
          </w:tcPr>
          <w:p>
            <w:pPr>
              <w:ind w:left="100"/>
              <w:spacing w:after="0"/>
              <w:rPr>
                <w:sz w:val="20"/>
                <w:szCs w:val="20"/>
                <w:color w:val="auto"/>
              </w:rPr>
            </w:pPr>
            <w:r>
              <w:rPr>
                <w:rFonts w:ascii="Arial" w:cs="Arial" w:eastAsia="Arial" w:hAnsi="Arial"/>
                <w:sz w:val="14"/>
                <w:szCs w:val="14"/>
                <w:color w:val="auto"/>
              </w:rPr>
              <w:t>Excise Tax &amp; Gross-up</w:t>
            </w:r>
          </w:p>
        </w:tc>
        <w:tc>
          <w:tcPr>
            <w:tcW w:w="10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1060" w:type="dxa"/>
            <w:vAlign w:val="bottom"/>
            <w:shd w:val="clear" w:color="auto" w:fill="E5F1F8"/>
          </w:tcPr>
          <w:p>
            <w:pPr>
              <w:spacing w:after="0"/>
              <w:rPr>
                <w:sz w:val="14"/>
                <w:szCs w:val="14"/>
                <w:color w:val="auto"/>
              </w:rPr>
            </w:pPr>
          </w:p>
        </w:tc>
        <w:tc>
          <w:tcPr>
            <w:tcW w:w="1000" w:type="dxa"/>
            <w:vAlign w:val="bottom"/>
            <w:shd w:val="clear" w:color="auto" w:fill="E5F1F8"/>
          </w:tcPr>
          <w:p>
            <w:pPr>
              <w:spacing w:after="0"/>
              <w:rPr>
                <w:sz w:val="14"/>
                <w:szCs w:val="14"/>
                <w:color w:val="auto"/>
              </w:rPr>
            </w:pPr>
          </w:p>
        </w:tc>
        <w:tc>
          <w:tcPr>
            <w:tcW w:w="980" w:type="dxa"/>
            <w:vAlign w:val="bottom"/>
            <w:shd w:val="clear" w:color="auto" w:fill="E5F1F8"/>
          </w:tcPr>
          <w:p>
            <w:pPr>
              <w:spacing w:after="0"/>
              <w:rPr>
                <w:sz w:val="14"/>
                <w:szCs w:val="14"/>
                <w:color w:val="auto"/>
              </w:rPr>
            </w:pPr>
          </w:p>
        </w:tc>
        <w:tc>
          <w:tcPr>
            <w:tcW w:w="960" w:type="dxa"/>
            <w:vAlign w:val="bottom"/>
            <w:shd w:val="clear" w:color="auto" w:fill="E5F1F8"/>
          </w:tcPr>
          <w:p>
            <w:pPr>
              <w:jc w:val="right"/>
              <w:ind w:right="28"/>
              <w:spacing w:after="0"/>
              <w:rPr>
                <w:sz w:val="20"/>
                <w:szCs w:val="20"/>
                <w:color w:val="auto"/>
              </w:rPr>
            </w:pPr>
            <w:r>
              <w:rPr>
                <w:rFonts w:ascii="Arial" w:cs="Arial" w:eastAsia="Arial" w:hAnsi="Arial"/>
                <w:sz w:val="14"/>
                <w:szCs w:val="14"/>
                <w:color w:val="auto"/>
              </w:rPr>
              <w:t>2,637,736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4160" w:type="dxa"/>
            <w:vAlign w:val="bottom"/>
          </w:tcPr>
          <w:p>
            <w:pPr>
              <w:ind w:left="100"/>
              <w:spacing w:after="0" w:line="159" w:lineRule="exact"/>
              <w:rPr>
                <w:sz w:val="20"/>
                <w:szCs w:val="20"/>
                <w:color w:val="auto"/>
              </w:rPr>
            </w:pPr>
            <w:r>
              <w:rPr>
                <w:rFonts w:ascii="Arial" w:cs="Arial" w:eastAsia="Arial" w:hAnsi="Arial"/>
                <w:sz w:val="11"/>
                <w:szCs w:val="11"/>
                <w:color w:val="auto"/>
              </w:rPr>
              <w:t>Cash Severance</w:t>
            </w:r>
            <w:r>
              <w:rPr>
                <w:rFonts w:ascii="Arial" w:cs="Arial" w:eastAsia="Arial" w:hAnsi="Arial"/>
                <w:sz w:val="18"/>
                <w:szCs w:val="18"/>
                <w:color w:val="auto"/>
                <w:vertAlign w:val="superscript"/>
              </w:rPr>
              <w:t>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jc w:val="right"/>
              <w:ind w:right="28"/>
              <w:spacing w:after="0" w:line="159" w:lineRule="exact"/>
              <w:rPr>
                <w:sz w:val="20"/>
                <w:szCs w:val="20"/>
                <w:color w:val="auto"/>
              </w:rPr>
            </w:pPr>
            <w:r>
              <w:rPr>
                <w:rFonts w:ascii="Arial" w:cs="Arial" w:eastAsia="Arial" w:hAnsi="Arial"/>
                <w:sz w:val="14"/>
                <w:szCs w:val="14"/>
                <w:color w:val="auto"/>
              </w:rPr>
              <w:t>2,204,137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Unvested Restricted Stock Units</w:t>
            </w:r>
            <w:r>
              <w:rPr>
                <w:rFonts w:ascii="Arial" w:cs="Arial" w:eastAsia="Arial" w:hAnsi="Arial"/>
                <w:sz w:val="18"/>
                <w:szCs w:val="18"/>
                <w:color w:val="auto"/>
                <w:vertAlign w:val="superscript"/>
              </w:rPr>
              <w:t>3</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597,466</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1,693,154</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2,290,620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2,290,620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2,290,620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Unexercisable Options</w:t>
            </w:r>
            <w:r>
              <w:rPr>
                <w:rFonts w:ascii="Arial" w:cs="Arial" w:eastAsia="Arial" w:hAnsi="Arial"/>
                <w:sz w:val="18"/>
                <w:szCs w:val="18"/>
                <w:color w:val="auto"/>
                <w:vertAlign w:val="superscript"/>
              </w:rPr>
              <w:t>4</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21,027</w:t>
            </w: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21,027</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21,027</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Daniel L. Grant</w:t>
            </w: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Unvested Incentive Stock Plan Units</w:t>
            </w:r>
            <w:r>
              <w:rPr>
                <w:rFonts w:ascii="Arial" w:cs="Arial" w:eastAsia="Arial" w:hAnsi="Arial"/>
                <w:sz w:val="18"/>
                <w:szCs w:val="18"/>
                <w:color w:val="auto"/>
                <w:vertAlign w:val="superscript"/>
              </w:rPr>
              <w:t>5</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181,643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91,144</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181,643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181,643</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Performance Shares</w:t>
            </w:r>
            <w:r>
              <w:rPr>
                <w:rFonts w:ascii="Arial" w:cs="Arial" w:eastAsia="Arial" w:hAnsi="Arial"/>
                <w:sz w:val="18"/>
                <w:szCs w:val="18"/>
                <w:color w:val="auto"/>
                <w:vertAlign w:val="superscript"/>
              </w:rPr>
              <w:t>6</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color w:val="auto"/>
              </w:rPr>
              <w:t>810,800</w:t>
            </w: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810,800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810,800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810,800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Retirement Plans</w:t>
            </w:r>
            <w:r>
              <w:rPr>
                <w:rFonts w:ascii="Arial" w:cs="Arial" w:eastAsia="Arial" w:hAnsi="Arial"/>
                <w:sz w:val="18"/>
                <w:szCs w:val="18"/>
                <w:color w:val="auto"/>
                <w:vertAlign w:val="superscript"/>
              </w:rPr>
              <w:t>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290,072</w:t>
            </w: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662,208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4160" w:type="dxa"/>
            <w:vAlign w:val="bottom"/>
          </w:tcPr>
          <w:p>
            <w:pPr>
              <w:ind w:left="100"/>
              <w:spacing w:after="0" w:line="162" w:lineRule="exact"/>
              <w:rPr>
                <w:sz w:val="20"/>
                <w:szCs w:val="20"/>
                <w:color w:val="auto"/>
              </w:rPr>
            </w:pPr>
            <w:r>
              <w:rPr>
                <w:rFonts w:ascii="Arial" w:cs="Arial" w:eastAsia="Arial" w:hAnsi="Arial"/>
                <w:sz w:val="11"/>
                <w:szCs w:val="11"/>
                <w:color w:val="auto"/>
              </w:rPr>
              <w:t>Health and Welfare Benefits</w:t>
            </w:r>
            <w:r>
              <w:rPr>
                <w:rFonts w:ascii="Arial" w:cs="Arial" w:eastAsia="Arial" w:hAnsi="Arial"/>
                <w:sz w:val="18"/>
                <w:szCs w:val="18"/>
                <w:color w:val="auto"/>
                <w:vertAlign w:val="superscript"/>
              </w:rPr>
              <w:t>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33,369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4160" w:type="dxa"/>
            <w:vAlign w:val="bottom"/>
          </w:tcPr>
          <w:p>
            <w:pPr>
              <w:ind w:left="100"/>
              <w:spacing w:after="0" w:line="170" w:lineRule="exact"/>
              <w:rPr>
                <w:sz w:val="20"/>
                <w:szCs w:val="20"/>
                <w:color w:val="auto"/>
              </w:rPr>
            </w:pPr>
            <w:r>
              <w:rPr>
                <w:rFonts w:ascii="Arial" w:cs="Arial" w:eastAsia="Arial" w:hAnsi="Arial"/>
                <w:sz w:val="12"/>
                <w:szCs w:val="12"/>
                <w:color w:val="auto"/>
              </w:rPr>
              <w:t>Retiree Medical Benefits</w:t>
            </w:r>
            <w:r>
              <w:rPr>
                <w:rFonts w:ascii="Arial" w:cs="Arial" w:eastAsia="Arial" w:hAnsi="Arial"/>
                <w:sz w:val="19"/>
                <w:szCs w:val="19"/>
                <w:color w:val="auto"/>
                <w:vertAlign w:val="superscript"/>
              </w:rPr>
              <w:t>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4160" w:type="dxa"/>
            <w:vAlign w:val="bottom"/>
          </w:tcPr>
          <w:p>
            <w:pPr>
              <w:ind w:left="100"/>
              <w:spacing w:after="0"/>
              <w:rPr>
                <w:sz w:val="20"/>
                <w:szCs w:val="20"/>
                <w:color w:val="auto"/>
              </w:rPr>
            </w:pPr>
            <w:r>
              <w:rPr>
                <w:rFonts w:ascii="Arial" w:cs="Arial" w:eastAsia="Arial" w:hAnsi="Arial"/>
                <w:sz w:val="14"/>
                <w:szCs w:val="14"/>
                <w:color w:val="auto"/>
              </w:rPr>
              <w:t>Excise Tax &amp; Gross-up</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2,246,733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-4637405</wp:posOffset>
            </wp:positionV>
            <wp:extent cx="7254875" cy="4639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4639310"/>
                    </a:xfrm>
                    <a:prstGeom prst="rect">
                      <a:avLst/>
                    </a:prstGeom>
                    <a:noFill/>
                  </pic:spPr>
                </pic:pic>
              </a:graphicData>
            </a:graphic>
          </wp:anchor>
        </w:drawing>
      </w:r>
    </w:p>
    <w:p>
      <w:pPr>
        <w:jc w:val="both"/>
        <w:ind w:left="120" w:right="40" w:hanging="112"/>
        <w:spacing w:after="0"/>
        <w:tabs>
          <w:tab w:leader="none" w:pos="12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2016.</w:t>
      </w:r>
    </w:p>
    <w:p>
      <w:pPr>
        <w:spacing w:after="0" w:line="27" w:lineRule="exact"/>
        <w:rPr>
          <w:sz w:val="20"/>
          <w:szCs w:val="20"/>
          <w:color w:val="auto"/>
        </w:rPr>
      </w:pPr>
    </w:p>
    <w:p>
      <w:pPr>
        <w:ind w:left="120" w:hanging="112"/>
        <w:spacing w:after="0"/>
        <w:tabs>
          <w:tab w:leader="none" w:pos="120" w:val="left"/>
        </w:tabs>
        <w:numPr>
          <w:ilvl w:val="0"/>
          <w:numId w:val="111"/>
        </w:numPr>
        <w:rPr>
          <w:rFonts w:ascii="Arial" w:cs="Arial" w:eastAsia="Arial" w:hAnsi="Arial"/>
          <w:sz w:val="24"/>
          <w:szCs w:val="24"/>
          <w:color w:val="auto"/>
          <w:vertAlign w:val="superscript"/>
        </w:rPr>
      </w:pPr>
      <w:r>
        <w:rPr>
          <w:rFonts w:ascii="Arial" w:cs="Arial" w:eastAsia="Arial" w:hAnsi="Arial"/>
          <w:sz w:val="14"/>
          <w:szCs w:val="14"/>
          <w:color w:val="auto"/>
        </w:rPr>
        <w:t>Assumes all earned base salary has been paid.</w:t>
      </w:r>
    </w:p>
    <w:p>
      <w:pPr>
        <w:ind w:left="120" w:hanging="112"/>
        <w:spacing w:after="0" w:line="211" w:lineRule="auto"/>
        <w:tabs>
          <w:tab w:leader="none" w:pos="12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RSUs.</w:t>
      </w:r>
    </w:p>
    <w:p>
      <w:pPr>
        <w:ind w:left="120" w:hanging="112"/>
        <w:spacing w:after="0" w:line="211" w:lineRule="auto"/>
        <w:tabs>
          <w:tab w:leader="none" w:pos="12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unvested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85090</wp:posOffset>
            </wp:positionV>
            <wp:extent cx="411480" cy="2489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3"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bl>
    <w:p>
      <w:pPr>
        <w:sectPr>
          <w:pgSz w:w="11900" w:h="16838" w:orient="portrait"/>
          <w:cols w:equalWidth="0" w:num="1">
            <w:col w:w="11440"/>
          </w:cols>
          <w:pgMar w:left="240" w:top="459" w:right="2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Executive Compensation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Potential Payments Upon Termination or Change of Control</w:t>
      </w:r>
    </w:p>
    <w:p>
      <w:pPr>
        <w:spacing w:after="0" w:line="308" w:lineRule="exact"/>
        <w:rPr>
          <w:sz w:val="20"/>
          <w:szCs w:val="20"/>
          <w:color w:val="auto"/>
        </w:rPr>
      </w:pPr>
    </w:p>
    <w:p>
      <w:pPr>
        <w:ind w:left="120" w:hanging="112"/>
        <w:spacing w:after="0"/>
        <w:tabs>
          <w:tab w:leader="none" w:pos="120" w:val="left"/>
        </w:tabs>
        <w:numPr>
          <w:ilvl w:val="0"/>
          <w:numId w:val="114"/>
        </w:numPr>
        <w:rPr>
          <w:rFonts w:ascii="Arial" w:cs="Arial" w:eastAsia="Arial" w:hAnsi="Arial"/>
          <w:sz w:val="24"/>
          <w:szCs w:val="24"/>
          <w:color w:val="auto"/>
          <w:vertAlign w:val="superscript"/>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spacing w:after="0" w:line="25" w:lineRule="exact"/>
        <w:rPr>
          <w:sz w:val="20"/>
          <w:szCs w:val="20"/>
          <w:color w:val="auto"/>
        </w:rPr>
      </w:pPr>
    </w:p>
    <w:p>
      <w:pPr>
        <w:ind w:left="120" w:hanging="112"/>
        <w:spacing w:after="0"/>
        <w:tabs>
          <w:tab w:leader="none" w:pos="120" w:val="left"/>
        </w:tabs>
        <w:numPr>
          <w:ilvl w:val="0"/>
          <w:numId w:val="115"/>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lump-sum intrinsic value of all unvested PSUs.</w:t>
      </w:r>
    </w:p>
    <w:p>
      <w:pPr>
        <w:spacing w:after="0" w:line="71" w:lineRule="exact"/>
        <w:rPr>
          <w:sz w:val="20"/>
          <w:szCs w:val="20"/>
          <w:color w:val="auto"/>
        </w:rPr>
      </w:pPr>
    </w:p>
    <w:p>
      <w:pPr>
        <w:jc w:val="both"/>
        <w:ind w:left="120" w:hanging="112"/>
        <w:spacing w:after="0" w:line="208" w:lineRule="auto"/>
        <w:tabs>
          <w:tab w:leader="none" w:pos="12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50. Change of Control values include the incremental value of the benefit (including three times Martin Marietta’s match to the defined contribution plan) payable upon a qualifying termination of employment following a Change of Control.</w:t>
      </w:r>
    </w:p>
    <w:p>
      <w:pPr>
        <w:spacing w:after="0" w:line="72" w:lineRule="exact"/>
        <w:rPr>
          <w:sz w:val="20"/>
          <w:szCs w:val="20"/>
          <w:color w:val="auto"/>
        </w:rPr>
      </w:pPr>
    </w:p>
    <w:p>
      <w:pPr>
        <w:ind w:left="120" w:right="20" w:hanging="112"/>
        <w:spacing w:after="0" w:line="183" w:lineRule="auto"/>
        <w:tabs>
          <w:tab w:leader="none" w:pos="120" w:val="left"/>
        </w:tabs>
        <w:numPr>
          <w:ilvl w:val="0"/>
          <w:numId w:val="117"/>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72" w:lineRule="exact"/>
        <w:rPr>
          <w:sz w:val="20"/>
          <w:szCs w:val="20"/>
          <w:color w:val="auto"/>
        </w:rPr>
      </w:pPr>
    </w:p>
    <w:p>
      <w:pPr>
        <w:ind w:left="120" w:right="20" w:hanging="112"/>
        <w:spacing w:after="0" w:line="183" w:lineRule="auto"/>
        <w:tabs>
          <w:tab w:leader="none" w:pos="120" w:val="left"/>
        </w:tabs>
        <w:numPr>
          <w:ilvl w:val="0"/>
          <w:numId w:val="118"/>
        </w:numPr>
        <w:rPr>
          <w:rFonts w:ascii="Arial" w:cs="Arial" w:eastAsia="Arial" w:hAnsi="Arial"/>
          <w:sz w:val="24"/>
          <w:szCs w:val="24"/>
          <w:color w:val="auto"/>
          <w:vertAlign w:val="superscript"/>
        </w:rPr>
      </w:pPr>
      <w:r>
        <w:rPr>
          <w:rFonts w:ascii="Arial" w:cs="Arial" w:eastAsia="Arial" w:hAnsi="Arial"/>
          <w:sz w:val="14"/>
          <w:szCs w:val="14"/>
          <w:color w:val="auto"/>
        </w:rPr>
        <w:t>Reflects the estimated incremental value of the benefit to which the named executive officer would be entitled upon a qualifying termination of employment following a Change of Control. Assumes postretirement medical coverage begins after 3 years of active welfare coverage but no earlier than age 55.</w:t>
      </w:r>
    </w:p>
    <w:p>
      <w:pPr>
        <w:ind w:left="200" w:hanging="192"/>
        <w:spacing w:after="0" w:line="212" w:lineRule="auto"/>
        <w:tabs>
          <w:tab w:leader="none" w:pos="200" w:val="left"/>
        </w:tabs>
        <w:numPr>
          <w:ilvl w:val="0"/>
          <w:numId w:val="119"/>
        </w:numPr>
        <w:rPr>
          <w:rFonts w:ascii="Arial" w:cs="Arial" w:eastAsia="Arial" w:hAnsi="Arial"/>
          <w:sz w:val="24"/>
          <w:szCs w:val="24"/>
          <w:color w:val="auto"/>
          <w:vertAlign w:val="superscript"/>
        </w:rPr>
      </w:pPr>
      <w:r>
        <w:rPr>
          <w:rFonts w:ascii="Arial" w:cs="Arial" w:eastAsia="Arial" w:hAnsi="Arial"/>
          <w:sz w:val="14"/>
          <w:szCs w:val="14"/>
          <w:color w:val="auto"/>
        </w:rPr>
        <w:t>Mr. Nye and Mr. Grant were not eligible to retire on December 31, 2016. Reflects the value as if Mr. Nye and Mr. Grant were retirement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85090</wp:posOffset>
            </wp:positionV>
            <wp:extent cx="411480" cy="2489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9"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color w:val="auto"/>
        </w:rPr>
        <w:t>Proposal 3</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Advisory Vote on the Compensation of Our Named Executive Officers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i w:val="1"/>
          <w:iCs w:val="1"/>
          <w:color w:val="007CBA"/>
        </w:rPr>
        <w:t>(Item 3 on Proxy Card)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163"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2016 was appropriate and aligned with 2016 performance and positions us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4180"/>
        <w:spacing w:after="0"/>
        <w:rPr>
          <w:sz w:val="20"/>
          <w:szCs w:val="20"/>
          <w:color w:val="auto"/>
        </w:rPr>
      </w:pPr>
      <w:r>
        <w:rPr>
          <w:rFonts w:ascii="Arial" w:cs="Arial" w:eastAsia="Arial" w:hAnsi="Arial"/>
          <w:sz w:val="25"/>
          <w:szCs w:val="25"/>
          <w:color w:val="007CBA"/>
        </w:rPr>
        <w:t>The Board Unanimously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-105410</wp:posOffset>
            </wp:positionV>
            <wp:extent cx="325755" cy="3257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4180"/>
        <w:spacing w:after="0"/>
        <w:rPr>
          <w:sz w:val="20"/>
          <w:szCs w:val="20"/>
          <w:color w:val="auto"/>
        </w:rPr>
      </w:pPr>
      <w:r>
        <w:rPr>
          <w:rFonts w:ascii="Arial" w:cs="Arial" w:eastAsia="Arial" w:hAnsi="Arial"/>
          <w:sz w:val="25"/>
          <w:szCs w:val="25"/>
          <w:color w:val="007CBA"/>
        </w:rPr>
        <w:t>Recommends a Vote “</w:t>
      </w:r>
      <w:r>
        <w:rPr>
          <w:rFonts w:ascii="Arial" w:cs="Arial" w:eastAsia="Arial" w:hAnsi="Arial"/>
          <w:sz w:val="25"/>
          <w:szCs w:val="25"/>
          <w:b w:val="1"/>
          <w:bCs w:val="1"/>
          <w:color w:val="007CBA"/>
        </w:rPr>
        <w:t>FOR</w:t>
      </w:r>
      <w:r>
        <w:rPr>
          <w:rFonts w:ascii="Arial" w:cs="Arial" w:eastAsia="Arial" w:hAnsi="Arial"/>
          <w:sz w:val="25"/>
          <w:szCs w:val="25"/>
          <w:color w:val="007CBA"/>
        </w:rPr>
        <w:t>”</w:t>
      </w:r>
    </w:p>
    <w:p>
      <w:pPr>
        <w:spacing w:after="0" w:line="10" w:lineRule="exact"/>
        <w:rPr>
          <w:sz w:val="20"/>
          <w:szCs w:val="20"/>
          <w:color w:val="auto"/>
        </w:rPr>
      </w:pPr>
    </w:p>
    <w:p>
      <w:pPr>
        <w:ind w:left="4180"/>
        <w:spacing w:after="0"/>
        <w:rPr>
          <w:sz w:val="20"/>
          <w:szCs w:val="20"/>
          <w:color w:val="auto"/>
        </w:rPr>
      </w:pPr>
      <w:r>
        <w:rPr>
          <w:rFonts w:ascii="Arial" w:cs="Arial" w:eastAsia="Arial" w:hAnsi="Arial"/>
          <w:sz w:val="25"/>
          <w:szCs w:val="25"/>
          <w:color w:val="007CBA"/>
        </w:rPr>
        <w:t>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107950</wp:posOffset>
            </wp:positionV>
            <wp:extent cx="411480" cy="2489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9"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bl>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color w:val="auto"/>
        </w:rPr>
        <w:t>Proposal 4</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Advisory Vote on Frequency of Executive Compensation Vote</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i w:val="1"/>
          <w:iCs w:val="1"/>
          <w:color w:val="007CBA"/>
        </w:rPr>
        <w:t>(Item 4 on Proxy Card)</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Dodd-Frank Act and Section 14A of the Exchange Act enable our shareholders, at least once every six years, to indicate their preference regarding how frequently we should solicit a ‘‘Say on Pay’’ advisory vote such as Proposal 3 described on the preceding page. Specifically, shareholders must be given the opportunity to vote on our executive compensation programs either every 1 year, every 2 years or every 3 years. Although this vote is advisory and nonbinding, our Board of Directors will review voting results and give serious consideration to the outcome of such voting.</w:t>
      </w:r>
    </w:p>
    <w:p>
      <w:pPr>
        <w:spacing w:after="0" w:line="3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Our Board of Directors recognizes the importance of receiving regular input from our shareholders on important issues such as our compensation programs. Our Board also believes that a well-structured compensation program should include plans that drive creation of shareholder value over the long-term, and that it should receive advisory input from our shareholders each year. Accordingly, as indicated below, the Board recommends that you vote in favor of an advisory vote on our compensation programs </w:t>
      </w:r>
      <w:r>
        <w:rPr>
          <w:rFonts w:ascii="Arial" w:cs="Arial" w:eastAsia="Arial" w:hAnsi="Arial"/>
          <w:sz w:val="16"/>
          <w:szCs w:val="16"/>
          <w:b w:val="1"/>
          <w:bCs w:val="1"/>
          <w:color w:val="auto"/>
        </w:rPr>
        <w:t>every 1 year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Shareholders may cast their vote on their preferred voting frequency by choosing the option of every 1 year, every 2 years, every 3 years or abstain from voting. You are not voting to approve or disapprove the Board’s recommendation on this item. The frequency option that receives the highest number of votes cast on the proposal will be considered the frequency preferred by our shareholders. However, as indicated above, the shareholder vote on the frequency of nonbinding shareholder votes to approve executive compensation will not be binding on us or the Board, and will not be construed as overruling any decision by us or the Board. The vote will not be construed to create or imply any change to our fiduciary duties or those of the Board, or to create or imply any additional fiduciary duties for us or the Board. However, the Board values our shareholders’ opinions, and consistent with our record of shareholder engagement, will consider the outcome of the vote in making a determination concerning the frequency of advisory votes on executive compensation.</w:t>
      </w:r>
    </w:p>
    <w:p>
      <w:pPr>
        <w:spacing w:after="0" w:line="757"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4180" w:right="3440"/>
        <w:spacing w:after="0" w:line="254"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FOR</w:t>
      </w:r>
      <w:r>
        <w:rPr>
          <w:rFonts w:ascii="Arial" w:cs="Arial" w:eastAsia="Arial" w:hAnsi="Arial"/>
          <w:sz w:val="25"/>
          <w:szCs w:val="25"/>
          <w:color w:val="007CBA"/>
        </w:rPr>
        <w:t xml:space="preserve">” </w:t>
      </w:r>
      <w:r>
        <w:rPr>
          <w:rFonts w:ascii="Arial" w:cs="Arial" w:eastAsia="Arial" w:hAnsi="Arial"/>
          <w:sz w:val="25"/>
          <w:szCs w:val="25"/>
          <w:b w:val="1"/>
          <w:bCs w:val="1"/>
          <w:color w:val="007CBA"/>
        </w:rPr>
        <w:t xml:space="preserve">Every 1 Year </w:t>
      </w:r>
      <w:r>
        <w:rPr>
          <w:rFonts w:ascii="Arial" w:cs="Arial" w:eastAsia="Arial" w:hAnsi="Arial"/>
          <w:sz w:val="25"/>
          <w:szCs w:val="25"/>
          <w:color w:val="007CBA"/>
        </w:rPr>
        <w:t>on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-502920</wp:posOffset>
            </wp:positionV>
            <wp:extent cx="325755" cy="3257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88265</wp:posOffset>
            </wp:positionV>
            <wp:extent cx="411480" cy="2489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3"/>
          <w:szCs w:val="13"/>
          <w:b w:val="1"/>
          <w:bCs w:val="1"/>
          <w:color w:val="auto"/>
        </w:rPr>
      </w:pPr>
      <w:r>
        <w:rPr>
          <w:rFonts w:ascii="Arial" w:cs="Arial" w:eastAsia="Arial" w:hAnsi="Arial"/>
          <w:sz w:val="13"/>
          <w:szCs w:val="13"/>
          <w:color w:val="007CBA"/>
        </w:rPr>
        <w:t>2017 PROXY STATEMENT</w:t>
      </w:r>
    </w:p>
    <w:p>
      <w:pPr>
        <w:sectPr>
          <w:pgSz w:w="11900" w:h="16838" w:orient="portrait"/>
          <w:cols w:equalWidth="0" w:num="1">
            <w:col w:w="11300"/>
          </w:cols>
          <w:pgMar w:left="240" w:top="459" w:right="3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color w:val="auto"/>
        </w:rPr>
        <w:t>Proposal 5</w:t>
      </w:r>
    </w:p>
    <w:p>
      <w:pPr>
        <w:spacing w:after="0" w:line="57" w:lineRule="exact"/>
        <w:rPr>
          <w:sz w:val="20"/>
          <w:szCs w:val="20"/>
          <w:color w:val="auto"/>
        </w:rPr>
      </w:pPr>
    </w:p>
    <w:p>
      <w:pPr>
        <w:ind w:right="840"/>
        <w:spacing w:after="0" w:line="259" w:lineRule="auto"/>
        <w:rPr>
          <w:sz w:val="20"/>
          <w:szCs w:val="20"/>
          <w:color w:val="auto"/>
        </w:rPr>
      </w:pPr>
      <w:r>
        <w:rPr>
          <w:rFonts w:ascii="Arial" w:cs="Arial" w:eastAsia="Arial" w:hAnsi="Arial"/>
          <w:sz w:val="25"/>
          <w:szCs w:val="25"/>
          <w:b w:val="1"/>
          <w:bCs w:val="1"/>
          <w:color w:val="007CBA"/>
        </w:rPr>
        <w:t>Advisory Vote on Shareholder Proposal Requesting that the Board Amend the Bylaws to Provide for Proxy Access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007CBA"/>
        </w:rPr>
        <w:t>(Item 5 on Proxy Card)</w:t>
      </w:r>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shareholder identified below has submitted the following proposal to be voted upon at the Annual Meeting. In accordance with SEC rules, we are reprinting the proposal and supporting statements as they were submitted to us. Martin Marietta is not responsible for the contents thereof or any inaccuracies the proposal may contain.</w:t>
      </w:r>
    </w:p>
    <w:p>
      <w:pPr>
        <w:sectPr>
          <w:pgSz w:w="11900" w:h="16838" w:orient="portrait"/>
          <w:cols w:equalWidth="0" w:num="1">
            <w:col w:w="11420"/>
          </w:cols>
          <w:pgMar w:left="240" w:top="459" w:right="239" w:bottom="1440" w:gutter="0" w:footer="0" w:header="0"/>
        </w:sectPr>
      </w:pPr>
    </w:p>
    <w:p>
      <w:pPr>
        <w:spacing w:after="0" w:line="277"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City of New York, Office of the Comptroller, One Centre Street,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New York, New York 10007-2341, the beneficial owner of no less than 100 shares of common stock of the Corporation having a market value greater than $2,000, has notified Martin Marietta that he intends to present the following proposal at this year’s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The Shareholder’s Proposal</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RESOLVED: Shareholders of Martin Marietta Materials, Inc. (the “Company”) ask the board of directors (the “Board”) to take the steps necessary to adopt a “proxy access” bylaw. Such a bylaw shall require the Company to include in proxy materials prepared for a shareholder meeting at which directors are to be elected the name, Disclosure and Statement (as defined herein) of any person nominated for election to the board by a shareholder or group (the “Nominator”) that meets the criteria established below. The Company shall allow shareholders to vote on such nominee on the Company’s proxy card.</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number of shareholder-nominated candidates appearing in proxy materials shall not exceed the larger of two or one quarter of the directors then serving. This bylaw, which shall supplement existing rights under Company bylaws, should provide that a Nominator must:</w:t>
      </w:r>
    </w:p>
    <w:p>
      <w:pPr>
        <w:spacing w:after="0" w:line="68" w:lineRule="exact"/>
        <w:rPr>
          <w:sz w:val="20"/>
          <w:szCs w:val="20"/>
          <w:color w:val="auto"/>
        </w:rPr>
      </w:pPr>
    </w:p>
    <w:p>
      <w:pPr>
        <w:jc w:val="both"/>
        <w:ind w:left="340" w:hanging="332"/>
        <w:spacing w:after="0" w:line="253"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have beneficially owned 3% or more of the Company’s outstanding common stock continuously for at least three years before submitting the nomination;</w:t>
      </w:r>
    </w:p>
    <w:p>
      <w:pPr>
        <w:spacing w:after="0" w:line="66" w:lineRule="exact"/>
        <w:rPr>
          <w:rFonts w:ascii="Arial" w:cs="Arial" w:eastAsia="Arial" w:hAnsi="Arial"/>
          <w:sz w:val="16"/>
          <w:szCs w:val="16"/>
          <w:color w:val="auto"/>
        </w:rPr>
      </w:pPr>
    </w:p>
    <w:p>
      <w:pPr>
        <w:jc w:val="both"/>
        <w:ind w:left="340" w:hanging="332"/>
        <w:spacing w:after="0" w:line="249"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give the Company, within the time period identified in its bylaws, written notice of the information required by the bylaws and any Securities and Exchange Commission rules about (i) the nominee, including consent to being named in the proxy materials and to serving as director if elected; and (ii) the Nominator, including proof it owns the required shares (the “Disclosure”); and</w:t>
      </w:r>
    </w:p>
    <w:p>
      <w:pPr>
        <w:spacing w:after="0" w:line="70"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certify that (i) it will assume liability stemming from any legal or regulatory violation arising out of the Nominator’s communications with the Company shareholders, including the Disclosure and Statement;</w:t>
      </w:r>
    </w:p>
    <w:p>
      <w:pPr>
        <w:spacing w:after="0" w:line="1" w:lineRule="exact"/>
        <w:rPr>
          <w:rFonts w:ascii="Arial" w:cs="Arial" w:eastAsia="Arial" w:hAnsi="Arial"/>
          <w:sz w:val="16"/>
          <w:szCs w:val="16"/>
          <w:color w:val="auto"/>
        </w:rPr>
      </w:pPr>
    </w:p>
    <w:p>
      <w:pPr>
        <w:jc w:val="both"/>
        <w:ind w:left="340" w:hanging="8"/>
        <w:spacing w:after="0" w:line="250" w:lineRule="auto"/>
        <w:tabs>
          <w:tab w:leader="none" w:pos="609"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it will comply with all applicable laws and regulations if it uses soliciting material other than the Company’s proxy materials; and (iii) to the best of its knowledge, the required shares were acquired in the ordinary course of business and not to change or influence control at the Company.</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Nominator may submit with the Disclosure a statement not exceeding 500 words in support of each nominee (the “Statement”). The Board shall adopt procedures for promptly resolving disputes over whether notice of a nomination was timely, whether the Disclosure and Statement satisfy the bylaw and applicable federal regulations, and the priority to be given to multiple nominations exceeding the one-quarter limit.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SUPPORTING STATEMENT</w:t>
      </w:r>
    </w:p>
    <w:p>
      <w:pPr>
        <w:spacing w:after="0" w:line="130"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We believe proxy access will make directors more accountable and enhance shareholder value. A 2014 study by the CFA Institute concluded that proxy access could raise overall US market capitalization by up to $140.3 billion if adopted market-wide, “with little cost or disruption.” (http://www.cfapubs.org/doi/pdf1/10.2469/ccb.v’.2014.n9. l)</w:t>
      </w:r>
    </w:p>
    <w:p>
      <w:pPr>
        <w:spacing w:after="0" w:line="163"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proposed terms are similar to those in vacated SEC Rule 14a-11 (https://ww w.sec.gov/ rules/ final/1 0 l 0/33-9136.pdt). The SEC, following extensive analysis and input from market participants, determined that those terms struck the proper balance of providing shareholders with viable proxy access while containing appropriate safeguards.</w:t>
      </w:r>
    </w:p>
    <w:p>
      <w:pPr>
        <w:spacing w:after="0" w:line="176"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proposed terms enjoy strong investor support and company acceptance. Between January 2015 and December 2016, 95 similar shareholder proposals received majority votes and more than 300 companies of various sizes across industries enacted bylaws with similar terms.</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We urge shareholders to vote FOR this proposal.</w:t>
      </w:r>
    </w:p>
    <w:p>
      <w:pPr>
        <w:spacing w:after="0" w:line="148" w:lineRule="exact"/>
        <w:rPr>
          <w:sz w:val="20"/>
          <w:szCs w:val="20"/>
          <w:color w:val="auto"/>
        </w:rPr>
      </w:pPr>
    </w:p>
    <w:p>
      <w:pPr>
        <w:ind w:right="320"/>
        <w:spacing w:after="0" w:line="288" w:lineRule="auto"/>
        <w:rPr>
          <w:sz w:val="20"/>
          <w:szCs w:val="20"/>
          <w:color w:val="auto"/>
        </w:rPr>
      </w:pPr>
      <w:r>
        <w:rPr>
          <w:rFonts w:ascii="Arial" w:cs="Arial" w:eastAsia="Arial" w:hAnsi="Arial"/>
          <w:sz w:val="25"/>
          <w:szCs w:val="25"/>
          <w:b w:val="1"/>
          <w:bCs w:val="1"/>
          <w:color w:val="007CBA"/>
        </w:rPr>
        <w:t>Board of Directors’ Statement in Opposition to Proposal 5</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a vote “AGAINST” this proposal.</w:t>
      </w:r>
    </w:p>
    <w:p>
      <w:pPr>
        <w:spacing w:after="0" w:line="130"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Board has carefully considered the proposal and determined that it is not in the best interests of Martin Marietta and its shareholders. Martin Marietta regularly monitors and responds to corporate governance developments, including evolving issues such as proxy access. While the Board recognizes that proxy access is a topic of growing interest to investors and continues to evaluate it, the Board believes that this proposal fails to include safeguards that should be incorporated into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182880</wp:posOffset>
            </wp:positionV>
            <wp:extent cx="411480" cy="2489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06"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bl>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Proposal 5: Advisory Vote on Shareholder Proposal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Board of Directors’ Statement in Opposition to Proposal 5</w:t>
      </w:r>
    </w:p>
    <w:p>
      <w:pPr>
        <w:sectPr>
          <w:pgSz w:w="11900" w:h="16838" w:orient="portrait"/>
          <w:cols w:equalWidth="0" w:num="1">
            <w:col w:w="11300"/>
          </w:cols>
          <w:pgMar w:left="240" w:top="459" w:right="359" w:bottom="1440" w:gutter="0" w:footer="0" w:header="0"/>
        </w:sectPr>
      </w:pPr>
    </w:p>
    <w:p>
      <w:pPr>
        <w:spacing w:after="0" w:line="2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access, and also fails to recognize that Martin Marietta’s existing governance structure already provides shareholders with meaningful input and opportunity regarding the nomination and election of directors and corporate strategies as a whole.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believes that the appropriate process for implementing new proxy access rights as a permanent feature of Martin Marietta’s corporate governance should be a deliberate and measured one, involving consultation with shareholders and a review of marketplace developments. The Board is committed to engaging with shareholders to determine a tailored and appropriate approach for Martin Marietta.</w:t>
      </w:r>
    </w:p>
    <w:p>
      <w:pPr>
        <w:spacing w:after="0" w:line="13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b w:val="1"/>
          <w:bCs w:val="1"/>
          <w:color w:val="auto"/>
        </w:rPr>
        <w:t>Adoption of the proposal’s specific proxy access framework may have significant adverse consequences.</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proposal would allow an unlimited group of shareholders that together own 3% of our outstanding shares continuously for a period of three years to nominate the greater of 2 members or 25% of the Board.</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recognizes that a 3% ownership threshold has become the consensus standard for an appropriate proxy access threshold. The Board believes, however, that this proposal’s lack of an aggregation limit would allow shareholders with very low ownership stakes in Martin Marietta to use the proxy access process to advance special interests that fail to represent the overall interests of the Company and its shareholders. Shareholders and shareholder groups invoking the proposed proxy access framework would have no fiduciary obligations to other shareholders and may cause Martin Marietta considerable expense and distraction, while only serving such shareholders’ own short-term special interests. In contrast, the independent members of the Nominating and Corporate Governance Committee owe fiduciary duties to all of our shareholders when recommending director candidates and carefully consider candidate independence and qualifications based on Company guidelines to ensure optimal Board composition. The Nominating and Corporate Governance Committee is always open to and appreciates recommendations from shareholders for high quality director nominees.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the Board believes that allowing the greater of two members or 25% of the Board to be elected through proxy access every year may be highly disruptive and could adversely affect the continuity and effectiveness of the Board’s operations. The concept of proxy access is meant to provide a company’s significant long-term shareholders a greater voice in its direction and management, reflected in representation on the Board. However, the proposed number and percentage of proxy access candidates, coupled with our annual elections, has the potential to thrust the Company into perpetual proxy contests, potentially causing dissension among Board members and delay in Board action. The Board and management may be required to divert their time and attention to frequent contested elections instead</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of the operation of the Company, which could lead to adverse effects on Martin Marietta’s financial and operational performance.</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proposal’s specific proxy access framework has the potential to provide undue influence for special interest groups and disrupt Board continuity and effectiveness. The prospect of routinely standing for a contested election could deter highly qualified director candidates from serving. The Board believes the absence of a specified cap on aggregation and the high permissible number or percentage of proxy access candidates contemplated by this proposal do not adequately protect Martin Marietta and its shareholders from these significant risks of disruption and expense.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However, the Board will continue to consider the appropriateness of proxy access in light of ongoing shareholder concerns and developing market practices.</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We are committed to active shareholder engagement. Shareholders may already communicate with the Board to express dissatisfaction with any matter and have meaningful rights in the nomination of director candidates.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believes that accountability to shareholders is a mark of good governance and critical to Martin Marietta’s success. To that end, management regularly engages with shareholders to ensure the Board is addressing their concerns and to seek input and to provide perspective on Company policies and practices.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provides a process for shareholders to communicate directly with the Board, non-management directors or an individual Director, including the Lead Independent Director, by writing to Martin Marietta’s Corporate Secretary.</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Martin Marietta shareholders have several ways to bring potential director candidates to the attention of our Nominating and Corporate Governance Committee, including the following:</w:t>
      </w:r>
    </w:p>
    <w:p>
      <w:pPr>
        <w:spacing w:after="0" w:line="66" w:lineRule="exact"/>
        <w:rPr>
          <w:sz w:val="20"/>
          <w:szCs w:val="20"/>
          <w:color w:val="auto"/>
        </w:rPr>
      </w:pPr>
    </w:p>
    <w:p>
      <w:pPr>
        <w:ind w:left="380" w:hanging="291"/>
        <w:spacing w:after="0" w:line="260" w:lineRule="auto"/>
        <w:tabs>
          <w:tab w:leader="none" w:pos="38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Our bylaws allow shareholders to directly nominate candidates for election to our Board if advance notice provisions are satisfied; and</w:t>
      </w:r>
    </w:p>
    <w:p>
      <w:pPr>
        <w:spacing w:after="0" w:line="60" w:lineRule="exact"/>
        <w:rPr>
          <w:rFonts w:ascii="Arial" w:cs="Arial" w:eastAsia="Arial" w:hAnsi="Arial"/>
          <w:sz w:val="16"/>
          <w:szCs w:val="16"/>
          <w:color w:val="007CBA"/>
        </w:rPr>
      </w:pPr>
    </w:p>
    <w:p>
      <w:pPr>
        <w:jc w:val="both"/>
        <w:ind w:left="380" w:hanging="291"/>
        <w:spacing w:after="0" w:line="253" w:lineRule="auto"/>
        <w:tabs>
          <w:tab w:leader="none" w:pos="380" w:val="left"/>
        </w:tabs>
        <w:numPr>
          <w:ilvl w:val="0"/>
          <w:numId w:val="123"/>
        </w:numPr>
        <w:rPr>
          <w:rFonts w:ascii="Arial" w:cs="Arial" w:eastAsia="Arial" w:hAnsi="Arial"/>
          <w:sz w:val="16"/>
          <w:szCs w:val="16"/>
          <w:color w:val="007CBA"/>
        </w:rPr>
      </w:pPr>
      <w:r>
        <w:rPr>
          <w:rFonts w:ascii="Arial" w:cs="Arial" w:eastAsia="Arial" w:hAnsi="Arial"/>
          <w:sz w:val="16"/>
          <w:szCs w:val="16"/>
          <w:color w:val="auto"/>
        </w:rPr>
        <w:t>The Nominating and Corporate Governance Committee carefully considers any potential director candidates recommended by shareholders.</w:t>
      </w:r>
    </w:p>
    <w:p>
      <w:pPr>
        <w:spacing w:after="0" w:line="133"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b w:val="1"/>
          <w:bCs w:val="1"/>
          <w:color w:val="auto"/>
        </w:rPr>
        <w:t>We are committed to strong corporate governance practices that ensure Board accountability and shareholder input.</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proposal does not recognize Martin Marietta’s actions to develop a strong corporate governance profile. The Board regularly assesses and refines Martin Marietta’s governance policies to address evolving best practices and to respond to shareholder feedback. Martin Marietta has adopted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179070</wp:posOffset>
            </wp:positionV>
            <wp:extent cx="411480" cy="2489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1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300"/>
          </w:cols>
          <w:pgMar w:left="240" w:top="459" w:right="3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Board of Directors’ Statement in Opposition to Proposal 5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Proposal 5: Advisory Vote on Shareholder Proposal</w:t>
      </w:r>
    </w:p>
    <w:p>
      <w:pPr>
        <w:sectPr>
          <w:pgSz w:w="11900" w:h="16838" w:orient="portrait"/>
          <w:cols w:equalWidth="0" w:num="1">
            <w:col w:w="11420"/>
          </w:cols>
          <w:pgMar w:left="240" w:top="459" w:right="2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following governance policies that illustrate the Company’s commitment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Board accountability and responsiveness to shareholders:</w:t>
      </w:r>
    </w:p>
    <w:p>
      <w:pPr>
        <w:spacing w:after="0" w:line="86" w:lineRule="exact"/>
        <w:rPr>
          <w:sz w:val="20"/>
          <w:szCs w:val="20"/>
          <w:color w:val="auto"/>
        </w:rPr>
      </w:pPr>
    </w:p>
    <w:p>
      <w:pPr>
        <w:jc w:val="both"/>
        <w:ind w:left="380" w:hanging="291"/>
        <w:spacing w:after="0" w:line="253" w:lineRule="auto"/>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Annual, non-staggered director elections commencing with director candidates standing for election at the 2017 Annual Meeting as a result of a recent management proposal to declassify the Board;</w:t>
      </w:r>
    </w:p>
    <w:p>
      <w:pPr>
        <w:spacing w:after="0" w:line="66" w:lineRule="exact"/>
        <w:rPr>
          <w:rFonts w:ascii="Arial" w:cs="Arial" w:eastAsia="Arial" w:hAnsi="Arial"/>
          <w:sz w:val="16"/>
          <w:szCs w:val="16"/>
          <w:color w:val="007CBA"/>
        </w:rPr>
      </w:pPr>
    </w:p>
    <w:p>
      <w:pPr>
        <w:ind w:left="380" w:hanging="291"/>
        <w:spacing w:after="0"/>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Nine out of ten directors are non-employees;</w:t>
      </w:r>
    </w:p>
    <w:p>
      <w:pPr>
        <w:spacing w:after="0" w:line="86" w:lineRule="exact"/>
        <w:rPr>
          <w:rFonts w:ascii="Arial" w:cs="Arial" w:eastAsia="Arial" w:hAnsi="Arial"/>
          <w:sz w:val="16"/>
          <w:szCs w:val="16"/>
          <w:color w:val="007CBA"/>
        </w:rPr>
      </w:pPr>
    </w:p>
    <w:p>
      <w:pPr>
        <w:jc w:val="both"/>
        <w:ind w:left="380" w:hanging="291"/>
        <w:spacing w:after="0" w:line="253" w:lineRule="auto"/>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Eight out of ten directors are independent, with an empowered Lead Independent Director and regular executive sessions held among the independent directors;</w:t>
      </w:r>
    </w:p>
    <w:p>
      <w:pPr>
        <w:spacing w:after="0" w:line="66" w:lineRule="exact"/>
        <w:rPr>
          <w:rFonts w:ascii="Arial" w:cs="Arial" w:eastAsia="Arial" w:hAnsi="Arial"/>
          <w:sz w:val="16"/>
          <w:szCs w:val="16"/>
          <w:color w:val="007CBA"/>
        </w:rPr>
      </w:pPr>
    </w:p>
    <w:p>
      <w:pPr>
        <w:jc w:val="both"/>
        <w:ind w:left="380" w:hanging="291"/>
        <w:spacing w:after="0" w:line="253" w:lineRule="auto"/>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Audit, Management Development and Compensation, and Nominating and Corporate Governance Committees are compromised solely of independent directors, and each with independent chairs;</w:t>
      </w:r>
    </w:p>
    <w:p>
      <w:pPr>
        <w:spacing w:after="0" w:line="66" w:lineRule="exact"/>
        <w:rPr>
          <w:rFonts w:ascii="Arial" w:cs="Arial" w:eastAsia="Arial" w:hAnsi="Arial"/>
          <w:sz w:val="16"/>
          <w:szCs w:val="16"/>
          <w:color w:val="007CBA"/>
        </w:rPr>
      </w:pPr>
    </w:p>
    <w:p>
      <w:pPr>
        <w:ind w:left="380" w:hanging="291"/>
        <w:spacing w:after="0"/>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Regular Board and Committee performance evaluations;</w:t>
      </w:r>
    </w:p>
    <w:p>
      <w:pPr>
        <w:spacing w:after="0" w:line="86" w:lineRule="exact"/>
        <w:rPr>
          <w:rFonts w:ascii="Arial" w:cs="Arial" w:eastAsia="Arial" w:hAnsi="Arial"/>
          <w:sz w:val="16"/>
          <w:szCs w:val="16"/>
          <w:color w:val="007CBA"/>
        </w:rPr>
      </w:pPr>
    </w:p>
    <w:p>
      <w:pPr>
        <w:jc w:val="both"/>
        <w:ind w:left="380" w:hanging="291"/>
        <w:spacing w:after="0" w:line="253" w:lineRule="auto"/>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Publicly available guidelines used by the Nominating and Corporate Governance Committee to evaluate director candidate qualifications and their independence;</w:t>
      </w:r>
    </w:p>
    <w:p>
      <w:pPr>
        <w:spacing w:after="0" w:line="66" w:lineRule="exact"/>
        <w:rPr>
          <w:rFonts w:ascii="Arial" w:cs="Arial" w:eastAsia="Arial" w:hAnsi="Arial"/>
          <w:sz w:val="16"/>
          <w:szCs w:val="16"/>
          <w:color w:val="007CBA"/>
        </w:rPr>
      </w:pPr>
    </w:p>
    <w:p>
      <w:pPr>
        <w:ind w:left="380" w:hanging="291"/>
        <w:spacing w:after="0"/>
        <w:tabs>
          <w:tab w:leader="none" w:pos="380" w:val="left"/>
        </w:tabs>
        <w:numPr>
          <w:ilvl w:val="0"/>
          <w:numId w:val="125"/>
        </w:numPr>
        <w:rPr>
          <w:rFonts w:ascii="Arial" w:cs="Arial" w:eastAsia="Arial" w:hAnsi="Arial"/>
          <w:sz w:val="16"/>
          <w:szCs w:val="16"/>
          <w:color w:val="007CBA"/>
        </w:rPr>
      </w:pPr>
      <w:r>
        <w:rPr>
          <w:rFonts w:ascii="Arial" w:cs="Arial" w:eastAsia="Arial" w:hAnsi="Arial"/>
          <w:sz w:val="16"/>
          <w:szCs w:val="16"/>
          <w:color w:val="auto"/>
        </w:rPr>
        <w:t>Majority vote to elect directors in uncontested elections;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380" w:hanging="291"/>
        <w:spacing w:after="0"/>
        <w:tabs>
          <w:tab w:leader="none" w:pos="38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No poison pill;</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Executive compensation driven by pay-for-performance;</w:t>
      </w:r>
    </w:p>
    <w:p>
      <w:pPr>
        <w:spacing w:after="0" w:line="86" w:lineRule="exact"/>
        <w:rPr>
          <w:rFonts w:ascii="Arial" w:cs="Arial" w:eastAsia="Arial" w:hAnsi="Arial"/>
          <w:sz w:val="16"/>
          <w:szCs w:val="16"/>
          <w:color w:val="007CBA"/>
        </w:rPr>
      </w:pPr>
    </w:p>
    <w:p>
      <w:pPr>
        <w:ind w:left="380" w:hanging="291"/>
        <w:spacing w:after="0"/>
        <w:tabs>
          <w:tab w:leader="none" w:pos="38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Long-standing active shareholder engagement;</w:t>
      </w:r>
    </w:p>
    <w:p>
      <w:pPr>
        <w:spacing w:after="0" w:line="86" w:lineRule="exact"/>
        <w:rPr>
          <w:rFonts w:ascii="Arial" w:cs="Arial" w:eastAsia="Arial" w:hAnsi="Arial"/>
          <w:sz w:val="16"/>
          <w:szCs w:val="16"/>
          <w:color w:val="007CBA"/>
        </w:rPr>
      </w:pPr>
    </w:p>
    <w:p>
      <w:pPr>
        <w:ind w:left="380" w:right="120" w:hanging="291"/>
        <w:spacing w:after="0" w:line="260" w:lineRule="auto"/>
        <w:tabs>
          <w:tab w:leader="none" w:pos="38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Established mechanism for shareholders to directly communicate with the Board; and</w:t>
      </w:r>
    </w:p>
    <w:p>
      <w:pPr>
        <w:spacing w:after="0" w:line="60" w:lineRule="exact"/>
        <w:rPr>
          <w:rFonts w:ascii="Arial" w:cs="Arial" w:eastAsia="Arial" w:hAnsi="Arial"/>
          <w:sz w:val="16"/>
          <w:szCs w:val="16"/>
          <w:color w:val="007CBA"/>
        </w:rPr>
      </w:pPr>
    </w:p>
    <w:p>
      <w:pPr>
        <w:ind w:left="380" w:right="120" w:hanging="291"/>
        <w:spacing w:after="0" w:line="260" w:lineRule="auto"/>
        <w:tabs>
          <w:tab w:leader="none" w:pos="380" w:val="left"/>
        </w:tabs>
        <w:numPr>
          <w:ilvl w:val="0"/>
          <w:numId w:val="126"/>
        </w:numPr>
        <w:rPr>
          <w:rFonts w:ascii="Arial" w:cs="Arial" w:eastAsia="Arial" w:hAnsi="Arial"/>
          <w:sz w:val="16"/>
          <w:szCs w:val="16"/>
          <w:color w:val="007CBA"/>
        </w:rPr>
      </w:pPr>
      <w:r>
        <w:rPr>
          <w:rFonts w:ascii="Arial" w:cs="Arial" w:eastAsia="Arial" w:hAnsi="Arial"/>
          <w:sz w:val="16"/>
          <w:szCs w:val="16"/>
          <w:color w:val="auto"/>
        </w:rPr>
        <w:t>Process for shareholders to nominate director candidates at annual meetings, subject to conditions set forth in the bylaws.</w:t>
      </w:r>
    </w:p>
    <w:p>
      <w:pPr>
        <w:spacing w:after="0" w:line="16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proposal does not recognize Martin Marietta’s existing corporate governance structure and other policies that reflect a significant and continuing commitment to strong governance practices and a willingness to be accountable to shareholders.</w:t>
      </w:r>
    </w:p>
    <w:p>
      <w:pPr>
        <w:spacing w:after="0" w:line="162"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Board believes the best course of action for Martin Marietta at this time is to continue discussion with shareholders and review developing market practices in order to ensure that any significant change to the current governance framework involving proxy access is appropriately tailored and in the best interests of Martin Marietta and all shareholders.</w:t>
      </w:r>
    </w:p>
    <w:p>
      <w:pPr>
        <w:spacing w:after="0" w:line="24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4180" w:right="3520"/>
        <w:spacing w:after="0" w:line="254" w:lineRule="auto"/>
        <w:rPr>
          <w:sz w:val="20"/>
          <w:szCs w:val="20"/>
          <w:color w:val="auto"/>
        </w:rPr>
      </w:pPr>
      <w:r>
        <w:rPr>
          <w:rFonts w:ascii="Arial" w:cs="Arial" w:eastAsia="Arial" w:hAnsi="Arial"/>
          <w:sz w:val="25"/>
          <w:szCs w:val="25"/>
          <w:color w:val="007CBA"/>
        </w:rPr>
        <w:t>The Board Unanimously Recommends a Vote “</w:t>
      </w:r>
      <w:r>
        <w:rPr>
          <w:rFonts w:ascii="Arial" w:cs="Arial" w:eastAsia="Arial" w:hAnsi="Arial"/>
          <w:sz w:val="25"/>
          <w:szCs w:val="25"/>
          <w:b w:val="1"/>
          <w:bCs w:val="1"/>
          <w:color w:val="007CBA"/>
        </w:rPr>
        <w:t>AGAINST</w:t>
      </w:r>
      <w:r>
        <w:rPr>
          <w:rFonts w:ascii="Arial" w:cs="Arial" w:eastAsia="Arial" w:hAnsi="Arial"/>
          <w:sz w:val="25"/>
          <w:szCs w:val="25"/>
          <w:color w:val="007CBA"/>
        </w:rPr>
        <w:t>”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-502920</wp:posOffset>
            </wp:positionV>
            <wp:extent cx="325755" cy="3257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88265</wp:posOffset>
            </wp:positionV>
            <wp:extent cx="411480" cy="248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8"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bl>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440"/>
        <w:spacing w:after="0"/>
        <w:rPr>
          <w:sz w:val="20"/>
          <w:szCs w:val="20"/>
          <w:color w:val="auto"/>
        </w:rPr>
      </w:pPr>
      <w:r>
        <w:rPr>
          <w:rFonts w:ascii="Arial" w:cs="Arial" w:eastAsia="Arial" w:hAnsi="Arial"/>
          <w:sz w:val="43"/>
          <w:szCs w:val="43"/>
          <w:color w:val="auto"/>
        </w:rPr>
        <w:t>Securities Authorized for Issuance</w:t>
      </w:r>
    </w:p>
    <w:p>
      <w:pPr>
        <w:spacing w:after="0" w:line="7" w:lineRule="exact"/>
        <w:rPr>
          <w:sz w:val="20"/>
          <w:szCs w:val="20"/>
          <w:color w:val="auto"/>
        </w:rPr>
      </w:pPr>
    </w:p>
    <w:p>
      <w:pPr>
        <w:ind w:left="2420"/>
        <w:spacing w:after="0"/>
        <w:rPr>
          <w:sz w:val="20"/>
          <w:szCs w:val="20"/>
          <w:color w:val="auto"/>
        </w:rPr>
      </w:pPr>
      <w:r>
        <w:rPr>
          <w:rFonts w:ascii="Arial" w:cs="Arial" w:eastAsia="Arial" w:hAnsi="Arial"/>
          <w:sz w:val="43"/>
          <w:szCs w:val="43"/>
          <w:color w:val="auto"/>
        </w:rPr>
        <w:t>Under Equity Compensation Plans</w:t>
      </w: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table shows information as of December 31, 2016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spacing w:after="0"/>
              <w:rPr>
                <w:sz w:val="16"/>
                <w:szCs w:val="16"/>
                <w:color w:val="auto"/>
              </w:rPr>
            </w:pPr>
          </w:p>
        </w:tc>
        <w:tc>
          <w:tcPr>
            <w:tcW w:w="620" w:type="dxa"/>
            <w:vAlign w:val="bottom"/>
            <w:shd w:val="clear" w:color="auto" w:fill="007CBA"/>
          </w:tcPr>
          <w:p>
            <w:pPr>
              <w:spacing w:after="0"/>
              <w:rPr>
                <w:sz w:val="16"/>
                <w:szCs w:val="16"/>
                <w:color w:val="auto"/>
              </w:rPr>
            </w:pPr>
          </w:p>
        </w:tc>
        <w:tc>
          <w:tcPr>
            <w:tcW w:w="1720" w:type="dxa"/>
            <w:vAlign w:val="bottom"/>
            <w:tcBorders>
              <w:right w:val="single" w:sz="8" w:color="007CBA"/>
            </w:tcBorders>
            <w:shd w:val="clear" w:color="auto" w:fill="007CBA"/>
          </w:tcPr>
          <w:p>
            <w:pPr>
              <w:spacing w:after="0"/>
              <w:rPr>
                <w:sz w:val="16"/>
                <w:szCs w:val="16"/>
                <w:color w:val="auto"/>
              </w:rPr>
            </w:pP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0" w:type="dxa"/>
            <w:vAlign w:val="bottom"/>
          </w:tcPr>
          <w:p>
            <w:pPr>
              <w:spacing w:after="0"/>
              <w:rPr>
                <w:sz w:val="1"/>
                <w:szCs w:val="1"/>
                <w:color w:val="auto"/>
              </w:rPr>
            </w:pPr>
          </w:p>
        </w:tc>
      </w:tr>
      <w:tr>
        <w:trPr>
          <w:trHeight w:val="189"/>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spacing w:after="0"/>
              <w:rPr>
                <w:sz w:val="16"/>
                <w:szCs w:val="16"/>
                <w:color w:val="auto"/>
              </w:rPr>
            </w:pPr>
          </w:p>
        </w:tc>
        <w:tc>
          <w:tcPr>
            <w:tcW w:w="620" w:type="dxa"/>
            <w:vAlign w:val="bottom"/>
            <w:shd w:val="clear" w:color="auto" w:fill="007CBA"/>
          </w:tcPr>
          <w:p>
            <w:pPr>
              <w:spacing w:after="0"/>
              <w:rPr>
                <w:sz w:val="16"/>
                <w:szCs w:val="16"/>
                <w:color w:val="auto"/>
              </w:rPr>
            </w:pPr>
          </w:p>
        </w:tc>
        <w:tc>
          <w:tcPr>
            <w:tcW w:w="1720" w:type="dxa"/>
            <w:vAlign w:val="bottom"/>
            <w:tcBorders>
              <w:right w:val="single" w:sz="8" w:color="007CBA"/>
            </w:tcBorders>
            <w:shd w:val="clear" w:color="auto" w:fill="007CBA"/>
          </w:tcPr>
          <w:p>
            <w:pPr>
              <w:spacing w:after="0"/>
              <w:rPr>
                <w:sz w:val="16"/>
                <w:szCs w:val="16"/>
                <w:color w:val="auto"/>
              </w:rPr>
            </w:pP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remaining available</w:t>
            </w:r>
          </w:p>
        </w:tc>
        <w:tc>
          <w:tcPr>
            <w:tcW w:w="0" w:type="dxa"/>
            <w:vAlign w:val="bottom"/>
          </w:tcPr>
          <w:p>
            <w:pPr>
              <w:spacing w:after="0"/>
              <w:rPr>
                <w:sz w:val="1"/>
                <w:szCs w:val="1"/>
                <w:color w:val="auto"/>
              </w:rPr>
            </w:pPr>
          </w:p>
        </w:tc>
      </w:tr>
      <w:tr>
        <w:trPr>
          <w:trHeight w:val="189"/>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620" w:type="dxa"/>
            <w:vAlign w:val="bottom"/>
            <w:shd w:val="clear" w:color="auto" w:fill="007CBA"/>
          </w:tcPr>
          <w:p>
            <w:pPr>
              <w:spacing w:after="0"/>
              <w:rPr>
                <w:sz w:val="16"/>
                <w:szCs w:val="16"/>
                <w:color w:val="auto"/>
              </w:rPr>
            </w:pPr>
          </w:p>
        </w:tc>
        <w:tc>
          <w:tcPr>
            <w:tcW w:w="1720" w:type="dxa"/>
            <w:vAlign w:val="bottom"/>
            <w:tcBorders>
              <w:right w:val="single" w:sz="8" w:color="007CBA"/>
            </w:tcBorders>
            <w:shd w:val="clear" w:color="auto" w:fill="007CBA"/>
          </w:tcPr>
          <w:p>
            <w:pPr>
              <w:spacing w:after="0"/>
              <w:rPr>
                <w:sz w:val="16"/>
                <w:szCs w:val="16"/>
                <w:color w:val="auto"/>
              </w:rPr>
            </w:pP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for future issuance</w:t>
            </w:r>
          </w:p>
        </w:tc>
        <w:tc>
          <w:tcPr>
            <w:tcW w:w="0" w:type="dxa"/>
            <w:vAlign w:val="bottom"/>
          </w:tcPr>
          <w:p>
            <w:pPr>
              <w:spacing w:after="0"/>
              <w:rPr>
                <w:sz w:val="1"/>
                <w:szCs w:val="1"/>
                <w:color w:val="auto"/>
              </w:rPr>
            </w:pPr>
          </w:p>
        </w:tc>
      </w:tr>
      <w:tr>
        <w:trPr>
          <w:trHeight w:val="189"/>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to be issued upon</w:t>
            </w:r>
          </w:p>
        </w:tc>
        <w:tc>
          <w:tcPr>
            <w:tcW w:w="2340" w:type="dxa"/>
            <w:vAlign w:val="bottom"/>
            <w:tcBorders>
              <w:right w:val="single" w:sz="8" w:color="007CBA"/>
            </w:tcBorders>
            <w:gridSpan w:val="2"/>
            <w:shd w:val="clear" w:color="auto" w:fill="007CBA"/>
          </w:tcPr>
          <w:p>
            <w:pPr>
              <w:ind w:left="460"/>
              <w:spacing w:after="0"/>
              <w:rPr>
                <w:sz w:val="20"/>
                <w:szCs w:val="20"/>
                <w:color w:val="auto"/>
              </w:rPr>
            </w:pPr>
            <w:r>
              <w:rPr>
                <w:rFonts w:ascii="Arial" w:cs="Arial" w:eastAsia="Arial" w:hAnsi="Arial"/>
                <w:sz w:val="16"/>
                <w:szCs w:val="16"/>
                <w:b w:val="1"/>
                <w:bCs w:val="1"/>
                <w:color w:val="FFFFFF"/>
              </w:rPr>
              <w:t>Weighted-average</w:t>
            </w: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under equity</w:t>
            </w:r>
          </w:p>
        </w:tc>
        <w:tc>
          <w:tcPr>
            <w:tcW w:w="0" w:type="dxa"/>
            <w:vAlign w:val="bottom"/>
          </w:tcPr>
          <w:p>
            <w:pPr>
              <w:spacing w:after="0"/>
              <w:rPr>
                <w:sz w:val="1"/>
                <w:szCs w:val="1"/>
                <w:color w:val="auto"/>
              </w:rPr>
            </w:pPr>
          </w:p>
        </w:tc>
      </w:tr>
      <w:tr>
        <w:trPr>
          <w:trHeight w:val="189"/>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exercise of</w:t>
            </w:r>
          </w:p>
        </w:tc>
        <w:tc>
          <w:tcPr>
            <w:tcW w:w="23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compensation plans</w:t>
            </w:r>
          </w:p>
        </w:tc>
        <w:tc>
          <w:tcPr>
            <w:tcW w:w="0" w:type="dxa"/>
            <w:vAlign w:val="bottom"/>
          </w:tcPr>
          <w:p>
            <w:pPr>
              <w:spacing w:after="0"/>
              <w:rPr>
                <w:sz w:val="1"/>
                <w:szCs w:val="1"/>
                <w:color w:val="auto"/>
              </w:rPr>
            </w:pPr>
          </w:p>
        </w:tc>
      </w:tr>
      <w:tr>
        <w:trPr>
          <w:trHeight w:val="189"/>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outstanding</w:t>
            </w:r>
          </w:p>
        </w:tc>
        <w:tc>
          <w:tcPr>
            <w:tcW w:w="620" w:type="dxa"/>
            <w:vAlign w:val="bottom"/>
            <w:shd w:val="clear" w:color="auto" w:fill="007CBA"/>
          </w:tcPr>
          <w:p>
            <w:pPr>
              <w:spacing w:after="0"/>
              <w:rPr>
                <w:sz w:val="16"/>
                <w:szCs w:val="16"/>
                <w:color w:val="auto"/>
              </w:rPr>
            </w:pPr>
          </w:p>
        </w:tc>
        <w:tc>
          <w:tcPr>
            <w:tcW w:w="1720" w:type="dxa"/>
            <w:vAlign w:val="bottom"/>
            <w:tcBorders>
              <w:right w:val="single" w:sz="8" w:color="007CBA"/>
            </w:tcBorders>
            <w:shd w:val="clear" w:color="auto" w:fill="007CBA"/>
          </w:tcPr>
          <w:p>
            <w:pPr>
              <w:jc w:val="center"/>
              <w:ind w:right="580"/>
              <w:spacing w:after="0"/>
              <w:rPr>
                <w:sz w:val="20"/>
                <w:szCs w:val="20"/>
                <w:color w:val="auto"/>
              </w:rPr>
            </w:pPr>
            <w:r>
              <w:rPr>
                <w:rFonts w:ascii="Arial" w:cs="Arial" w:eastAsia="Arial" w:hAnsi="Arial"/>
                <w:sz w:val="16"/>
                <w:szCs w:val="16"/>
                <w:b w:val="1"/>
                <w:bCs w:val="1"/>
                <w:color w:val="FFFFFF"/>
              </w:rPr>
              <w:t>outstanding</w:t>
            </w: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(excluding securities</w:t>
            </w:r>
          </w:p>
        </w:tc>
        <w:tc>
          <w:tcPr>
            <w:tcW w:w="0" w:type="dxa"/>
            <w:vAlign w:val="bottom"/>
          </w:tcPr>
          <w:p>
            <w:pPr>
              <w:spacing w:after="0"/>
              <w:rPr>
                <w:sz w:val="1"/>
                <w:szCs w:val="1"/>
                <w:color w:val="auto"/>
              </w:rPr>
            </w:pPr>
          </w:p>
        </w:tc>
      </w:tr>
      <w:tr>
        <w:trPr>
          <w:trHeight w:val="189"/>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2340" w:type="dxa"/>
            <w:vAlign w:val="bottom"/>
            <w:tcBorders>
              <w:right w:val="single" w:sz="8" w:color="007CBA"/>
            </w:tcBorders>
            <w:gridSpan w:val="2"/>
            <w:shd w:val="clear" w:color="auto" w:fill="007CBA"/>
          </w:tcPr>
          <w:p>
            <w:pPr>
              <w:ind w:left="460"/>
              <w:spacing w:after="0"/>
              <w:rPr>
                <w:sz w:val="20"/>
                <w:szCs w:val="20"/>
                <w:color w:val="auto"/>
              </w:rPr>
            </w:pPr>
            <w:r>
              <w:rPr>
                <w:rFonts w:ascii="Arial" w:cs="Arial" w:eastAsia="Arial" w:hAnsi="Arial"/>
                <w:sz w:val="16"/>
                <w:szCs w:val="16"/>
                <w:b w:val="1"/>
                <w:bCs w:val="1"/>
                <w:color w:val="FFFFFF"/>
              </w:rPr>
              <w:t>options, warrants,</w:t>
            </w: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reflected in column</w:t>
            </w:r>
          </w:p>
        </w:tc>
        <w:tc>
          <w:tcPr>
            <w:tcW w:w="0" w:type="dxa"/>
            <w:vAlign w:val="bottom"/>
          </w:tcPr>
          <w:p>
            <w:pPr>
              <w:spacing w:after="0"/>
              <w:rPr>
                <w:sz w:val="1"/>
                <w:szCs w:val="1"/>
                <w:color w:val="auto"/>
              </w:rPr>
            </w:pPr>
          </w:p>
        </w:tc>
      </w:tr>
      <w:tr>
        <w:trPr>
          <w:trHeight w:val="188"/>
        </w:trPr>
        <w:tc>
          <w:tcPr>
            <w:tcW w:w="3900" w:type="dxa"/>
            <w:vAlign w:val="bottom"/>
            <w:tcBorders>
              <w:right w:val="single" w:sz="8" w:color="007CBA"/>
            </w:tcBorders>
            <w:shd w:val="clear" w:color="auto" w:fill="007CBA"/>
          </w:tcPr>
          <w:p>
            <w:pPr>
              <w:spacing w:after="0"/>
              <w:rPr>
                <w:sz w:val="16"/>
                <w:szCs w:val="16"/>
                <w:color w:val="auto"/>
              </w:rPr>
            </w:pP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and rights</w:t>
            </w:r>
          </w:p>
        </w:tc>
        <w:tc>
          <w:tcPr>
            <w:tcW w:w="620" w:type="dxa"/>
            <w:vAlign w:val="bottom"/>
            <w:shd w:val="clear" w:color="auto" w:fill="007CBA"/>
          </w:tcPr>
          <w:p>
            <w:pPr>
              <w:spacing w:after="0"/>
              <w:rPr>
                <w:sz w:val="16"/>
                <w:szCs w:val="16"/>
                <w:color w:val="auto"/>
              </w:rPr>
            </w:pPr>
          </w:p>
        </w:tc>
        <w:tc>
          <w:tcPr>
            <w:tcW w:w="1720" w:type="dxa"/>
            <w:vAlign w:val="bottom"/>
            <w:tcBorders>
              <w:right w:val="single" w:sz="8" w:color="007CBA"/>
            </w:tcBorders>
            <w:shd w:val="clear" w:color="auto" w:fill="007CBA"/>
          </w:tcPr>
          <w:p>
            <w:pPr>
              <w:jc w:val="center"/>
              <w:ind w:right="580"/>
              <w:spacing w:after="0"/>
              <w:rPr>
                <w:sz w:val="20"/>
                <w:szCs w:val="20"/>
                <w:color w:val="auto"/>
              </w:rPr>
            </w:pPr>
            <w:r>
              <w:rPr>
                <w:rFonts w:ascii="Arial" w:cs="Arial" w:eastAsia="Arial" w:hAnsi="Arial"/>
                <w:sz w:val="16"/>
                <w:szCs w:val="16"/>
                <w:b w:val="1"/>
                <w:bCs w:val="1"/>
                <w:color w:val="FFFFFF"/>
              </w:rPr>
              <w:t>and rights</w:t>
            </w: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rPr>
              <w:t>(a))</w:t>
            </w:r>
          </w:p>
        </w:tc>
        <w:tc>
          <w:tcPr>
            <w:tcW w:w="0" w:type="dxa"/>
            <w:vAlign w:val="bottom"/>
          </w:tcPr>
          <w:p>
            <w:pPr>
              <w:spacing w:after="0"/>
              <w:rPr>
                <w:sz w:val="1"/>
                <w:szCs w:val="1"/>
                <w:color w:val="auto"/>
              </w:rPr>
            </w:pPr>
          </w:p>
        </w:tc>
      </w:tr>
      <w:tr>
        <w:trPr>
          <w:trHeight w:val="222"/>
        </w:trPr>
        <w:tc>
          <w:tcPr>
            <w:tcW w:w="39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Plan Category</w:t>
            </w:r>
          </w:p>
        </w:tc>
        <w:tc>
          <w:tcPr>
            <w:tcW w:w="2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(a)</w:t>
            </w:r>
          </w:p>
        </w:tc>
        <w:tc>
          <w:tcPr>
            <w:tcW w:w="620" w:type="dxa"/>
            <w:vAlign w:val="bottom"/>
            <w:shd w:val="clear" w:color="auto" w:fill="007CBA"/>
          </w:tcPr>
          <w:p>
            <w:pPr>
              <w:spacing w:after="0"/>
              <w:rPr>
                <w:sz w:val="19"/>
                <w:szCs w:val="19"/>
                <w:color w:val="auto"/>
              </w:rPr>
            </w:pPr>
          </w:p>
        </w:tc>
        <w:tc>
          <w:tcPr>
            <w:tcW w:w="1720" w:type="dxa"/>
            <w:vAlign w:val="bottom"/>
            <w:tcBorders>
              <w:right w:val="single" w:sz="8" w:color="007CBA"/>
            </w:tcBorders>
            <w:shd w:val="clear" w:color="auto" w:fill="007CBA"/>
          </w:tcPr>
          <w:p>
            <w:pPr>
              <w:jc w:val="center"/>
              <w:ind w:right="560"/>
              <w:spacing w:after="0" w:line="222" w:lineRule="exact"/>
              <w:rPr>
                <w:sz w:val="20"/>
                <w:szCs w:val="20"/>
                <w:color w:val="auto"/>
              </w:rPr>
            </w:pPr>
            <w:r>
              <w:rPr>
                <w:rFonts w:ascii="Arial" w:cs="Arial" w:eastAsia="Arial" w:hAnsi="Arial"/>
                <w:sz w:val="15"/>
                <w:szCs w:val="15"/>
                <w:b w:val="1"/>
                <w:bCs w:val="1"/>
                <w:color w:val="FFFFFF"/>
                <w:w w:val="98"/>
              </w:rPr>
              <w:t>(b)</w:t>
            </w:r>
            <w:r>
              <w:rPr>
                <w:rFonts w:ascii="Arial" w:cs="Arial" w:eastAsia="Arial" w:hAnsi="Arial"/>
                <w:sz w:val="25"/>
                <w:szCs w:val="25"/>
                <w:b w:val="1"/>
                <w:bCs w:val="1"/>
                <w:color w:val="FFFFFF"/>
                <w:w w:val="98"/>
                <w:vertAlign w:val="superscript"/>
              </w:rPr>
              <w:t>3</w:t>
            </w:r>
          </w:p>
        </w:tc>
        <w:tc>
          <w:tcPr>
            <w:tcW w:w="2580" w:type="dxa"/>
            <w:vAlign w:val="bottom"/>
            <w:shd w:val="clear" w:color="auto" w:fill="007CBA"/>
          </w:tcPr>
          <w:p>
            <w:pPr>
              <w:jc w:val="center"/>
              <w:spacing w:after="0"/>
              <w:rPr>
                <w:sz w:val="20"/>
                <w:szCs w:val="20"/>
                <w:color w:val="auto"/>
              </w:rPr>
            </w:pPr>
            <w:r>
              <w:rPr>
                <w:rFonts w:ascii="Arial" w:cs="Arial" w:eastAsia="Arial" w:hAnsi="Arial"/>
                <w:sz w:val="16"/>
                <w:szCs w:val="16"/>
                <w:b w:val="1"/>
                <w:bCs w:val="1"/>
                <w:color w:val="FFFFFF"/>
                <w:w w:val="91"/>
              </w:rPr>
              <w:t>(c)</w:t>
            </w:r>
          </w:p>
        </w:tc>
        <w:tc>
          <w:tcPr>
            <w:tcW w:w="0" w:type="dxa"/>
            <w:vAlign w:val="bottom"/>
          </w:tcPr>
          <w:p>
            <w:pPr>
              <w:spacing w:after="0"/>
              <w:rPr>
                <w:sz w:val="1"/>
                <w:szCs w:val="1"/>
                <w:color w:val="auto"/>
              </w:rPr>
            </w:pPr>
          </w:p>
        </w:tc>
      </w:tr>
      <w:tr>
        <w:trPr>
          <w:trHeight w:val="191"/>
        </w:trPr>
        <w:tc>
          <w:tcPr>
            <w:tcW w:w="39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Equity compensation plans approved by</w:t>
            </w:r>
          </w:p>
        </w:tc>
        <w:tc>
          <w:tcPr>
            <w:tcW w:w="2600" w:type="dxa"/>
            <w:vAlign w:val="bottom"/>
            <w:tcBorders>
              <w:right w:val="single" w:sz="8" w:color="007CBA"/>
            </w:tcBorders>
            <w:vMerge w:val="restart"/>
            <w:shd w:val="clear" w:color="auto" w:fill="E5F1F8"/>
          </w:tcPr>
          <w:p>
            <w:pPr>
              <w:ind w:left="1500"/>
              <w:spacing w:after="0"/>
              <w:rPr>
                <w:sz w:val="20"/>
                <w:szCs w:val="20"/>
                <w:color w:val="auto"/>
              </w:rPr>
            </w:pPr>
            <w:r>
              <w:rPr>
                <w:rFonts w:ascii="Arial" w:cs="Arial" w:eastAsia="Arial" w:hAnsi="Arial"/>
                <w:sz w:val="16"/>
                <w:szCs w:val="16"/>
                <w:color w:val="auto"/>
              </w:rPr>
              <w:t>735,592</w:t>
            </w:r>
            <w:r>
              <w:rPr>
                <w:rFonts w:ascii="Arial" w:cs="Arial" w:eastAsia="Arial" w:hAnsi="Arial"/>
                <w:sz w:val="27"/>
                <w:szCs w:val="27"/>
                <w:color w:val="auto"/>
                <w:vertAlign w:val="superscript"/>
              </w:rPr>
              <w:t>1</w:t>
            </w:r>
          </w:p>
        </w:tc>
        <w:tc>
          <w:tcPr>
            <w:tcW w:w="620" w:type="dxa"/>
            <w:vAlign w:val="bottom"/>
            <w:shd w:val="clear" w:color="auto" w:fill="E5F1F8"/>
          </w:tcPr>
          <w:p>
            <w:pPr>
              <w:spacing w:after="0"/>
              <w:rPr>
                <w:sz w:val="16"/>
                <w:szCs w:val="16"/>
                <w:color w:val="auto"/>
              </w:rPr>
            </w:pPr>
          </w:p>
        </w:tc>
        <w:tc>
          <w:tcPr>
            <w:tcW w:w="1720" w:type="dxa"/>
            <w:vAlign w:val="bottom"/>
            <w:tcBorders>
              <w:right w:val="single" w:sz="8" w:color="007CBA"/>
            </w:tcBorders>
            <w:shd w:val="clear" w:color="auto" w:fill="E5F1F8"/>
          </w:tcPr>
          <w:p>
            <w:pPr>
              <w:spacing w:after="0"/>
              <w:rPr>
                <w:sz w:val="16"/>
                <w:szCs w:val="16"/>
                <w:color w:val="auto"/>
              </w:rPr>
            </w:pPr>
          </w:p>
        </w:tc>
        <w:tc>
          <w:tcPr>
            <w:tcW w:w="2580" w:type="dxa"/>
            <w:vAlign w:val="bottom"/>
            <w:vMerge w:val="restart"/>
            <w:shd w:val="clear" w:color="auto" w:fill="E5F1F8"/>
          </w:tcPr>
          <w:p>
            <w:pPr>
              <w:jc w:val="right"/>
              <w:ind w:right="339"/>
              <w:spacing w:after="0"/>
              <w:rPr>
                <w:sz w:val="20"/>
                <w:szCs w:val="20"/>
                <w:color w:val="auto"/>
              </w:rPr>
            </w:pPr>
            <w:r>
              <w:rPr>
                <w:rFonts w:ascii="Arial" w:cs="Arial" w:eastAsia="Arial" w:hAnsi="Arial"/>
                <w:sz w:val="16"/>
                <w:szCs w:val="16"/>
                <w:color w:val="auto"/>
              </w:rPr>
              <w:t>911,345</w:t>
            </w:r>
            <w:r>
              <w:rPr>
                <w:rFonts w:ascii="Arial" w:cs="Arial" w:eastAsia="Arial" w:hAnsi="Arial"/>
                <w:sz w:val="27"/>
                <w:szCs w:val="27"/>
                <w:color w:val="auto"/>
                <w:vertAlign w:val="superscript"/>
              </w:rPr>
              <w:t>4</w:t>
            </w:r>
          </w:p>
        </w:tc>
        <w:tc>
          <w:tcPr>
            <w:tcW w:w="0" w:type="dxa"/>
            <w:vAlign w:val="bottom"/>
          </w:tcPr>
          <w:p>
            <w:pPr>
              <w:spacing w:after="0"/>
              <w:rPr>
                <w:sz w:val="1"/>
                <w:szCs w:val="1"/>
                <w:color w:val="auto"/>
              </w:rPr>
            </w:pPr>
          </w:p>
        </w:tc>
      </w:tr>
      <w:tr>
        <w:trPr>
          <w:trHeight w:val="187"/>
        </w:trPr>
        <w:tc>
          <w:tcPr>
            <w:tcW w:w="39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shareholders</w:t>
            </w:r>
          </w:p>
        </w:tc>
        <w:tc>
          <w:tcPr>
            <w:tcW w:w="2600" w:type="dxa"/>
            <w:vAlign w:val="bottom"/>
            <w:tcBorders>
              <w:right w:val="single" w:sz="8" w:color="007CBA"/>
            </w:tcBorders>
            <w:vMerge w:val="continue"/>
            <w:shd w:val="clear" w:color="auto" w:fill="E5F1F8"/>
          </w:tcPr>
          <w:p>
            <w:pPr>
              <w:spacing w:after="0"/>
              <w:rPr>
                <w:sz w:val="16"/>
                <w:szCs w:val="16"/>
                <w:color w:val="auto"/>
              </w:rPr>
            </w:pPr>
          </w:p>
        </w:tc>
        <w:tc>
          <w:tcPr>
            <w:tcW w:w="620" w:type="dxa"/>
            <w:vAlign w:val="bottom"/>
            <w:shd w:val="clear" w:color="auto" w:fill="E5F1F8"/>
          </w:tcPr>
          <w:p>
            <w:pPr>
              <w:ind w:left="440"/>
              <w:spacing w:after="0"/>
              <w:rPr>
                <w:sz w:val="20"/>
                <w:szCs w:val="20"/>
                <w:color w:val="auto"/>
              </w:rPr>
            </w:pPr>
            <w:r>
              <w:rPr>
                <w:rFonts w:ascii="Arial" w:cs="Arial" w:eastAsia="Arial" w:hAnsi="Arial"/>
                <w:sz w:val="16"/>
                <w:szCs w:val="16"/>
                <w:color w:val="auto"/>
              </w:rPr>
              <w:t>$</w:t>
            </w:r>
          </w:p>
        </w:tc>
        <w:tc>
          <w:tcPr>
            <w:tcW w:w="1720" w:type="dxa"/>
            <w:vAlign w:val="bottom"/>
            <w:tcBorders>
              <w:right w:val="single" w:sz="8" w:color="007CBA"/>
            </w:tcBorders>
            <w:shd w:val="clear" w:color="auto" w:fill="E5F1F8"/>
          </w:tcPr>
          <w:p>
            <w:pPr>
              <w:jc w:val="right"/>
              <w:ind w:right="400"/>
              <w:spacing w:after="0"/>
              <w:rPr>
                <w:sz w:val="20"/>
                <w:szCs w:val="20"/>
                <w:color w:val="auto"/>
              </w:rPr>
            </w:pPr>
            <w:r>
              <w:rPr>
                <w:rFonts w:ascii="Arial" w:cs="Arial" w:eastAsia="Arial" w:hAnsi="Arial"/>
                <w:sz w:val="16"/>
                <w:szCs w:val="16"/>
                <w:color w:val="auto"/>
              </w:rPr>
              <w:t>106.03</w:t>
            </w:r>
          </w:p>
        </w:tc>
        <w:tc>
          <w:tcPr>
            <w:tcW w:w="2580" w:type="dxa"/>
            <w:vAlign w:val="bottom"/>
            <w:vMerge w:val="continue"/>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Equity compensation plans not approved by</w:t>
            </w:r>
          </w:p>
        </w:tc>
        <w:tc>
          <w:tcPr>
            <w:tcW w:w="2600" w:type="dxa"/>
            <w:vAlign w:val="bottom"/>
            <w:tcBorders>
              <w:right w:val="single" w:sz="8" w:color="007CBA"/>
            </w:tcBorders>
            <w:vMerge w:val="restart"/>
          </w:tcPr>
          <w:p>
            <w:pPr>
              <w:ind w:left="1500"/>
              <w:spacing w:after="0"/>
              <w:rPr>
                <w:sz w:val="20"/>
                <w:szCs w:val="20"/>
                <w:color w:val="auto"/>
              </w:rPr>
            </w:pPr>
            <w:r>
              <w:rPr>
                <w:rFonts w:ascii="Arial" w:cs="Arial" w:eastAsia="Arial" w:hAnsi="Arial"/>
                <w:sz w:val="16"/>
                <w:szCs w:val="16"/>
                <w:color w:val="auto"/>
              </w:rPr>
              <w:t>141,374</w:t>
            </w:r>
            <w:r>
              <w:rPr>
                <w:rFonts w:ascii="Arial" w:cs="Arial" w:eastAsia="Arial" w:hAnsi="Arial"/>
                <w:sz w:val="27"/>
                <w:szCs w:val="27"/>
                <w:color w:val="auto"/>
                <w:vertAlign w:val="superscript"/>
              </w:rPr>
              <w:t>2</w:t>
            </w:r>
          </w:p>
        </w:tc>
        <w:tc>
          <w:tcPr>
            <w:tcW w:w="620" w:type="dxa"/>
            <w:vAlign w:val="bottom"/>
          </w:tcPr>
          <w:p>
            <w:pPr>
              <w:spacing w:after="0"/>
              <w:rPr>
                <w:sz w:val="16"/>
                <w:szCs w:val="16"/>
                <w:color w:val="auto"/>
              </w:rPr>
            </w:pPr>
          </w:p>
        </w:tc>
        <w:tc>
          <w:tcPr>
            <w:tcW w:w="1720" w:type="dxa"/>
            <w:vAlign w:val="bottom"/>
            <w:tcBorders>
              <w:right w:val="single" w:sz="8" w:color="007CBA"/>
            </w:tcBorders>
          </w:tcPr>
          <w:p>
            <w:pPr>
              <w:spacing w:after="0"/>
              <w:rPr>
                <w:sz w:val="16"/>
                <w:szCs w:val="16"/>
                <w:color w:val="auto"/>
              </w:rPr>
            </w:pPr>
          </w:p>
        </w:tc>
        <w:tc>
          <w:tcPr>
            <w:tcW w:w="2580" w:type="dxa"/>
            <w:vAlign w:val="bottom"/>
            <w:vMerge w:val="restart"/>
          </w:tcPr>
          <w:p>
            <w:pPr>
              <w:jc w:val="right"/>
              <w:ind w:right="339"/>
              <w:spacing w:after="0"/>
              <w:rPr>
                <w:sz w:val="20"/>
                <w:szCs w:val="20"/>
                <w:color w:val="auto"/>
              </w:rPr>
            </w:pPr>
            <w:r>
              <w:rPr>
                <w:rFonts w:ascii="Arial" w:cs="Arial" w:eastAsia="Arial" w:hAnsi="Arial"/>
                <w:sz w:val="16"/>
                <w:szCs w:val="16"/>
                <w:color w:val="auto"/>
              </w:rPr>
              <w:t>0</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187"/>
        </w:trPr>
        <w:tc>
          <w:tcPr>
            <w:tcW w:w="39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shareholders</w:t>
            </w:r>
          </w:p>
        </w:tc>
        <w:tc>
          <w:tcPr>
            <w:tcW w:w="2600" w:type="dxa"/>
            <w:vAlign w:val="bottom"/>
            <w:tcBorders>
              <w:right w:val="single" w:sz="8" w:color="007CBA"/>
            </w:tcBorders>
            <w:vMerge w:val="continue"/>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rPr>
              <w:t>$</w:t>
            </w:r>
          </w:p>
        </w:tc>
        <w:tc>
          <w:tcPr>
            <w:tcW w:w="1720" w:type="dxa"/>
            <w:vAlign w:val="bottom"/>
            <w:tcBorders>
              <w:right w:val="single" w:sz="8" w:color="007CBA"/>
            </w:tcBorders>
          </w:tcPr>
          <w:p>
            <w:pPr>
              <w:jc w:val="right"/>
              <w:ind w:right="400"/>
              <w:spacing w:after="0"/>
              <w:rPr>
                <w:sz w:val="20"/>
                <w:szCs w:val="20"/>
                <w:color w:val="auto"/>
              </w:rPr>
            </w:pPr>
            <w:r>
              <w:rPr>
                <w:rFonts w:ascii="Arial" w:cs="Arial" w:eastAsia="Arial" w:hAnsi="Arial"/>
                <w:sz w:val="16"/>
                <w:szCs w:val="16"/>
                <w:color w:val="auto"/>
              </w:rPr>
              <w:t>57.63</w:t>
            </w: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TOTAL</w:t>
            </w:r>
          </w:p>
        </w:tc>
        <w:tc>
          <w:tcPr>
            <w:tcW w:w="2600" w:type="dxa"/>
            <w:vAlign w:val="bottom"/>
            <w:tcBorders>
              <w:bottom w:val="single" w:sz="8" w:color="007CBA"/>
              <w:right w:val="single" w:sz="8" w:color="007CBA"/>
            </w:tcBorders>
            <w:shd w:val="clear" w:color="auto" w:fill="E5F1F8"/>
          </w:tcPr>
          <w:p>
            <w:pPr>
              <w:ind w:left="1500"/>
              <w:spacing w:after="0"/>
              <w:rPr>
                <w:sz w:val="20"/>
                <w:szCs w:val="20"/>
                <w:color w:val="auto"/>
              </w:rPr>
            </w:pPr>
            <w:r>
              <w:rPr>
                <w:rFonts w:ascii="Arial" w:cs="Arial" w:eastAsia="Arial" w:hAnsi="Arial"/>
                <w:sz w:val="16"/>
                <w:szCs w:val="16"/>
                <w:color w:val="auto"/>
              </w:rPr>
              <w:t>876,966</w:t>
            </w:r>
          </w:p>
        </w:tc>
        <w:tc>
          <w:tcPr>
            <w:tcW w:w="620" w:type="dxa"/>
            <w:vAlign w:val="bottom"/>
            <w:tcBorders>
              <w:bottom w:val="single" w:sz="8" w:color="007CBA"/>
            </w:tcBorders>
            <w:shd w:val="clear" w:color="auto" w:fill="E5F1F8"/>
          </w:tcPr>
          <w:p>
            <w:pPr>
              <w:ind w:left="4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007CBA"/>
              <w:right w:val="single" w:sz="8" w:color="007CBA"/>
            </w:tcBorders>
            <w:shd w:val="clear" w:color="auto" w:fill="E5F1F8"/>
          </w:tcPr>
          <w:p>
            <w:pPr>
              <w:jc w:val="right"/>
              <w:ind w:right="400"/>
              <w:spacing w:after="0"/>
              <w:rPr>
                <w:sz w:val="20"/>
                <w:szCs w:val="20"/>
                <w:color w:val="auto"/>
              </w:rPr>
            </w:pPr>
            <w:r>
              <w:rPr>
                <w:rFonts w:ascii="Arial" w:cs="Arial" w:eastAsia="Arial" w:hAnsi="Arial"/>
                <w:sz w:val="16"/>
                <w:szCs w:val="16"/>
                <w:color w:val="auto"/>
              </w:rPr>
              <w:t>93.11</w:t>
            </w:r>
          </w:p>
        </w:tc>
        <w:tc>
          <w:tcPr>
            <w:tcW w:w="2580" w:type="dxa"/>
            <w:vAlign w:val="bottom"/>
            <w:tcBorders>
              <w:bottom w:val="single" w:sz="8" w:color="007CBA"/>
            </w:tcBorders>
            <w:shd w:val="clear" w:color="auto" w:fill="E5F1F8"/>
          </w:tcPr>
          <w:p>
            <w:pPr>
              <w:jc w:val="right"/>
              <w:ind w:right="419"/>
              <w:spacing w:after="0"/>
              <w:rPr>
                <w:sz w:val="20"/>
                <w:szCs w:val="20"/>
                <w:color w:val="auto"/>
              </w:rPr>
            </w:pPr>
            <w:r>
              <w:rPr>
                <w:rFonts w:ascii="Arial" w:cs="Arial" w:eastAsia="Arial" w:hAnsi="Arial"/>
                <w:sz w:val="16"/>
                <w:szCs w:val="16"/>
                <w:color w:val="auto"/>
              </w:rPr>
              <w:t>911,345</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226" w:lineRule="auto"/>
        <w:tabs>
          <w:tab w:leader="none" w:pos="340" w:val="left"/>
        </w:tabs>
        <w:numPr>
          <w:ilvl w:val="0"/>
          <w:numId w:val="127"/>
        </w:numPr>
        <w:rPr>
          <w:rFonts w:ascii="Arial" w:cs="Arial" w:eastAsia="Arial" w:hAnsi="Arial"/>
          <w:sz w:val="11"/>
          <w:szCs w:val="11"/>
          <w:color w:val="auto"/>
        </w:rPr>
      </w:pPr>
      <w:r>
        <w:rPr>
          <w:rFonts w:ascii="Arial" w:cs="Arial" w:eastAsia="Arial" w:hAnsi="Arial"/>
          <w:sz w:val="14"/>
          <w:szCs w:val="14"/>
          <w:color w:val="auto"/>
        </w:rPr>
        <w:t>Includes 287,678 stock options that have a weighted-average exercise price of $108.07; 407,586 restricted stock units that have a $0 exercise price; and 40,328 stock units granted in accordance with Martin Marietta’s Incentive Stock Plan that are credited to participants at an average weighted cost of $91.51.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69"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1"/>
          <w:szCs w:val="11"/>
          <w:color w:val="auto"/>
        </w:rPr>
      </w:pPr>
      <w:r>
        <w:rPr>
          <w:rFonts w:ascii="Arial" w:cs="Arial" w:eastAsia="Arial" w:hAnsi="Arial"/>
          <w:sz w:val="14"/>
          <w:szCs w:val="14"/>
          <w:color w:val="auto"/>
        </w:rPr>
        <w:t>Represents stock options and restricted stock units granted to legacy Texas Industries, Inc. (“TXI”) employees and employees hired after July 1, 2014.</w:t>
      </w:r>
    </w:p>
    <w:p>
      <w:pPr>
        <w:spacing w:after="0" w:line="6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3</w:t>
      </w:r>
      <w:r>
        <w:rPr>
          <w:rFonts w:ascii="Arial" w:cs="Arial" w:eastAsia="Arial" w:hAnsi="Arial"/>
          <w:sz w:val="12"/>
          <w:szCs w:val="12"/>
          <w:color w:val="auto"/>
        </w:rPr>
        <w:t>The weighted-average exercise price does not take into account the restricted stock units and stock units for which there is no exercise price.</w:t>
      </w:r>
    </w:p>
    <w:p>
      <w:pPr>
        <w:spacing w:after="0" w:line="92" w:lineRule="exact"/>
        <w:rPr>
          <w:sz w:val="20"/>
          <w:szCs w:val="20"/>
          <w:color w:val="auto"/>
        </w:rPr>
      </w:pPr>
    </w:p>
    <w:p>
      <w:pPr>
        <w:jc w:val="both"/>
        <w:ind w:left="340" w:hanging="332"/>
        <w:spacing w:after="0" w:line="225" w:lineRule="auto"/>
        <w:tabs>
          <w:tab w:leader="none" w:pos="340" w:val="left"/>
        </w:tabs>
        <w:numPr>
          <w:ilvl w:val="0"/>
          <w:numId w:val="129"/>
        </w:numPr>
        <w:rPr>
          <w:rFonts w:ascii="Arial" w:cs="Arial" w:eastAsia="Arial" w:hAnsi="Arial"/>
          <w:sz w:val="11"/>
          <w:szCs w:val="11"/>
          <w:color w:val="auto"/>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2016 in the following amounts: Directors’ Plan (148,720 shares), Stock-Based Award Plan (911,345 shares), and Shareholder Value Achievement Plan (207,975 shares). Also excludes Texas Industries Inc. stock-based award plans (1,861,288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69" w:lineRule="exact"/>
        <w:rPr>
          <w:sz w:val="20"/>
          <w:szCs w:val="20"/>
          <w:color w:val="auto"/>
        </w:rPr>
      </w:pPr>
    </w:p>
    <w:p>
      <w:pPr>
        <w:jc w:val="both"/>
        <w:ind w:left="340" w:hanging="332"/>
        <w:spacing w:after="0" w:line="228" w:lineRule="auto"/>
        <w:tabs>
          <w:tab w:leader="none" w:pos="34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There are 1,842,476 shares of Martin Marietta’s common stock available for issuance to legacy TXI employees. These shares will be used to settle currently outstanding awards but no further awards will be granted for these shares, as indicated by management in connection with the approval by shareholders of the Amended and Restated Stock-Based Award Plan on May 19, 2016.</w:t>
      </w:r>
    </w:p>
    <w:p>
      <w:pPr>
        <w:sectPr>
          <w:pgSz w:w="11900" w:h="16838" w:orient="portrait"/>
          <w:cols w:equalWidth="0" w:num="1">
            <w:col w:w="11420"/>
          </w:cols>
          <w:pgMar w:left="240" w:top="459" w:right="239" w:bottom="1440" w:gutter="0" w:footer="0" w:header="0"/>
        </w:sectPr>
      </w:pPr>
    </w:p>
    <w:p>
      <w:pPr>
        <w:spacing w:after="0" w:line="2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1, 2014, in conjunction with the merger of TXI into a wholly-owned subsidiary of Martin Marietta, the Company assumed the TXI 2004 Omnibus Equity Compensation Plan (“TXI Legacy Plan”) and TXI’s Management Deferred Compensation Plan (the “TXI DC Plan”) and shares available for future issuance under the TXI Legacy Plan and the TXI DC Plan following the merger.</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Description of the TXI Legacy Plan</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TXI Legacy Plan became effective as of July 11, 2012 and will terminate on July 11, 2022 unless sooner terminated. All legacy employees of TXI and its affiliates and subsidiaries are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eligible to receive awards. However, no further awards will be granted under the TXI Legacy Plan, as indicated by management in connection with the approval by shareholders of the Amended and Restated Stock-Based Award Plan on May 19, 2016.</w:t>
      </w:r>
    </w:p>
    <w:p>
      <w:pPr>
        <w:spacing w:after="0" w:line="176"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Company’s Management Development and Compensation Committee (the Committee) may grant incentive stock options and non-qualified stock options and stock appreciation rights (either alone or in tandem with options) under the TXI Legacy Plan. These awards may have terms of up to ten years from the date of grant. The Committee may award restricted stock and restricted stock units, subject to such vesting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309245</wp:posOffset>
            </wp:positionV>
            <wp:extent cx="411480" cy="2489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02"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Description of the Deferred Compensation Plan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Securities Authorized for Issuance Under Equity Compensation Plans</w:t>
      </w:r>
    </w:p>
    <w:p>
      <w:pPr>
        <w:sectPr>
          <w:pgSz w:w="11900" w:h="16838" w:orient="portrait"/>
          <w:cols w:equalWidth="0" w:num="1">
            <w:col w:w="11420"/>
          </w:cols>
          <w:pgMar w:left="240" w:top="459" w:right="239" w:bottom="1440" w:gutter="0" w:footer="0" w:header="0"/>
        </w:sectPr>
      </w:pPr>
    </w:p>
    <w:p>
      <w:pPr>
        <w:spacing w:after="0" w:line="2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limitations on transfer and other restrictions as the Committee may determine. The Committee may award performance units and performance shares to participants under the TXI Legacy Plan. Performance units have an initial value determined by the Committee, while performance shares will have an initial value based on the fair market value of the stock on the date of grant. Such awards will be earned only if performance goals over performance periods established by or under the direction of the Committee are met.</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Subject to the terms of the TXI Legacy Plan, the Committee may grant other equity-based awards on such terms as it may determine. The Committee may establish performance goals in its discretion. Such awards may involve the transfer of actual shares to participants or the payment in cash or otherwise of amounts based on the value of shares.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Legacy Plan will become fully vested and exercisable and all restrictions on it will lapse. All options and stock appreciation rights not exercised upon the occurrence of such a corporate event will terminate, and the Company may, in its discretion cancel all other awards then outstanding and pay the award holder its then current value as determined by the Committee.</w:t>
      </w:r>
    </w:p>
    <w:p>
      <w:pPr>
        <w:spacing w:after="0" w:line="134" w:lineRule="exact"/>
        <w:rPr>
          <w:sz w:val="20"/>
          <w:szCs w:val="20"/>
          <w:color w:val="auto"/>
        </w:rPr>
      </w:pPr>
    </w:p>
    <w:p>
      <w:pPr>
        <w:ind w:right="400"/>
        <w:spacing w:after="0" w:line="288" w:lineRule="auto"/>
        <w:rPr>
          <w:sz w:val="20"/>
          <w:szCs w:val="20"/>
          <w:color w:val="auto"/>
        </w:rPr>
      </w:pPr>
      <w:r>
        <w:rPr>
          <w:rFonts w:ascii="Arial" w:cs="Arial" w:eastAsia="Arial" w:hAnsi="Arial"/>
          <w:sz w:val="25"/>
          <w:szCs w:val="25"/>
          <w:b w:val="1"/>
          <w:bCs w:val="1"/>
          <w:color w:val="007CBA"/>
        </w:rPr>
        <w:t>Description of the Deferred Compensation Plan</w:t>
      </w:r>
    </w:p>
    <w:p>
      <w:pPr>
        <w:spacing w:after="0" w:line="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TXI DC Plan became effective as of July 11, 2012 and will terminate on July 11, 2022 unless sooner terminated. Key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management legacy employees of TXI, its subsidiaries and its affiliates are eligible to participate in the TXI DC Plan. Under the terms of the TXI DC Plan, participants may elect each year to defer all or a portion of their eligible compensation received during that year. However, no further awards will be granted under the TXI DC Plan, as indicated by management in connection with the approval by shareholders of the Amended and Restated Stock-Based Award Plan on May 19, 2016.</w:t>
      </w:r>
    </w:p>
    <w:p>
      <w:pPr>
        <w:spacing w:after="0" w:line="18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In lieu of receiving the compensation being deferred, participants will be awarded restricted stock units. At the discretion of the Committee, a participant may be entitled to receive dividend equivalents with respect to dividends declared on shares of common stock. The Committee may determine that additional awards of matching restricted stock units will be made to participants and the rate at which matching restricted stock units will be awarded. The matching restricted stock units will have the same deferral period and forfeiture and cancelation provisions as the restricted stock units that are being matched, except that matching restricted stock units may vest in accordance with such schedule as the Committee may determine.</w:t>
      </w:r>
    </w:p>
    <w:p>
      <w:pPr>
        <w:spacing w:after="0" w:line="354"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If Martin Marietta is dissolved or liquidated, or if substantially all of its assets are sold (or there is a merger or consolidation) and the acquiring or surviving entity does not substitute equivalent awards for the awards then outstanding, each award granted under the TXI DC Plan will become fully vested and all restrictions on it will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856615</wp:posOffset>
            </wp:positionV>
            <wp:extent cx="411480" cy="2489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7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93" w:lineRule="exact"/>
        <w:rPr>
          <w:sz w:val="20"/>
          <w:szCs w:val="20"/>
          <w:color w:val="auto"/>
        </w:rPr>
      </w:pPr>
    </w:p>
    <w:tbl>
      <w:tblPr>
        <w:tblLayout w:type="fixed"/>
        <w:tblInd w:w="944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bl>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43"/>
          <w:szCs w:val="43"/>
          <w:color w:val="auto"/>
        </w:rPr>
        <w:t>Annual Meeting and Voting Information</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is the purpose of the annual meeting?</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Whether or not you plan to attend the meeting, we encourage you to date, sign, and return your proxy in the enclosed envelope.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is entitled to vote at the meeting?</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Only shareholders of record at the close of business on March 10, 2017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43"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b w:val="1"/>
          <w:bCs w:val="1"/>
          <w:i w:val="1"/>
          <w:iCs w:val="1"/>
          <w:color w:val="007CBA"/>
        </w:rPr>
        <w:t>What are the voting rights of the holders of Martin Marietta common stock?</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Each share of Martin Marietta common stock is entitled to one vote on each matter considered at the meeting.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can attend the meeting?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constitutes a quorum?</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presence at the meeting, in person or by proxy, of the holders of a majority of the common stock outstanding on the record date constitutes a quorum, permitting shareholders to take action at the meeting. On March 10, 2017, there were 62,631,458 shares outstanding of Martin Marietta’s common stock, $.01 par value per share.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will oversee the voting results?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 I vote?</w:t>
      </w:r>
    </w:p>
    <w:p>
      <w:pPr>
        <w:spacing w:after="0" w:line="17"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 xml:space="preserve">Registered shareholders: </w:t>
      </w:r>
      <w:r>
        <w:rPr>
          <w:rFonts w:ascii="Arial" w:cs="Arial" w:eastAsia="Arial" w:hAnsi="Arial"/>
          <w:sz w:val="17"/>
          <w:szCs w:val="17"/>
          <w:color w:val="auto"/>
        </w:rPr>
        <w:t>Registered shareholders have four voting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w:t>
      </w:r>
    </w:p>
    <w:p>
      <w:pPr>
        <w:spacing w:after="0" w:line="71" w:lineRule="exact"/>
        <w:rPr>
          <w:sz w:val="20"/>
          <w:szCs w:val="20"/>
          <w:color w:val="auto"/>
        </w:rPr>
      </w:pPr>
    </w:p>
    <w:p>
      <w:pPr>
        <w:ind w:left="380" w:hanging="291"/>
        <w:spacing w:after="0" w:line="260" w:lineRule="auto"/>
        <w:tabs>
          <w:tab w:leader="none" w:pos="38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over the Internet at the internet address shown on the enclosed proxy card;</w:t>
      </w:r>
    </w:p>
    <w:p>
      <w:pPr>
        <w:spacing w:after="0" w:line="60" w:lineRule="exact"/>
        <w:rPr>
          <w:rFonts w:ascii="Arial" w:cs="Arial" w:eastAsia="Arial" w:hAnsi="Arial"/>
          <w:sz w:val="16"/>
          <w:szCs w:val="16"/>
          <w:color w:val="007CBA"/>
        </w:rPr>
      </w:pPr>
    </w:p>
    <w:p>
      <w:pPr>
        <w:ind w:left="380" w:hanging="291"/>
        <w:spacing w:after="0"/>
        <w:tabs>
          <w:tab w:leader="none" w:pos="38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by telephone through the number shown on the enclosed proxy card;</w:t>
      </w:r>
    </w:p>
    <w:p>
      <w:pPr>
        <w:spacing w:after="0" w:line="86" w:lineRule="exact"/>
        <w:rPr>
          <w:rFonts w:ascii="Arial" w:cs="Arial" w:eastAsia="Arial" w:hAnsi="Arial"/>
          <w:sz w:val="16"/>
          <w:szCs w:val="16"/>
          <w:color w:val="007CBA"/>
        </w:rPr>
      </w:pPr>
    </w:p>
    <w:p>
      <w:pPr>
        <w:ind w:left="380" w:hanging="291"/>
        <w:spacing w:after="0" w:line="260" w:lineRule="auto"/>
        <w:tabs>
          <w:tab w:leader="none" w:pos="38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by completing, signing, dating and returning the enclosed proxy card by mail; or</w:t>
      </w:r>
    </w:p>
    <w:p>
      <w:pPr>
        <w:spacing w:after="0" w:line="60" w:lineRule="exact"/>
        <w:rPr>
          <w:rFonts w:ascii="Arial" w:cs="Arial" w:eastAsia="Arial" w:hAnsi="Arial"/>
          <w:sz w:val="16"/>
          <w:szCs w:val="16"/>
          <w:color w:val="007CBA"/>
        </w:rPr>
      </w:pPr>
    </w:p>
    <w:p>
      <w:pPr>
        <w:ind w:left="380" w:hanging="291"/>
        <w:spacing w:after="0"/>
        <w:tabs>
          <w:tab w:leader="none" w:pos="380" w:val="left"/>
        </w:tabs>
        <w:numPr>
          <w:ilvl w:val="0"/>
          <w:numId w:val="132"/>
        </w:numPr>
        <w:rPr>
          <w:rFonts w:ascii="Arial" w:cs="Arial" w:eastAsia="Arial" w:hAnsi="Arial"/>
          <w:sz w:val="16"/>
          <w:szCs w:val="16"/>
          <w:color w:val="007CBA"/>
        </w:rPr>
      </w:pPr>
      <w:r>
        <w:rPr>
          <w:rFonts w:ascii="Arial" w:cs="Arial" w:eastAsia="Arial" w:hAnsi="Arial"/>
          <w:sz w:val="16"/>
          <w:szCs w:val="16"/>
          <w:color w:val="auto"/>
        </w:rPr>
        <w:t>in person at the meeting.</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Even if you plan to attend the meeting, we encourage you to vote your shares by submitting your proxy. If you choose to vote your shares at the meeting, please bring proof of stock ownership and proof of your identity for entrance to the meeting.</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Martin Marietta shares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name,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can I do if I change my mind after I vote my shares?</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Even if you have submitted your vote, you may revoke your proxy and change your vote at any time before voting begins at the annual meeting.</w:t>
      </w:r>
    </w:p>
    <w:p>
      <w:pPr>
        <w:spacing w:after="0" w:line="13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Registered shareholders: </w:t>
      </w:r>
      <w:r>
        <w:rPr>
          <w:rFonts w:ascii="Arial" w:cs="Arial" w:eastAsia="Arial" w:hAnsi="Arial"/>
          <w:sz w:val="16"/>
          <w:szCs w:val="16"/>
          <w:color w:val="auto"/>
        </w:rPr>
        <w:t>Registered shareholders may change their votes</w:t>
      </w:r>
      <w:r>
        <w:rPr>
          <w:rFonts w:ascii="Arial" w:cs="Arial" w:eastAsia="Arial" w:hAnsi="Arial"/>
          <w:sz w:val="16"/>
          <w:szCs w:val="16"/>
          <w:i w:val="1"/>
          <w:iCs w:val="1"/>
          <w:color w:val="auto"/>
        </w:rPr>
        <w:t xml:space="preserve"> </w:t>
      </w:r>
      <w:r>
        <w:rPr>
          <w:rFonts w:ascii="Arial" w:cs="Arial" w:eastAsia="Arial" w:hAnsi="Arial"/>
          <w:sz w:val="16"/>
          <w:szCs w:val="16"/>
          <w:color w:val="auto"/>
        </w:rPr>
        <w:t>in one of two ways:</w:t>
      </w:r>
    </w:p>
    <w:p>
      <w:pPr>
        <w:spacing w:after="0" w:line="44" w:lineRule="exact"/>
        <w:rPr>
          <w:sz w:val="20"/>
          <w:szCs w:val="20"/>
          <w:color w:val="auto"/>
        </w:rPr>
      </w:pPr>
    </w:p>
    <w:p>
      <w:pPr>
        <w:ind w:left="380" w:hanging="291"/>
        <w:spacing w:after="0" w:line="260" w:lineRule="auto"/>
        <w:tabs>
          <w:tab w:leader="none" w:pos="380" w:val="left"/>
        </w:tabs>
        <w:numPr>
          <w:ilvl w:val="0"/>
          <w:numId w:val="133"/>
        </w:numPr>
        <w:rPr>
          <w:rFonts w:ascii="Arial" w:cs="Arial" w:eastAsia="Arial" w:hAnsi="Arial"/>
          <w:sz w:val="16"/>
          <w:szCs w:val="16"/>
          <w:color w:val="007CBA"/>
        </w:rPr>
      </w:pPr>
      <w:r>
        <w:rPr>
          <w:rFonts w:ascii="Arial" w:cs="Arial" w:eastAsia="Arial" w:hAnsi="Arial"/>
          <w:sz w:val="16"/>
          <w:szCs w:val="16"/>
          <w:color w:val="auto"/>
        </w:rPr>
        <w:t>by voting on a later date by telephone or over the Internet (only your last dated proxy card or telephone or Internet vote is counted); or</w:t>
      </w:r>
    </w:p>
    <w:p>
      <w:pPr>
        <w:spacing w:after="0" w:line="60" w:lineRule="exact"/>
        <w:rPr>
          <w:rFonts w:ascii="Arial" w:cs="Arial" w:eastAsia="Arial" w:hAnsi="Arial"/>
          <w:sz w:val="16"/>
          <w:szCs w:val="16"/>
          <w:color w:val="007CBA"/>
        </w:rPr>
      </w:pPr>
    </w:p>
    <w:p>
      <w:pPr>
        <w:jc w:val="both"/>
        <w:ind w:left="380" w:hanging="291"/>
        <w:spacing w:after="0" w:line="251" w:lineRule="auto"/>
        <w:tabs>
          <w:tab w:leader="none" w:pos="380" w:val="left"/>
        </w:tabs>
        <w:numPr>
          <w:ilvl w:val="0"/>
          <w:numId w:val="133"/>
        </w:numPr>
        <w:rPr>
          <w:rFonts w:ascii="Arial" w:cs="Arial" w:eastAsia="Arial" w:hAnsi="Arial"/>
          <w:sz w:val="16"/>
          <w:szCs w:val="16"/>
          <w:color w:val="007CBA"/>
        </w:rPr>
      </w:pPr>
      <w:r>
        <w:rPr>
          <w:rFonts w:ascii="Arial" w:cs="Arial" w:eastAsia="Arial" w:hAnsi="Arial"/>
          <w:sz w:val="16"/>
          <w:szCs w:val="16"/>
          <w:color w:val="auto"/>
        </w:rPr>
        <w:t>by delivering a later dated proxy card to our Secretary, either prior to or at the meeting; or by voting your shares in person at the meeting. In order to vote your shares at the meeting, you must specifically revoke a previously submitted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179070</wp:posOffset>
            </wp:positionV>
            <wp:extent cx="411480" cy="2489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1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300"/>
          </w:cols>
          <w:pgMar w:left="240" w:top="459" w:right="3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MS PGothic" w:cs="MS PGothic" w:eastAsia="MS PGothic" w:hAnsi="MS PGothic"/>
          <w:sz w:val="25"/>
          <w:szCs w:val="25"/>
          <w:color w:val="007CBA"/>
        </w:rPr>
        <w:t>◆</w:t>
      </w:r>
      <w:r>
        <w:rPr>
          <w:rFonts w:ascii="Arial" w:cs="Arial" w:eastAsia="Arial" w:hAnsi="Arial"/>
          <w:sz w:val="14"/>
          <w:szCs w:val="14"/>
          <w:color w:val="007CBA"/>
        </w:rPr>
        <w:t xml:space="preserve"> Annual Meeting and Voting Information</w:t>
      </w:r>
    </w:p>
    <w:p>
      <w:pPr>
        <w:sectPr>
          <w:pgSz w:w="11900" w:h="16838" w:orient="portrait"/>
          <w:cols w:equalWidth="0" w:num="1">
            <w:col w:w="11420"/>
          </w:cols>
          <w:pgMar w:left="240" w:top="459" w:right="239" w:bottom="1440" w:gutter="0" w:footer="0" w:header="0"/>
        </w:sectPr>
      </w:pP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Beneficial shareholders: </w:t>
      </w:r>
      <w:r>
        <w:rPr>
          <w:rFonts w:ascii="Arial" w:cs="Arial" w:eastAsia="Arial" w:hAnsi="Arial"/>
          <w:sz w:val="16"/>
          <w:szCs w:val="16"/>
          <w:color w:val="auto"/>
        </w:rPr>
        <w:t>If you hold your shares in street name, you should</w:t>
      </w:r>
      <w:r>
        <w:rPr>
          <w:rFonts w:ascii="Arial" w:cs="Arial" w:eastAsia="Arial" w:hAnsi="Arial"/>
          <w:sz w:val="16"/>
          <w:szCs w:val="16"/>
          <w:i w:val="1"/>
          <w:iCs w:val="1"/>
          <w:color w:val="auto"/>
        </w:rPr>
        <w:t xml:space="preserve"> </w:t>
      </w:r>
      <w:r>
        <w:rPr>
          <w:rFonts w:ascii="Arial" w:cs="Arial" w:eastAsia="Arial" w:hAnsi="Arial"/>
          <w:sz w:val="16"/>
          <w:szCs w:val="16"/>
          <w:color w:val="auto"/>
        </w:rPr>
        <w:t>contact your bank, broker or other nominee to find out how to revoke your proxy.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How do I vote my 401(k) shares?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participant in Martin Marietta’s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48" w:lineRule="exact"/>
        <w:rPr>
          <w:sz w:val="20"/>
          <w:szCs w:val="20"/>
          <w:color w:val="auto"/>
        </w:rPr>
      </w:pPr>
    </w:p>
    <w:p>
      <w:pPr>
        <w:ind w:right="920"/>
        <w:spacing w:after="0" w:line="259" w:lineRule="auto"/>
        <w:rPr>
          <w:sz w:val="20"/>
          <w:szCs w:val="20"/>
          <w:color w:val="auto"/>
        </w:rPr>
      </w:pPr>
      <w:r>
        <w:rPr>
          <w:rFonts w:ascii="Arial" w:cs="Arial" w:eastAsia="Arial" w:hAnsi="Arial"/>
          <w:sz w:val="16"/>
          <w:szCs w:val="16"/>
          <w:b w:val="1"/>
          <w:bCs w:val="1"/>
          <w:i w:val="1"/>
          <w:iCs w:val="1"/>
          <w:color w:val="007CBA"/>
        </w:rPr>
        <w:t>Will my broker vote my shares for me if I do not give voting instructions? What are “broker non-votes”?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executive compensation matters and the shareholder proposal requesting proxy access.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the approval on an advisory basis of the compensation of our named executive officers, the approval on an advisory basis of the frequency of voting on our executive compensation, and the shareholder proposal,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What vote is required to approve each item?</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Martin Marietta amended its Articles of Incorporation following the 2013 Annual Meeting of Shareholders to provide for majority voting in the election of Directors. As a result, in an uncontested Director election (</w:t>
      </w:r>
      <w:r>
        <w:rPr>
          <w:rFonts w:ascii="Arial" w:cs="Arial" w:eastAsia="Arial" w:hAnsi="Arial"/>
          <w:sz w:val="16"/>
          <w:szCs w:val="16"/>
          <w:i w:val="1"/>
          <w:iCs w:val="1"/>
          <w:color w:val="auto"/>
        </w:rPr>
        <w:t>i.e.</w:t>
      </w:r>
      <w:r>
        <w:rPr>
          <w:rFonts w:ascii="Arial" w:cs="Arial" w:eastAsia="Arial" w:hAnsi="Arial"/>
          <w:sz w:val="16"/>
          <w:szCs w:val="16"/>
          <w:color w:val="auto"/>
        </w:rPr>
        <w:t>, an election where the only nominees are those proposed by our Board of Directors, such as at the 2017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North Carolina law, if an incumbent director is not re-elected at an Annual Meeting of Shareholders, then, even</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180"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ratification of the selection of independent auditors, the shareholder proposal requesting proxy access, and any other proposal presented at the meeting, will be approved if more votes are cast by proxy or in person in favor of the proposal than are cast against it. With respect to the advisory vote on the frequency of future advisory votes on executive compensation the period receiving the greatest number of votes (every 1 year, every 2 years or every 3 years) will be considered the preference selected by the shareholders.</w:t>
      </w:r>
    </w:p>
    <w:p>
      <w:pPr>
        <w:spacing w:after="0" w:line="167"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Abstentions and broker non-votes, if any, will not be counted “for” or “against” any of these proposals.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voting results for the Annual Meeting?</w:t>
      </w:r>
    </w:p>
    <w:p>
      <w:pPr>
        <w:spacing w:after="0" w:line="2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Where can I find out more information about Martin Marietta?</w:t>
      </w:r>
    </w:p>
    <w:p>
      <w:pPr>
        <w:spacing w:after="0" w:line="25"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as well as our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are all available through the website. Alternatively,</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our shareholders and other interested parties may obtain, without charge, copies of all of these documents by writing to the Corporate Secretary, Martin Marietta, 2710 Wycliff Road, Raleigh, NC 27607</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Please note that the information contained on Martin Marietta’s website is not incorporated by reference in, or considered to be a part of, this document.</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Who is paying for this proxy statement?</w:t>
      </w:r>
    </w:p>
    <w:p>
      <w:pPr>
        <w:spacing w:after="0" w:line="2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entire cost of preparing, assembling, printing, and mailing the Notice of Meeting, this proxy statement, and proxies, and the cost of soliciting proxies relating to the meeting, if any, has been or will be paid by Martin Marietta. In addition to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299085</wp:posOffset>
            </wp:positionV>
            <wp:extent cx="411480" cy="2489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62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Arial" w:cs="Arial" w:eastAsia="Arial" w:hAnsi="Arial"/>
                <w:sz w:val="13"/>
                <w:szCs w:val="13"/>
                <w:color w:val="007CBA"/>
              </w:rPr>
              <w:t>2017 PROXY STATEMENT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63</w:t>
            </w:r>
          </w:p>
        </w:tc>
      </w:tr>
    </w:tbl>
    <w:p>
      <w:pPr>
        <w:sectPr>
          <w:pgSz w:w="11900" w:h="16838" w:orient="portrait"/>
          <w:cols w:equalWidth="0" w:num="2">
            <w:col w:w="5480" w:space="340"/>
            <w:col w:w="560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Annual Meeting and Voting Information </w:t>
      </w:r>
      <w:r>
        <w:rPr>
          <w:rFonts w:ascii="MS PGothic" w:cs="MS PGothic" w:eastAsia="MS PGothic" w:hAnsi="MS PGothic"/>
          <w:sz w:val="25"/>
          <w:szCs w:val="25"/>
          <w:color w:val="007CBA"/>
        </w:rPr>
        <w:t>◆</w:t>
      </w:r>
    </w:p>
    <w:p>
      <w:pPr>
        <w:spacing w:after="0" w:line="2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mail, proxies may be solicited by Directors, officers, and other regular employees of Martin Marietta by telephone, facsimile, or personal solicitation, and no additional compensation will be paid to such individuals. Martin Marietta will use the services of Morrow Sodali LLC, 470 West Avenue, Stamford, CT 06902, a professional soliciting organization, to assist in obtaining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person or by proxy shareholder votes. Martin Marietta estimates its expenses for solicitation services will not exceed $10,000. Martin Marietta will, if requested, reimburse banks, brokerage houses and other custodians, nominees and certain fiduciaries for their reasonable expenses incurred in mailing proxy materials to their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-1466850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43"/>
          <w:szCs w:val="43"/>
          <w:color w:val="auto"/>
        </w:rPr>
        <w:t>Incorporation by Reference</w:t>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Report beginning on page 26 and the Management Development and Compensation Committee Report beginning on page 27 do not constitute soliciting material and should not be deemed filed or incorporated by reference into any other filing by Martin Marietta under the Securities Act of 1933 or the Securities Exchange Act of 1934,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388"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40"/>
        <w:spacing w:after="0"/>
        <w:rPr>
          <w:sz w:val="20"/>
          <w:szCs w:val="20"/>
          <w:color w:val="auto"/>
        </w:rPr>
      </w:pPr>
      <w:r>
        <w:rPr>
          <w:rFonts w:ascii="Arial" w:cs="Arial" w:eastAsia="Arial" w:hAnsi="Arial"/>
          <w:sz w:val="43"/>
          <w:szCs w:val="43"/>
          <w:color w:val="auto"/>
        </w:rPr>
        <w:t>Shareholders’ Proposals for 2018 Annual Meeting</w:t>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Proposals by shareholders intended to be presented at the 2018 Annual Meeting of Shareholders of Martin Marietta must be received by the Secretary of Martin Marietta no later than December 18, 2017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proposing such a matter. Accordingly, to be considered at the 2018 Annual Meeting of Shareholders, proposals must be received by the Secretary of Martin Marietta no earlier than January 17, 2018 and no later than February 16, 2018.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MARTIN MARIETTA MATERIALS, INC.</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April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190500</wp:posOffset>
            </wp:positionV>
            <wp:extent cx="411480" cy="2489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13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2"/>
          <w:szCs w:val="12"/>
          <w:b w:val="1"/>
          <w:bCs w:val="1"/>
          <w:color w:val="auto"/>
        </w:rPr>
      </w:pPr>
      <w:r>
        <w:rPr>
          <w:rFonts w:ascii="Arial" w:cs="Arial" w:eastAsia="Arial" w:hAnsi="Arial"/>
          <w:sz w:val="12"/>
          <w:szCs w:val="12"/>
          <w:color w:val="007CBA"/>
        </w:rPr>
        <w:t>2017 PROXY STATEMENT</w:t>
      </w:r>
    </w:p>
    <w:p>
      <w:pPr>
        <w:sectPr>
          <w:pgSz w:w="11900" w:h="16838" w:orient="portrait"/>
          <w:cols w:equalWidth="0" w:num="1">
            <w:col w:w="11300"/>
          </w:cols>
          <w:pgMar w:left="240" w:top="459" w:right="3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Appendix A</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CBA"/>
        </w:rPr>
        <w:t>MARTIN MARIETTA</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CBA"/>
        </w:rPr>
        <w:t>GUIDELINES FOR POTENTIAL NEW BOARD MEMBERS</w:t>
      </w:r>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u w:val="single" w:color="auto"/>
          <w:color w:val="auto"/>
        </w:rPr>
        <w:t>Preamble</w:t>
      </w:r>
      <w:r>
        <w:rPr>
          <w:rFonts w:ascii="Arial" w:cs="Arial" w:eastAsia="Arial" w:hAnsi="Arial"/>
          <w:sz w:val="16"/>
          <w:szCs w:val="16"/>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Corporate Governance Guidelines. In evaluating a new potential candidate who is not an employee or former employee of Martin Marietta,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10" w:lineRule="exact"/>
        <w:rPr>
          <w:sz w:val="20"/>
          <w:szCs w:val="20"/>
          <w:color w:val="auto"/>
        </w:rPr>
      </w:pPr>
    </w:p>
    <w:p>
      <w:pPr>
        <w:ind w:left="340" w:hanging="332"/>
        <w:spacing w:after="0" w:line="260" w:lineRule="auto"/>
        <w:tabs>
          <w:tab w:leader="none" w:pos="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Candidates should have a long-term history of the highest integrity and should ascribe fully to the ethics program of Martin Marietta.</w:t>
      </w:r>
    </w:p>
    <w:p>
      <w:pPr>
        <w:spacing w:after="0" w:line="10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if they are still active in their careers.</w:t>
      </w:r>
    </w:p>
    <w:p>
      <w:pPr>
        <w:spacing w:after="0" w:line="106"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Consideration should be given to matching the geographic base of the candidate with the geographic coverage of Martin Marietta.</w:t>
      </w:r>
    </w:p>
    <w:p>
      <w:pPr>
        <w:spacing w:after="0" w:line="101"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108"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Martin Marietta.</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ind w:left="332" w:right="120" w:hanging="332"/>
        <w:spacing w:after="0" w:line="249" w:lineRule="auto"/>
        <w:tabs>
          <w:tab w:leader="none" w:pos="3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jc w:val="both"/>
        <w:ind w:left="332" w:right="120" w:hanging="332"/>
        <w:spacing w:after="0" w:line="249" w:lineRule="auto"/>
        <w:tabs>
          <w:tab w:leader="none" w:pos="3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110" w:lineRule="exact"/>
        <w:rPr>
          <w:rFonts w:ascii="Arial" w:cs="Arial" w:eastAsia="Arial" w:hAnsi="Arial"/>
          <w:sz w:val="16"/>
          <w:szCs w:val="16"/>
          <w:color w:val="auto"/>
        </w:rPr>
      </w:pPr>
    </w:p>
    <w:p>
      <w:pPr>
        <w:jc w:val="both"/>
        <w:ind w:left="332" w:right="120" w:hanging="332"/>
        <w:spacing w:after="0" w:line="249" w:lineRule="auto"/>
        <w:tabs>
          <w:tab w:leader="none" w:pos="3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110" w:lineRule="exact"/>
        <w:rPr>
          <w:rFonts w:ascii="Arial" w:cs="Arial" w:eastAsia="Arial" w:hAnsi="Arial"/>
          <w:sz w:val="16"/>
          <w:szCs w:val="16"/>
          <w:color w:val="auto"/>
        </w:rPr>
      </w:pPr>
    </w:p>
    <w:p>
      <w:pPr>
        <w:ind w:left="332" w:hanging="332"/>
        <w:spacing w:after="0"/>
        <w:tabs>
          <w:tab w:leader="none" w:pos="3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Public company experience is highly desirable.</w:t>
      </w:r>
    </w:p>
    <w:p>
      <w:pPr>
        <w:spacing w:after="0" w:line="126" w:lineRule="exact"/>
        <w:rPr>
          <w:rFonts w:ascii="Arial" w:cs="Arial" w:eastAsia="Arial" w:hAnsi="Arial"/>
          <w:sz w:val="16"/>
          <w:szCs w:val="16"/>
          <w:color w:val="auto"/>
        </w:rPr>
      </w:pPr>
    </w:p>
    <w:p>
      <w:pPr>
        <w:jc w:val="both"/>
        <w:ind w:left="332" w:right="120" w:hanging="332"/>
        <w:spacing w:after="0" w:line="253" w:lineRule="auto"/>
        <w:tabs>
          <w:tab w:leader="none" w:pos="3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Candidates from education or nonprofit organizations will be considered where there is a specific priority need identified by the Board and where such a candidate can add value.</w:t>
      </w:r>
    </w:p>
    <w:p>
      <w:pPr>
        <w:spacing w:after="0" w:line="106" w:lineRule="exact"/>
        <w:rPr>
          <w:rFonts w:ascii="Arial" w:cs="Arial" w:eastAsia="Arial" w:hAnsi="Arial"/>
          <w:sz w:val="16"/>
          <w:szCs w:val="16"/>
          <w:color w:val="auto"/>
        </w:rPr>
      </w:pPr>
    </w:p>
    <w:p>
      <w:pPr>
        <w:jc w:val="both"/>
        <w:ind w:left="332" w:right="120" w:hanging="332"/>
        <w:spacing w:after="0" w:line="253" w:lineRule="auto"/>
        <w:tabs>
          <w:tab w:leader="none" w:pos="33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Board candidates ideally would serve on no more than three for-profit boards inclusive of Martin Marietta Materials to assure adequate time to discharge the duties of a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658495</wp:posOffset>
            </wp:positionV>
            <wp:extent cx="411480" cy="2489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956" w:lineRule="exact"/>
        <w:rPr>
          <w:sz w:val="20"/>
          <w:szCs w:val="20"/>
          <w:color w:val="auto"/>
        </w:rPr>
      </w:pPr>
    </w:p>
    <w:p>
      <w:pPr>
        <w:sectPr>
          <w:pgSz w:w="11900" w:h="16838" w:orient="portrait"/>
          <w:cols w:equalWidth="0" w:num="2">
            <w:col w:w="5480" w:space="348"/>
            <w:col w:w="5592"/>
          </w:cols>
          <w:pgMar w:left="240" w:top="459" w:right="239" w:bottom="1440" w:gutter="0" w:footer="0" w:header="0"/>
          <w:type w:val="continuous"/>
        </w:sectPr>
      </w:pPr>
    </w:p>
    <w:p>
      <w:pPr>
        <w:spacing w:after="0" w:line="99" w:lineRule="exact"/>
        <w:rPr>
          <w:sz w:val="20"/>
          <w:szCs w:val="20"/>
          <w:color w:val="auto"/>
        </w:rPr>
      </w:pPr>
    </w:p>
    <w:p>
      <w:pPr>
        <w:ind w:left="9440"/>
        <w:spacing w:after="0"/>
        <w:tabs>
          <w:tab w:leader="none" w:pos="11200" w:val="left"/>
        </w:tabs>
        <w:rPr>
          <w:sz w:val="20"/>
          <w:szCs w:val="20"/>
          <w:color w:val="auto"/>
        </w:rPr>
      </w:pPr>
      <w:r>
        <w:rPr>
          <w:rFonts w:ascii="Arial" w:cs="Arial" w:eastAsia="Arial" w:hAnsi="Arial"/>
          <w:sz w:val="13"/>
          <w:szCs w:val="13"/>
          <w:color w:val="007CBA"/>
        </w:rPr>
        <w:t>2017 PROXY STATEMENT</w:t>
      </w:r>
      <w:r>
        <w:rPr>
          <w:sz w:val="20"/>
          <w:szCs w:val="20"/>
          <w:color w:val="auto"/>
        </w:rPr>
        <w:tab/>
      </w:r>
      <w:r>
        <w:rPr>
          <w:rFonts w:ascii="Arial" w:cs="Arial" w:eastAsia="Arial" w:hAnsi="Arial"/>
          <w:sz w:val="12"/>
          <w:szCs w:val="12"/>
          <w:b w:val="1"/>
          <w:bCs w:val="1"/>
          <w:color w:val="auto"/>
        </w:rPr>
        <w:t>A-1</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Appendix B</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CBA"/>
        </w:rPr>
        <w:t>NON-GAAP MEASURES</w:t>
      </w: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Non-GAAP financial measures disclosed by management are provided as additional information to investors in order to provide them with an alternative method for assessing our financial condition and operating results. These measures are not in accordance with, or a substitute for, GAAP, and may be different from or inconsistent with non-GAAP financial measures used by other companies.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Gross margin as a percentage of net sales represents a non-GAAP measure. The Company presents this ratio based on net sales, as it is consistent with the basis by which management reviews the Company’s operating results. Management believes it is consistent with the basis by which investors analyze the Company’s operating results given that freight and delivery revenues and costs represent pass-throughs and have no profit mark-up. Gross margin calculated as percentages of total revenues represents the most directly comparable financial measure calculated in accordance with generally accepted accounting principles (GAAP).</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is not defined by GAAP and, as such, should not be construed as an alternative to net earnings or operating cash flow.</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presents (i) the calculations of consolidated gross margin for the years ended December 31, 2016 and 2015 in accordance with GAAP and reconciliations of the ratios as percentages of total revenues to percentages of net sales; and (ii) a reconciliation of net earnings attributable to Martin Marietta to consolidated EBITDA for the years ended December 31, 2016 and 2015.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 all tables, dollars in thousands)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Gross Margin in Accordance with GAAP for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Borders>
              <w:right w:val="single" w:sz="8" w:color="007CBA"/>
            </w:tcBorders>
            <w:shd w:val="clear" w:color="auto" w:fill="007CBA"/>
          </w:tcPr>
          <w:p>
            <w:pPr>
              <w:spacing w:after="0"/>
              <w:rPr>
                <w:sz w:val="14"/>
                <w:szCs w:val="14"/>
                <w:color w:val="auto"/>
              </w:rPr>
            </w:pPr>
          </w:p>
        </w:tc>
        <w:tc>
          <w:tcPr>
            <w:tcW w:w="220" w:type="dxa"/>
            <w:vAlign w:val="bottom"/>
            <w:tcBorders>
              <w:right w:val="single" w:sz="8" w:color="007CBA"/>
            </w:tcBorders>
            <w:shd w:val="clear" w:color="auto" w:fill="007CBA"/>
          </w:tcPr>
          <w:p>
            <w:pPr>
              <w:spacing w:after="0"/>
              <w:rPr>
                <w:sz w:val="14"/>
                <w:szCs w:val="14"/>
                <w:color w:val="auto"/>
              </w:rPr>
            </w:pPr>
          </w:p>
        </w:tc>
        <w:tc>
          <w:tcPr>
            <w:tcW w:w="32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720" w:type="dxa"/>
            <w:vAlign w:val="bottom"/>
            <w:gridSpan w:val="3"/>
            <w:shd w:val="clear" w:color="auto" w:fill="007CBA"/>
          </w:tcPr>
          <w:p>
            <w:pPr>
              <w:jc w:val="right"/>
              <w:ind w:right="20"/>
              <w:spacing w:after="0"/>
              <w:rPr>
                <w:sz w:val="20"/>
                <w:szCs w:val="20"/>
                <w:color w:val="auto"/>
              </w:rPr>
            </w:pPr>
            <w:r>
              <w:rPr>
                <w:rFonts w:ascii="Arial" w:cs="Arial" w:eastAsia="Arial" w:hAnsi="Arial"/>
                <w:sz w:val="14"/>
                <w:szCs w:val="14"/>
                <w:b w:val="1"/>
                <w:bCs w:val="1"/>
                <w:color w:val="FFFFFF"/>
              </w:rPr>
              <w:t>2016</w:t>
            </w:r>
          </w:p>
        </w:tc>
        <w:tc>
          <w:tcPr>
            <w:tcW w:w="340" w:type="dxa"/>
            <w:vAlign w:val="bottom"/>
            <w:tcBorders>
              <w:right w:val="single" w:sz="8" w:color="007CBA"/>
            </w:tcBorders>
            <w:shd w:val="clear" w:color="auto" w:fill="007CBA"/>
          </w:tcPr>
          <w:p>
            <w:pPr>
              <w:spacing w:after="0"/>
              <w:rPr>
                <w:sz w:val="14"/>
                <w:szCs w:val="14"/>
                <w:color w:val="auto"/>
              </w:rPr>
            </w:pPr>
          </w:p>
        </w:tc>
        <w:tc>
          <w:tcPr>
            <w:tcW w:w="120" w:type="dxa"/>
            <w:vAlign w:val="bottom"/>
            <w:tcBorders>
              <w:right w:val="single" w:sz="8" w:color="007CBA"/>
            </w:tcBorders>
            <w:shd w:val="clear" w:color="auto" w:fill="007CBA"/>
          </w:tcPr>
          <w:p>
            <w:pPr>
              <w:spacing w:after="0"/>
              <w:rPr>
                <w:sz w:val="14"/>
                <w:szCs w:val="14"/>
                <w:color w:val="auto"/>
              </w:rPr>
            </w:pPr>
          </w:p>
        </w:tc>
        <w:tc>
          <w:tcPr>
            <w:tcW w:w="520" w:type="dxa"/>
            <w:vAlign w:val="bottom"/>
            <w:shd w:val="clear" w:color="auto" w:fill="007CBA"/>
          </w:tcPr>
          <w:p>
            <w:pPr>
              <w:spacing w:after="0"/>
              <w:rPr>
                <w:sz w:val="14"/>
                <w:szCs w:val="14"/>
                <w:color w:val="auto"/>
              </w:rPr>
            </w:pPr>
          </w:p>
        </w:tc>
        <w:tc>
          <w:tcPr>
            <w:tcW w:w="140" w:type="dxa"/>
            <w:vAlign w:val="bottom"/>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740" w:type="dxa"/>
            <w:vAlign w:val="bottom"/>
            <w:gridSpan w:val="2"/>
            <w:shd w:val="clear" w:color="auto" w:fill="007CBA"/>
          </w:tcPr>
          <w:p>
            <w:pPr>
              <w:jc w:val="right"/>
              <w:ind w:right="40"/>
              <w:spacing w:after="0"/>
              <w:rPr>
                <w:sz w:val="20"/>
                <w:szCs w:val="20"/>
                <w:color w:val="auto"/>
              </w:rPr>
            </w:pPr>
            <w:r>
              <w:rPr>
                <w:rFonts w:ascii="Arial" w:cs="Arial" w:eastAsia="Arial" w:hAnsi="Arial"/>
                <w:sz w:val="14"/>
                <w:szCs w:val="14"/>
                <w:b w:val="1"/>
                <w:bCs w:val="1"/>
                <w:color w:val="FFFFFF"/>
              </w:rPr>
              <w:t>2015</w:t>
            </w:r>
          </w:p>
        </w:tc>
        <w:tc>
          <w:tcPr>
            <w:tcW w:w="440" w:type="dxa"/>
            <w:vAlign w:val="bottom"/>
            <w:shd w:val="clear" w:color="auto" w:fill="007CBA"/>
          </w:tcPr>
          <w:p>
            <w:pPr>
              <w:spacing w:after="0"/>
              <w:rPr>
                <w:sz w:val="14"/>
                <w:szCs w:val="14"/>
                <w:color w:val="auto"/>
              </w:rPr>
            </w:pPr>
          </w:p>
        </w:tc>
      </w:tr>
      <w:tr>
        <w:trPr>
          <w:trHeight w:val="189"/>
        </w:trPr>
        <w:tc>
          <w:tcPr>
            <w:tcW w:w="768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908,966</w:t>
            </w:r>
          </w:p>
        </w:tc>
        <w:tc>
          <w:tcPr>
            <w:tcW w:w="340" w:type="dxa"/>
            <w:vAlign w:val="bottom"/>
          </w:tcPr>
          <w:p>
            <w:pPr>
              <w:spacing w:after="0"/>
              <w:rPr>
                <w:sz w:val="16"/>
                <w:szCs w:val="16"/>
                <w:color w:val="auto"/>
              </w:rPr>
            </w:pPr>
          </w:p>
        </w:tc>
        <w:tc>
          <w:tcPr>
            <w:tcW w:w="120" w:type="dxa"/>
            <w:vAlign w:val="bottom"/>
            <w:tcBorders>
              <w:right w:val="single" w:sz="8" w:color="007CBA"/>
            </w:tcBorders>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721,767</w:t>
            </w:r>
          </w:p>
        </w:tc>
        <w:tc>
          <w:tcPr>
            <w:tcW w:w="440" w:type="dxa"/>
            <w:vAlign w:val="bottom"/>
          </w:tcPr>
          <w:p>
            <w:pPr>
              <w:spacing w:after="0"/>
              <w:rPr>
                <w:sz w:val="16"/>
                <w:szCs w:val="16"/>
                <w:color w:val="auto"/>
              </w:rPr>
            </w:pPr>
          </w:p>
        </w:tc>
      </w:tr>
      <w:tr>
        <w:trPr>
          <w:trHeight w:val="20"/>
        </w:trPr>
        <w:tc>
          <w:tcPr>
            <w:tcW w:w="7680" w:type="dxa"/>
            <w:vAlign w:val="bottom"/>
            <w:tcBorders>
              <w:right w:val="single" w:sz="8" w:color="007CBA"/>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right w:val="single" w:sz="8" w:color="007CBA"/>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Total revenues</w:t>
            </w:r>
          </w:p>
        </w:tc>
        <w:tc>
          <w:tcPr>
            <w:tcW w:w="220" w:type="dxa"/>
            <w:vAlign w:val="bottom"/>
            <w:tcBorders>
              <w:right w:val="single" w:sz="8" w:color="E5F1F8"/>
            </w:tcBorders>
            <w:shd w:val="clear" w:color="auto" w:fill="E5F1F8"/>
          </w:tcPr>
          <w:p>
            <w:pPr>
              <w:spacing w:after="0"/>
              <w:rPr>
                <w:sz w:val="19"/>
                <w:szCs w:val="19"/>
                <w:color w:val="auto"/>
              </w:rPr>
            </w:pPr>
          </w:p>
        </w:tc>
        <w:tc>
          <w:tcPr>
            <w:tcW w:w="42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F1F8"/>
          </w:tcPr>
          <w:p>
            <w:pPr>
              <w:jc w:val="right"/>
              <w:spacing w:after="0"/>
              <w:rPr>
                <w:sz w:val="20"/>
                <w:szCs w:val="20"/>
                <w:color w:val="auto"/>
              </w:rPr>
            </w:pPr>
            <w:r>
              <w:rPr>
                <w:rFonts w:ascii="Arial" w:cs="Arial" w:eastAsia="Arial" w:hAnsi="Arial"/>
                <w:sz w:val="16"/>
                <w:szCs w:val="16"/>
                <w:color w:val="auto"/>
                <w:w w:val="98"/>
              </w:rPr>
              <w:t>3,818,749</w:t>
            </w:r>
          </w:p>
        </w:tc>
        <w:tc>
          <w:tcPr>
            <w:tcW w:w="340" w:type="dxa"/>
            <w:vAlign w:val="bottom"/>
            <w:tcBorders>
              <w:right w:val="single" w:sz="8" w:color="E5F1F8"/>
            </w:tcBorders>
            <w:shd w:val="clear" w:color="auto" w:fill="E5F1F8"/>
          </w:tcPr>
          <w:p>
            <w:pPr>
              <w:spacing w:after="0"/>
              <w:rPr>
                <w:sz w:val="19"/>
                <w:szCs w:val="19"/>
                <w:color w:val="auto"/>
              </w:rPr>
            </w:pPr>
          </w:p>
        </w:tc>
        <w:tc>
          <w:tcPr>
            <w:tcW w:w="120" w:type="dxa"/>
            <w:vAlign w:val="bottom"/>
            <w:tcBorders>
              <w:right w:val="single" w:sz="8" w:color="007CBA"/>
            </w:tcBorders>
            <w:shd w:val="clear" w:color="auto" w:fill="E5F1F8"/>
          </w:tcPr>
          <w:p>
            <w:pPr>
              <w:spacing w:after="0"/>
              <w:rPr>
                <w:sz w:val="19"/>
                <w:szCs w:val="19"/>
                <w:color w:val="auto"/>
              </w:rPr>
            </w:pPr>
          </w:p>
        </w:tc>
        <w:tc>
          <w:tcPr>
            <w:tcW w:w="1480" w:type="dxa"/>
            <w:vAlign w:val="bottom"/>
            <w:gridSpan w:val="5"/>
            <w:shd w:val="clear" w:color="auto" w:fill="E5F1F8"/>
          </w:tcPr>
          <w:p>
            <w:pPr>
              <w:jc w:val="right"/>
              <w:spacing w:after="0"/>
              <w:rPr>
                <w:sz w:val="20"/>
                <w:szCs w:val="20"/>
                <w:color w:val="auto"/>
              </w:rPr>
            </w:pPr>
            <w:r>
              <w:rPr>
                <w:rFonts w:ascii="Arial" w:cs="Arial" w:eastAsia="Arial" w:hAnsi="Arial"/>
                <w:sz w:val="16"/>
                <w:szCs w:val="16"/>
                <w:color w:val="auto"/>
              </w:rPr>
              <w:t>$3,539,570</w:t>
            </w:r>
          </w:p>
        </w:tc>
        <w:tc>
          <w:tcPr>
            <w:tcW w:w="440" w:type="dxa"/>
            <w:vAlign w:val="bottom"/>
            <w:shd w:val="clear" w:color="auto" w:fill="E5F1F8"/>
          </w:tcPr>
          <w:p>
            <w:pPr>
              <w:spacing w:after="0"/>
              <w:rPr>
                <w:sz w:val="19"/>
                <w:szCs w:val="19"/>
                <w:color w:val="auto"/>
              </w:rPr>
            </w:pPr>
          </w:p>
        </w:tc>
      </w:tr>
      <w:tr>
        <w:trPr>
          <w:trHeight w:val="156"/>
        </w:trPr>
        <w:tc>
          <w:tcPr>
            <w:tcW w:w="7680" w:type="dxa"/>
            <w:vAlign w:val="bottom"/>
            <w:tcBorders>
              <w:top w:val="single" w:sz="8" w:color="E5F1F8"/>
              <w:right w:val="single" w:sz="8" w:color="007CBA"/>
            </w:tcBorders>
          </w:tcPr>
          <w:p>
            <w:pPr>
              <w:ind w:left="80"/>
              <w:spacing w:after="0" w:line="156" w:lineRule="exact"/>
              <w:rPr>
                <w:sz w:val="20"/>
                <w:szCs w:val="20"/>
                <w:color w:val="auto"/>
              </w:rPr>
            </w:pPr>
            <w:r>
              <w:rPr>
                <w:rFonts w:ascii="Arial" w:cs="Arial" w:eastAsia="Arial" w:hAnsi="Arial"/>
                <w:sz w:val="16"/>
                <w:szCs w:val="16"/>
                <w:color w:val="auto"/>
              </w:rPr>
              <w:t>Gross margin</w:t>
            </w:r>
          </w:p>
        </w:tc>
        <w:tc>
          <w:tcPr>
            <w:tcW w:w="220" w:type="dxa"/>
            <w:vAlign w:val="bottom"/>
            <w:tcBorders>
              <w:top w:val="single" w:sz="8" w:color="E5F1F8"/>
            </w:tcBorders>
          </w:tcPr>
          <w:p>
            <w:pPr>
              <w:spacing w:after="0"/>
              <w:rPr>
                <w:sz w:val="13"/>
                <w:szCs w:val="13"/>
                <w:color w:val="auto"/>
              </w:rPr>
            </w:pPr>
          </w:p>
        </w:tc>
        <w:tc>
          <w:tcPr>
            <w:tcW w:w="320" w:type="dxa"/>
            <w:vAlign w:val="bottom"/>
            <w:tcBorders>
              <w:top w:val="single" w:sz="8" w:color="E5F1F8"/>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jc w:val="right"/>
              <w:ind w:right="200"/>
              <w:spacing w:after="0" w:line="156" w:lineRule="exact"/>
              <w:rPr>
                <w:sz w:val="20"/>
                <w:szCs w:val="20"/>
                <w:color w:val="auto"/>
              </w:rPr>
            </w:pPr>
            <w:r>
              <w:rPr>
                <w:rFonts w:ascii="Arial" w:cs="Arial" w:eastAsia="Arial" w:hAnsi="Arial"/>
                <w:sz w:val="16"/>
                <w:szCs w:val="16"/>
                <w:color w:val="auto"/>
              </w:rPr>
              <w:t>23.8%</w:t>
            </w:r>
          </w:p>
        </w:tc>
        <w:tc>
          <w:tcPr>
            <w:tcW w:w="120" w:type="dxa"/>
            <w:vAlign w:val="bottom"/>
            <w:tcBorders>
              <w:top w:val="single" w:sz="8" w:color="auto"/>
              <w:right w:val="single" w:sz="8" w:color="007CBA"/>
            </w:tcBorders>
          </w:tcPr>
          <w:p>
            <w:pPr>
              <w:spacing w:after="0"/>
              <w:rPr>
                <w:sz w:val="13"/>
                <w:szCs w:val="13"/>
                <w:color w:val="auto"/>
              </w:rPr>
            </w:pPr>
          </w:p>
        </w:tc>
        <w:tc>
          <w:tcPr>
            <w:tcW w:w="520" w:type="dxa"/>
            <w:vAlign w:val="bottom"/>
            <w:tcBorders>
              <w:top w:val="single" w:sz="8" w:color="E5F1F8"/>
            </w:tcBorders>
          </w:tcPr>
          <w:p>
            <w:pPr>
              <w:spacing w:after="0"/>
              <w:rPr>
                <w:sz w:val="13"/>
                <w:szCs w:val="13"/>
                <w:color w:val="auto"/>
              </w:rPr>
            </w:pPr>
          </w:p>
        </w:tc>
        <w:tc>
          <w:tcPr>
            <w:tcW w:w="140" w:type="dxa"/>
            <w:vAlign w:val="bottom"/>
            <w:tcBorders>
              <w:top w:val="single" w:sz="8" w:color="E5F1F8"/>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ind w:right="300"/>
              <w:spacing w:after="0" w:line="156" w:lineRule="exact"/>
              <w:rPr>
                <w:sz w:val="20"/>
                <w:szCs w:val="20"/>
                <w:color w:val="auto"/>
              </w:rPr>
            </w:pPr>
            <w:r>
              <w:rPr>
                <w:rFonts w:ascii="Arial" w:cs="Arial" w:eastAsia="Arial" w:hAnsi="Arial"/>
                <w:sz w:val="16"/>
                <w:szCs w:val="16"/>
                <w:color w:val="auto"/>
              </w:rPr>
              <w:t>20.4%</w:t>
            </w:r>
          </w:p>
        </w:tc>
      </w:tr>
      <w:tr>
        <w:trPr>
          <w:trHeight w:val="40"/>
        </w:trPr>
        <w:tc>
          <w:tcPr>
            <w:tcW w:w="7680" w:type="dxa"/>
            <w:vAlign w:val="bottom"/>
            <w:tcBorders>
              <w:bottom w:val="single" w:sz="8" w:color="007CBA"/>
              <w:right w:val="single" w:sz="8" w:color="007CBA"/>
            </w:tcBorders>
          </w:tcPr>
          <w:p>
            <w:pPr>
              <w:spacing w:after="0"/>
              <w:rPr>
                <w:sz w:val="3"/>
                <w:szCs w:val="3"/>
                <w:color w:val="auto"/>
              </w:rPr>
            </w:pPr>
          </w:p>
        </w:tc>
        <w:tc>
          <w:tcPr>
            <w:tcW w:w="220" w:type="dxa"/>
            <w:vAlign w:val="bottom"/>
            <w:tcBorders>
              <w:bottom w:val="single" w:sz="8" w:color="007CBA"/>
            </w:tcBorders>
          </w:tcPr>
          <w:p>
            <w:pPr>
              <w:spacing w:after="0"/>
              <w:rPr>
                <w:sz w:val="3"/>
                <w:szCs w:val="3"/>
                <w:color w:val="auto"/>
              </w:rPr>
            </w:pPr>
          </w:p>
        </w:tc>
        <w:tc>
          <w:tcPr>
            <w:tcW w:w="320" w:type="dxa"/>
            <w:vAlign w:val="bottom"/>
            <w:tcBorders>
              <w:bottom w:val="single" w:sz="8" w:color="007CBA"/>
            </w:tcBorders>
          </w:tcPr>
          <w:p>
            <w:pPr>
              <w:spacing w:after="0"/>
              <w:rPr>
                <w:sz w:val="3"/>
                <w:szCs w:val="3"/>
                <w:color w:val="auto"/>
              </w:rPr>
            </w:pPr>
          </w:p>
        </w:tc>
        <w:tc>
          <w:tcPr>
            <w:tcW w:w="100" w:type="dxa"/>
            <w:vAlign w:val="bottom"/>
            <w:tcBorders>
              <w:bottom w:val="single" w:sz="8" w:color="007CBA"/>
            </w:tcBorders>
          </w:tcPr>
          <w:p>
            <w:pPr>
              <w:spacing w:after="0"/>
              <w:rPr>
                <w:sz w:val="3"/>
                <w:szCs w:val="3"/>
                <w:color w:val="auto"/>
              </w:rPr>
            </w:pPr>
          </w:p>
        </w:tc>
        <w:tc>
          <w:tcPr>
            <w:tcW w:w="400" w:type="dxa"/>
            <w:vAlign w:val="bottom"/>
            <w:tcBorders>
              <w:bottom w:val="single" w:sz="8" w:color="007CBA"/>
            </w:tcBorders>
          </w:tcPr>
          <w:p>
            <w:pPr>
              <w:spacing w:after="0"/>
              <w:rPr>
                <w:sz w:val="3"/>
                <w:szCs w:val="3"/>
                <w:color w:val="auto"/>
              </w:rPr>
            </w:pPr>
          </w:p>
        </w:tc>
        <w:tc>
          <w:tcPr>
            <w:tcW w:w="20" w:type="dxa"/>
            <w:vAlign w:val="bottom"/>
            <w:tcBorders>
              <w:top w:val="single" w:sz="8" w:color="auto"/>
              <w:bottom w:val="single" w:sz="8" w:color="007CBA"/>
            </w:tcBorders>
          </w:tcPr>
          <w:p>
            <w:pPr>
              <w:spacing w:after="0"/>
              <w:rPr>
                <w:sz w:val="3"/>
                <w:szCs w:val="3"/>
                <w:color w:val="auto"/>
              </w:rPr>
            </w:pPr>
          </w:p>
        </w:tc>
        <w:tc>
          <w:tcPr>
            <w:tcW w:w="300" w:type="dxa"/>
            <w:vAlign w:val="bottom"/>
            <w:tcBorders>
              <w:top w:val="single" w:sz="8" w:color="auto"/>
              <w:bottom w:val="single" w:sz="8" w:color="007CBA"/>
            </w:tcBorders>
          </w:tcPr>
          <w:p>
            <w:pPr>
              <w:spacing w:after="0"/>
              <w:rPr>
                <w:sz w:val="3"/>
                <w:szCs w:val="3"/>
                <w:color w:val="auto"/>
              </w:rPr>
            </w:pPr>
          </w:p>
        </w:tc>
        <w:tc>
          <w:tcPr>
            <w:tcW w:w="340" w:type="dxa"/>
            <w:vAlign w:val="bottom"/>
            <w:tcBorders>
              <w:bottom w:val="single" w:sz="8" w:color="007CBA"/>
            </w:tcBorders>
          </w:tcPr>
          <w:p>
            <w:pPr>
              <w:spacing w:after="0"/>
              <w:rPr>
                <w:sz w:val="3"/>
                <w:szCs w:val="3"/>
                <w:color w:val="auto"/>
              </w:rPr>
            </w:pPr>
          </w:p>
        </w:tc>
        <w:tc>
          <w:tcPr>
            <w:tcW w:w="120" w:type="dxa"/>
            <w:vAlign w:val="bottom"/>
            <w:tcBorders>
              <w:bottom w:val="single" w:sz="8" w:color="007CBA"/>
              <w:right w:val="single" w:sz="8" w:color="007CBA"/>
            </w:tcBorders>
          </w:tcPr>
          <w:p>
            <w:pPr>
              <w:spacing w:after="0"/>
              <w:rPr>
                <w:sz w:val="3"/>
                <w:szCs w:val="3"/>
                <w:color w:val="auto"/>
              </w:rPr>
            </w:pPr>
          </w:p>
        </w:tc>
        <w:tc>
          <w:tcPr>
            <w:tcW w:w="520" w:type="dxa"/>
            <w:vAlign w:val="bottom"/>
            <w:tcBorders>
              <w:bottom w:val="single" w:sz="8" w:color="007CBA"/>
            </w:tcBorders>
          </w:tcPr>
          <w:p>
            <w:pPr>
              <w:spacing w:after="0"/>
              <w:rPr>
                <w:sz w:val="3"/>
                <w:szCs w:val="3"/>
                <w:color w:val="auto"/>
              </w:rPr>
            </w:pPr>
          </w:p>
        </w:tc>
        <w:tc>
          <w:tcPr>
            <w:tcW w:w="140" w:type="dxa"/>
            <w:vAlign w:val="bottom"/>
            <w:tcBorders>
              <w:bottom w:val="single" w:sz="8" w:color="007CBA"/>
            </w:tcBorders>
          </w:tcPr>
          <w:p>
            <w:pPr>
              <w:spacing w:after="0"/>
              <w:rPr>
                <w:sz w:val="3"/>
                <w:szCs w:val="3"/>
                <w:color w:val="auto"/>
              </w:rPr>
            </w:pPr>
          </w:p>
        </w:tc>
        <w:tc>
          <w:tcPr>
            <w:tcW w:w="80" w:type="dxa"/>
            <w:vAlign w:val="bottom"/>
            <w:tcBorders>
              <w:bottom w:val="single" w:sz="8" w:color="007CBA"/>
            </w:tcBorders>
          </w:tcPr>
          <w:p>
            <w:pPr>
              <w:spacing w:after="0"/>
              <w:rPr>
                <w:sz w:val="3"/>
                <w:szCs w:val="3"/>
                <w:color w:val="auto"/>
              </w:rPr>
            </w:pPr>
          </w:p>
        </w:tc>
        <w:tc>
          <w:tcPr>
            <w:tcW w:w="420" w:type="dxa"/>
            <w:vAlign w:val="bottom"/>
            <w:tcBorders>
              <w:bottom w:val="single" w:sz="8" w:color="007CBA"/>
            </w:tcBorders>
          </w:tcPr>
          <w:p>
            <w:pPr>
              <w:spacing w:after="0"/>
              <w:rPr>
                <w:sz w:val="3"/>
                <w:szCs w:val="3"/>
                <w:color w:val="auto"/>
              </w:rPr>
            </w:pPr>
          </w:p>
        </w:tc>
        <w:tc>
          <w:tcPr>
            <w:tcW w:w="320" w:type="dxa"/>
            <w:vAlign w:val="bottom"/>
            <w:tcBorders>
              <w:top w:val="single" w:sz="8" w:color="auto"/>
              <w:bottom w:val="single" w:sz="8" w:color="007CBA"/>
            </w:tcBorders>
          </w:tcPr>
          <w:p>
            <w:pPr>
              <w:spacing w:after="0"/>
              <w:rPr>
                <w:sz w:val="3"/>
                <w:szCs w:val="3"/>
                <w:color w:val="auto"/>
              </w:rPr>
            </w:pPr>
          </w:p>
        </w:tc>
        <w:tc>
          <w:tcPr>
            <w:tcW w:w="440" w:type="dxa"/>
            <w:vAlign w:val="bottom"/>
            <w:tcBorders>
              <w:bottom w:val="single" w:sz="8" w:color="007CBA"/>
            </w:tcBorders>
          </w:tcPr>
          <w:p>
            <w:pPr>
              <w:spacing w:after="0"/>
              <w:rPr>
                <w:sz w:val="3"/>
                <w:szCs w:val="3"/>
                <w:color w:val="auto"/>
              </w:rPr>
            </w:pPr>
          </w:p>
        </w:tc>
      </w:tr>
      <w:tr>
        <w:trPr>
          <w:trHeight w:val="319"/>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Consolidated Gross Margin (Excluding Freight and Delivery Revenues) for years ended December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09"/>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62"/>
        </w:trPr>
        <w:tc>
          <w:tcPr>
            <w:tcW w:w="7680" w:type="dxa"/>
            <w:vAlign w:val="bottom"/>
            <w:tcBorders>
              <w:right w:val="single" w:sz="8" w:color="007CBA"/>
            </w:tcBorders>
            <w:shd w:val="clear" w:color="auto" w:fill="007CBA"/>
          </w:tcPr>
          <w:p>
            <w:pPr>
              <w:spacing w:after="0"/>
              <w:rPr>
                <w:sz w:val="14"/>
                <w:szCs w:val="14"/>
                <w:color w:val="auto"/>
              </w:rPr>
            </w:pPr>
          </w:p>
        </w:tc>
        <w:tc>
          <w:tcPr>
            <w:tcW w:w="220" w:type="dxa"/>
            <w:vAlign w:val="bottom"/>
            <w:tcBorders>
              <w:right w:val="single" w:sz="8" w:color="007CBA"/>
            </w:tcBorders>
            <w:shd w:val="clear" w:color="auto" w:fill="007CBA"/>
          </w:tcPr>
          <w:p>
            <w:pPr>
              <w:spacing w:after="0"/>
              <w:rPr>
                <w:sz w:val="14"/>
                <w:szCs w:val="14"/>
                <w:color w:val="auto"/>
              </w:rPr>
            </w:pPr>
          </w:p>
        </w:tc>
        <w:tc>
          <w:tcPr>
            <w:tcW w:w="32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720" w:type="dxa"/>
            <w:vAlign w:val="bottom"/>
            <w:gridSpan w:val="3"/>
            <w:shd w:val="clear" w:color="auto" w:fill="007CBA"/>
          </w:tcPr>
          <w:p>
            <w:pPr>
              <w:jc w:val="right"/>
              <w:ind w:right="20"/>
              <w:spacing w:after="0"/>
              <w:rPr>
                <w:sz w:val="20"/>
                <w:szCs w:val="20"/>
                <w:color w:val="auto"/>
              </w:rPr>
            </w:pPr>
            <w:r>
              <w:rPr>
                <w:rFonts w:ascii="Arial" w:cs="Arial" w:eastAsia="Arial" w:hAnsi="Arial"/>
                <w:sz w:val="14"/>
                <w:szCs w:val="14"/>
                <w:b w:val="1"/>
                <w:bCs w:val="1"/>
                <w:color w:val="FFFFFF"/>
              </w:rPr>
              <w:t>2016</w:t>
            </w:r>
          </w:p>
        </w:tc>
        <w:tc>
          <w:tcPr>
            <w:tcW w:w="340" w:type="dxa"/>
            <w:vAlign w:val="bottom"/>
            <w:tcBorders>
              <w:right w:val="single" w:sz="8" w:color="007CBA"/>
            </w:tcBorders>
            <w:shd w:val="clear" w:color="auto" w:fill="007CBA"/>
          </w:tcPr>
          <w:p>
            <w:pPr>
              <w:spacing w:after="0"/>
              <w:rPr>
                <w:sz w:val="14"/>
                <w:szCs w:val="14"/>
                <w:color w:val="auto"/>
              </w:rPr>
            </w:pPr>
          </w:p>
        </w:tc>
        <w:tc>
          <w:tcPr>
            <w:tcW w:w="120" w:type="dxa"/>
            <w:vAlign w:val="bottom"/>
            <w:tcBorders>
              <w:right w:val="single" w:sz="8" w:color="007CBA"/>
            </w:tcBorders>
            <w:shd w:val="clear" w:color="auto" w:fill="007CBA"/>
          </w:tcPr>
          <w:p>
            <w:pPr>
              <w:spacing w:after="0"/>
              <w:rPr>
                <w:sz w:val="14"/>
                <w:szCs w:val="14"/>
                <w:color w:val="auto"/>
              </w:rPr>
            </w:pPr>
          </w:p>
        </w:tc>
        <w:tc>
          <w:tcPr>
            <w:tcW w:w="520" w:type="dxa"/>
            <w:vAlign w:val="bottom"/>
            <w:shd w:val="clear" w:color="auto" w:fill="007CBA"/>
          </w:tcPr>
          <w:p>
            <w:pPr>
              <w:spacing w:after="0"/>
              <w:rPr>
                <w:sz w:val="14"/>
                <w:szCs w:val="14"/>
                <w:color w:val="auto"/>
              </w:rPr>
            </w:pPr>
          </w:p>
        </w:tc>
        <w:tc>
          <w:tcPr>
            <w:tcW w:w="140" w:type="dxa"/>
            <w:vAlign w:val="bottom"/>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740" w:type="dxa"/>
            <w:vAlign w:val="bottom"/>
            <w:gridSpan w:val="2"/>
            <w:shd w:val="clear" w:color="auto" w:fill="007CBA"/>
          </w:tcPr>
          <w:p>
            <w:pPr>
              <w:jc w:val="right"/>
              <w:ind w:right="40"/>
              <w:spacing w:after="0"/>
              <w:rPr>
                <w:sz w:val="20"/>
                <w:szCs w:val="20"/>
                <w:color w:val="auto"/>
              </w:rPr>
            </w:pPr>
            <w:r>
              <w:rPr>
                <w:rFonts w:ascii="Arial" w:cs="Arial" w:eastAsia="Arial" w:hAnsi="Arial"/>
                <w:sz w:val="14"/>
                <w:szCs w:val="14"/>
                <w:b w:val="1"/>
                <w:bCs w:val="1"/>
                <w:color w:val="FFFFFF"/>
              </w:rPr>
              <w:t>2015</w:t>
            </w:r>
          </w:p>
        </w:tc>
        <w:tc>
          <w:tcPr>
            <w:tcW w:w="440" w:type="dxa"/>
            <w:vAlign w:val="bottom"/>
            <w:shd w:val="clear" w:color="auto" w:fill="007CBA"/>
          </w:tcPr>
          <w:p>
            <w:pPr>
              <w:spacing w:after="0"/>
              <w:rPr>
                <w:sz w:val="14"/>
                <w:szCs w:val="14"/>
                <w:color w:val="auto"/>
              </w:rPr>
            </w:pPr>
          </w:p>
        </w:tc>
      </w:tr>
      <w:tr>
        <w:trPr>
          <w:trHeight w:val="189"/>
        </w:trPr>
        <w:tc>
          <w:tcPr>
            <w:tcW w:w="768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908,966</w:t>
            </w:r>
          </w:p>
        </w:tc>
        <w:tc>
          <w:tcPr>
            <w:tcW w:w="340" w:type="dxa"/>
            <w:vAlign w:val="bottom"/>
          </w:tcPr>
          <w:p>
            <w:pPr>
              <w:spacing w:after="0"/>
              <w:rPr>
                <w:sz w:val="16"/>
                <w:szCs w:val="16"/>
                <w:color w:val="auto"/>
              </w:rPr>
            </w:pPr>
          </w:p>
        </w:tc>
        <w:tc>
          <w:tcPr>
            <w:tcW w:w="120" w:type="dxa"/>
            <w:vAlign w:val="bottom"/>
            <w:tcBorders>
              <w:right w:val="single" w:sz="8" w:color="007CBA"/>
            </w:tcBorders>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721,767</w:t>
            </w:r>
          </w:p>
        </w:tc>
        <w:tc>
          <w:tcPr>
            <w:tcW w:w="440" w:type="dxa"/>
            <w:vAlign w:val="bottom"/>
          </w:tcPr>
          <w:p>
            <w:pPr>
              <w:spacing w:after="0"/>
              <w:rPr>
                <w:sz w:val="16"/>
                <w:szCs w:val="16"/>
                <w:color w:val="auto"/>
              </w:rPr>
            </w:pPr>
          </w:p>
        </w:tc>
      </w:tr>
      <w:tr>
        <w:trPr>
          <w:trHeight w:val="20"/>
        </w:trPr>
        <w:tc>
          <w:tcPr>
            <w:tcW w:w="7680" w:type="dxa"/>
            <w:vAlign w:val="bottom"/>
            <w:tcBorders>
              <w:right w:val="single" w:sz="8" w:color="007CBA"/>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right w:val="single" w:sz="8" w:color="007CBA"/>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Total revenues</w:t>
            </w:r>
          </w:p>
        </w:tc>
        <w:tc>
          <w:tcPr>
            <w:tcW w:w="220" w:type="dxa"/>
            <w:vAlign w:val="bottom"/>
            <w:tcBorders>
              <w:right w:val="single" w:sz="8" w:color="E5F1F8"/>
            </w:tcBorders>
            <w:shd w:val="clear" w:color="auto" w:fill="E5F1F8"/>
          </w:tcPr>
          <w:p>
            <w:pPr>
              <w:spacing w:after="0"/>
              <w:rPr>
                <w:sz w:val="15"/>
                <w:szCs w:val="15"/>
                <w:color w:val="auto"/>
              </w:rPr>
            </w:pPr>
          </w:p>
        </w:tc>
        <w:tc>
          <w:tcPr>
            <w:tcW w:w="42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F1F8"/>
          </w:tcPr>
          <w:p>
            <w:pPr>
              <w:jc w:val="right"/>
              <w:spacing w:after="0"/>
              <w:rPr>
                <w:sz w:val="20"/>
                <w:szCs w:val="20"/>
                <w:color w:val="auto"/>
              </w:rPr>
            </w:pPr>
            <w:r>
              <w:rPr>
                <w:rFonts w:ascii="Arial" w:cs="Arial" w:eastAsia="Arial" w:hAnsi="Arial"/>
                <w:sz w:val="16"/>
                <w:szCs w:val="16"/>
                <w:color w:val="auto"/>
                <w:w w:val="98"/>
              </w:rPr>
              <w:t>3,818,749</w:t>
            </w:r>
          </w:p>
        </w:tc>
        <w:tc>
          <w:tcPr>
            <w:tcW w:w="340" w:type="dxa"/>
            <w:vAlign w:val="bottom"/>
            <w:tcBorders>
              <w:right w:val="single" w:sz="8" w:color="E5F1F8"/>
            </w:tcBorders>
            <w:shd w:val="clear" w:color="auto" w:fill="E5F1F8"/>
          </w:tcPr>
          <w:p>
            <w:pPr>
              <w:spacing w:after="0"/>
              <w:rPr>
                <w:sz w:val="15"/>
                <w:szCs w:val="15"/>
                <w:color w:val="auto"/>
              </w:rPr>
            </w:pPr>
          </w:p>
        </w:tc>
        <w:tc>
          <w:tcPr>
            <w:tcW w:w="120" w:type="dxa"/>
            <w:vAlign w:val="bottom"/>
            <w:tcBorders>
              <w:right w:val="single" w:sz="8" w:color="007CBA"/>
            </w:tcBorders>
            <w:shd w:val="clear" w:color="auto" w:fill="E5F1F8"/>
          </w:tcPr>
          <w:p>
            <w:pPr>
              <w:spacing w:after="0"/>
              <w:rPr>
                <w:sz w:val="15"/>
                <w:szCs w:val="15"/>
                <w:color w:val="auto"/>
              </w:rPr>
            </w:pPr>
          </w:p>
        </w:tc>
        <w:tc>
          <w:tcPr>
            <w:tcW w:w="1480" w:type="dxa"/>
            <w:vAlign w:val="bottom"/>
            <w:gridSpan w:val="5"/>
            <w:shd w:val="clear" w:color="auto" w:fill="E5F1F8"/>
          </w:tcPr>
          <w:p>
            <w:pPr>
              <w:jc w:val="right"/>
              <w:spacing w:after="0"/>
              <w:rPr>
                <w:sz w:val="20"/>
                <w:szCs w:val="20"/>
                <w:color w:val="auto"/>
              </w:rPr>
            </w:pPr>
            <w:r>
              <w:rPr>
                <w:rFonts w:ascii="Arial" w:cs="Arial" w:eastAsia="Arial" w:hAnsi="Arial"/>
                <w:sz w:val="16"/>
                <w:szCs w:val="16"/>
                <w:color w:val="auto"/>
              </w:rPr>
              <w:t>$3,539,570</w:t>
            </w:r>
          </w:p>
        </w:tc>
        <w:tc>
          <w:tcPr>
            <w:tcW w:w="440" w:type="dxa"/>
            <w:vAlign w:val="bottom"/>
            <w:shd w:val="clear" w:color="auto" w:fill="E5F1F8"/>
          </w:tcPr>
          <w:p>
            <w:pPr>
              <w:spacing w:after="0"/>
              <w:rPr>
                <w:sz w:val="15"/>
                <w:szCs w:val="15"/>
                <w:color w:val="auto"/>
              </w:rPr>
            </w:pPr>
          </w:p>
        </w:tc>
      </w:tr>
      <w:tr>
        <w:trPr>
          <w:trHeight w:val="196"/>
        </w:trPr>
        <w:tc>
          <w:tcPr>
            <w:tcW w:w="768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Less: Freight and delivery revenues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color w:val="auto"/>
              </w:rPr>
              <w:t>(241,982)</w:t>
            </w:r>
          </w:p>
        </w:tc>
        <w:tc>
          <w:tcPr>
            <w:tcW w:w="120" w:type="dxa"/>
            <w:vAlign w:val="bottom"/>
            <w:tcBorders>
              <w:bottom w:val="single" w:sz="8" w:color="auto"/>
              <w:right w:val="single" w:sz="8" w:color="007CBA"/>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color w:val="auto"/>
              </w:rPr>
              <w:t>(271,454)</w:t>
            </w:r>
          </w:p>
        </w:tc>
      </w:tr>
      <w:tr>
        <w:trPr>
          <w:trHeight w:val="189"/>
        </w:trPr>
        <w:tc>
          <w:tcPr>
            <w:tcW w:w="76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Net sales</w:t>
            </w:r>
          </w:p>
        </w:tc>
        <w:tc>
          <w:tcPr>
            <w:tcW w:w="220" w:type="dxa"/>
            <w:vAlign w:val="bottom"/>
            <w:tcBorders>
              <w:right w:val="single" w:sz="8" w:color="E5F1F8"/>
            </w:tcBorders>
            <w:shd w:val="clear" w:color="auto" w:fill="E5F1F8"/>
          </w:tcPr>
          <w:p>
            <w:pPr>
              <w:spacing w:after="0"/>
              <w:rPr>
                <w:sz w:val="16"/>
                <w:szCs w:val="16"/>
                <w:color w:val="auto"/>
              </w:rPr>
            </w:pPr>
          </w:p>
        </w:tc>
        <w:tc>
          <w:tcPr>
            <w:tcW w:w="420" w:type="dxa"/>
            <w:vAlign w:val="bottom"/>
            <w:gridSpan w:val="2"/>
            <w:shd w:val="clear" w:color="auto" w:fill="E5F1F8"/>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E5F1F8"/>
          </w:tcPr>
          <w:p>
            <w:pPr>
              <w:jc w:val="right"/>
              <w:spacing w:after="0"/>
              <w:rPr>
                <w:sz w:val="20"/>
                <w:szCs w:val="20"/>
                <w:color w:val="auto"/>
              </w:rPr>
            </w:pPr>
            <w:r>
              <w:rPr>
                <w:rFonts w:ascii="Arial" w:cs="Arial" w:eastAsia="Arial" w:hAnsi="Arial"/>
                <w:sz w:val="16"/>
                <w:szCs w:val="16"/>
                <w:color w:val="auto"/>
                <w:w w:val="98"/>
              </w:rPr>
              <w:t>3,576,767</w:t>
            </w:r>
          </w:p>
        </w:tc>
        <w:tc>
          <w:tcPr>
            <w:tcW w:w="340" w:type="dxa"/>
            <w:vAlign w:val="bottom"/>
            <w:tcBorders>
              <w:right w:val="single" w:sz="8" w:color="E5F1F8"/>
            </w:tcBorders>
            <w:shd w:val="clear" w:color="auto" w:fill="E5F1F8"/>
          </w:tcPr>
          <w:p>
            <w:pPr>
              <w:spacing w:after="0"/>
              <w:rPr>
                <w:sz w:val="16"/>
                <w:szCs w:val="16"/>
                <w:color w:val="auto"/>
              </w:rPr>
            </w:pPr>
          </w:p>
        </w:tc>
        <w:tc>
          <w:tcPr>
            <w:tcW w:w="120" w:type="dxa"/>
            <w:vAlign w:val="bottom"/>
            <w:tcBorders>
              <w:right w:val="single" w:sz="8" w:color="007CBA"/>
            </w:tcBorders>
            <w:shd w:val="clear" w:color="auto" w:fill="E5F1F8"/>
          </w:tcPr>
          <w:p>
            <w:pPr>
              <w:spacing w:after="0"/>
              <w:rPr>
                <w:sz w:val="16"/>
                <w:szCs w:val="16"/>
                <w:color w:val="auto"/>
              </w:rPr>
            </w:pPr>
          </w:p>
        </w:tc>
        <w:tc>
          <w:tcPr>
            <w:tcW w:w="1480" w:type="dxa"/>
            <w:vAlign w:val="bottom"/>
            <w:gridSpan w:val="5"/>
            <w:shd w:val="clear" w:color="auto" w:fill="E5F1F8"/>
          </w:tcPr>
          <w:p>
            <w:pPr>
              <w:jc w:val="right"/>
              <w:spacing w:after="0"/>
              <w:rPr>
                <w:sz w:val="20"/>
                <w:szCs w:val="20"/>
                <w:color w:val="auto"/>
              </w:rPr>
            </w:pPr>
            <w:r>
              <w:rPr>
                <w:rFonts w:ascii="Arial" w:cs="Arial" w:eastAsia="Arial" w:hAnsi="Arial"/>
                <w:sz w:val="16"/>
                <w:szCs w:val="16"/>
                <w:color w:val="auto"/>
              </w:rPr>
              <w:t>$3,268,116</w:t>
            </w:r>
          </w:p>
        </w:tc>
        <w:tc>
          <w:tcPr>
            <w:tcW w:w="440" w:type="dxa"/>
            <w:vAlign w:val="bottom"/>
            <w:shd w:val="clear" w:color="auto" w:fill="E5F1F8"/>
          </w:tcPr>
          <w:p>
            <w:pPr>
              <w:spacing w:after="0"/>
              <w:rPr>
                <w:sz w:val="16"/>
                <w:szCs w:val="16"/>
                <w:color w:val="auto"/>
              </w:rPr>
            </w:pPr>
          </w:p>
        </w:tc>
      </w:tr>
      <w:tr>
        <w:trPr>
          <w:trHeight w:val="20"/>
        </w:trPr>
        <w:tc>
          <w:tcPr>
            <w:tcW w:w="7680" w:type="dxa"/>
            <w:vAlign w:val="bottom"/>
            <w:tcBorders>
              <w:right w:val="single" w:sz="8" w:color="007CBA"/>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right w:val="single" w:sz="8" w:color="007CBA"/>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680" w:type="dxa"/>
            <w:vAlign w:val="bottom"/>
            <w:tcBorders>
              <w:right w:val="single" w:sz="8" w:color="007CBA"/>
            </w:tcBorders>
          </w:tcPr>
          <w:p>
            <w:pPr>
              <w:ind w:left="80"/>
              <w:spacing w:after="0" w:line="156" w:lineRule="exact"/>
              <w:rPr>
                <w:sz w:val="20"/>
                <w:szCs w:val="20"/>
                <w:color w:val="auto"/>
              </w:rPr>
            </w:pPr>
            <w:r>
              <w:rPr>
                <w:rFonts w:ascii="Arial" w:cs="Arial" w:eastAsia="Arial" w:hAnsi="Arial"/>
                <w:sz w:val="16"/>
                <w:szCs w:val="16"/>
                <w:color w:val="auto"/>
              </w:rPr>
              <w:t>Gross margin (excluding freight and delivery revenues)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right"/>
              <w:ind w:right="200"/>
              <w:spacing w:after="0" w:line="156" w:lineRule="exact"/>
              <w:rPr>
                <w:sz w:val="20"/>
                <w:szCs w:val="20"/>
                <w:color w:val="auto"/>
              </w:rPr>
            </w:pPr>
            <w:r>
              <w:rPr>
                <w:rFonts w:ascii="Arial" w:cs="Arial" w:eastAsia="Arial" w:hAnsi="Arial"/>
                <w:sz w:val="16"/>
                <w:szCs w:val="16"/>
                <w:color w:val="auto"/>
              </w:rPr>
              <w:t>25.4%</w:t>
            </w:r>
          </w:p>
        </w:tc>
        <w:tc>
          <w:tcPr>
            <w:tcW w:w="12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300"/>
              <w:spacing w:after="0" w:line="156" w:lineRule="exact"/>
              <w:rPr>
                <w:sz w:val="20"/>
                <w:szCs w:val="20"/>
                <w:color w:val="auto"/>
              </w:rPr>
            </w:pPr>
            <w:r>
              <w:rPr>
                <w:rFonts w:ascii="Arial" w:cs="Arial" w:eastAsia="Arial" w:hAnsi="Arial"/>
                <w:sz w:val="16"/>
                <w:szCs w:val="16"/>
                <w:color w:val="auto"/>
              </w:rPr>
              <w:t>22.1%</w:t>
            </w:r>
          </w:p>
        </w:tc>
      </w:tr>
      <w:tr>
        <w:trPr>
          <w:trHeight w:val="40"/>
        </w:trPr>
        <w:tc>
          <w:tcPr>
            <w:tcW w:w="7680" w:type="dxa"/>
            <w:vAlign w:val="bottom"/>
            <w:tcBorders>
              <w:bottom w:val="single" w:sz="8" w:color="007CBA"/>
              <w:right w:val="single" w:sz="8" w:color="007CBA"/>
            </w:tcBorders>
          </w:tcPr>
          <w:p>
            <w:pPr>
              <w:spacing w:after="0"/>
              <w:rPr>
                <w:sz w:val="3"/>
                <w:szCs w:val="3"/>
                <w:color w:val="auto"/>
              </w:rPr>
            </w:pPr>
          </w:p>
        </w:tc>
        <w:tc>
          <w:tcPr>
            <w:tcW w:w="220" w:type="dxa"/>
            <w:vAlign w:val="bottom"/>
            <w:tcBorders>
              <w:bottom w:val="single" w:sz="8" w:color="007CBA"/>
            </w:tcBorders>
          </w:tcPr>
          <w:p>
            <w:pPr>
              <w:spacing w:after="0"/>
              <w:rPr>
                <w:sz w:val="3"/>
                <w:szCs w:val="3"/>
                <w:color w:val="auto"/>
              </w:rPr>
            </w:pPr>
          </w:p>
        </w:tc>
        <w:tc>
          <w:tcPr>
            <w:tcW w:w="320" w:type="dxa"/>
            <w:vAlign w:val="bottom"/>
            <w:tcBorders>
              <w:bottom w:val="single" w:sz="8" w:color="007CBA"/>
            </w:tcBorders>
          </w:tcPr>
          <w:p>
            <w:pPr>
              <w:spacing w:after="0"/>
              <w:rPr>
                <w:sz w:val="3"/>
                <w:szCs w:val="3"/>
                <w:color w:val="auto"/>
              </w:rPr>
            </w:pPr>
          </w:p>
        </w:tc>
        <w:tc>
          <w:tcPr>
            <w:tcW w:w="100" w:type="dxa"/>
            <w:vAlign w:val="bottom"/>
            <w:tcBorders>
              <w:bottom w:val="single" w:sz="8" w:color="007CBA"/>
            </w:tcBorders>
          </w:tcPr>
          <w:p>
            <w:pPr>
              <w:spacing w:after="0"/>
              <w:rPr>
                <w:sz w:val="3"/>
                <w:szCs w:val="3"/>
                <w:color w:val="auto"/>
              </w:rPr>
            </w:pPr>
          </w:p>
        </w:tc>
        <w:tc>
          <w:tcPr>
            <w:tcW w:w="400" w:type="dxa"/>
            <w:vAlign w:val="bottom"/>
            <w:tcBorders>
              <w:bottom w:val="single" w:sz="8" w:color="007CBA"/>
            </w:tcBorders>
          </w:tcPr>
          <w:p>
            <w:pPr>
              <w:spacing w:after="0"/>
              <w:rPr>
                <w:sz w:val="3"/>
                <w:szCs w:val="3"/>
                <w:color w:val="auto"/>
              </w:rPr>
            </w:pPr>
          </w:p>
        </w:tc>
        <w:tc>
          <w:tcPr>
            <w:tcW w:w="20" w:type="dxa"/>
            <w:vAlign w:val="bottom"/>
            <w:tcBorders>
              <w:top w:val="single" w:sz="8" w:color="auto"/>
              <w:bottom w:val="single" w:sz="8" w:color="007CBA"/>
            </w:tcBorders>
          </w:tcPr>
          <w:p>
            <w:pPr>
              <w:spacing w:after="0"/>
              <w:rPr>
                <w:sz w:val="3"/>
                <w:szCs w:val="3"/>
                <w:color w:val="auto"/>
              </w:rPr>
            </w:pPr>
          </w:p>
        </w:tc>
        <w:tc>
          <w:tcPr>
            <w:tcW w:w="300" w:type="dxa"/>
            <w:vAlign w:val="bottom"/>
            <w:tcBorders>
              <w:top w:val="single" w:sz="8" w:color="auto"/>
              <w:bottom w:val="single" w:sz="8" w:color="007CBA"/>
            </w:tcBorders>
          </w:tcPr>
          <w:p>
            <w:pPr>
              <w:spacing w:after="0"/>
              <w:rPr>
                <w:sz w:val="3"/>
                <w:szCs w:val="3"/>
                <w:color w:val="auto"/>
              </w:rPr>
            </w:pPr>
          </w:p>
        </w:tc>
        <w:tc>
          <w:tcPr>
            <w:tcW w:w="340" w:type="dxa"/>
            <w:vAlign w:val="bottom"/>
            <w:tcBorders>
              <w:bottom w:val="single" w:sz="8" w:color="007CBA"/>
            </w:tcBorders>
          </w:tcPr>
          <w:p>
            <w:pPr>
              <w:spacing w:after="0"/>
              <w:rPr>
                <w:sz w:val="3"/>
                <w:szCs w:val="3"/>
                <w:color w:val="auto"/>
              </w:rPr>
            </w:pPr>
          </w:p>
        </w:tc>
        <w:tc>
          <w:tcPr>
            <w:tcW w:w="120" w:type="dxa"/>
            <w:vAlign w:val="bottom"/>
            <w:tcBorders>
              <w:bottom w:val="single" w:sz="8" w:color="007CBA"/>
              <w:right w:val="single" w:sz="8" w:color="007CBA"/>
            </w:tcBorders>
          </w:tcPr>
          <w:p>
            <w:pPr>
              <w:spacing w:after="0"/>
              <w:rPr>
                <w:sz w:val="3"/>
                <w:szCs w:val="3"/>
                <w:color w:val="auto"/>
              </w:rPr>
            </w:pPr>
          </w:p>
        </w:tc>
        <w:tc>
          <w:tcPr>
            <w:tcW w:w="520" w:type="dxa"/>
            <w:vAlign w:val="bottom"/>
            <w:tcBorders>
              <w:bottom w:val="single" w:sz="8" w:color="007CBA"/>
            </w:tcBorders>
          </w:tcPr>
          <w:p>
            <w:pPr>
              <w:spacing w:after="0"/>
              <w:rPr>
                <w:sz w:val="3"/>
                <w:szCs w:val="3"/>
                <w:color w:val="auto"/>
              </w:rPr>
            </w:pPr>
          </w:p>
        </w:tc>
        <w:tc>
          <w:tcPr>
            <w:tcW w:w="140" w:type="dxa"/>
            <w:vAlign w:val="bottom"/>
            <w:tcBorders>
              <w:bottom w:val="single" w:sz="8" w:color="007CBA"/>
            </w:tcBorders>
          </w:tcPr>
          <w:p>
            <w:pPr>
              <w:spacing w:after="0"/>
              <w:rPr>
                <w:sz w:val="3"/>
                <w:szCs w:val="3"/>
                <w:color w:val="auto"/>
              </w:rPr>
            </w:pPr>
          </w:p>
        </w:tc>
        <w:tc>
          <w:tcPr>
            <w:tcW w:w="80" w:type="dxa"/>
            <w:vAlign w:val="bottom"/>
            <w:tcBorders>
              <w:bottom w:val="single" w:sz="8" w:color="007CBA"/>
            </w:tcBorders>
          </w:tcPr>
          <w:p>
            <w:pPr>
              <w:spacing w:after="0"/>
              <w:rPr>
                <w:sz w:val="3"/>
                <w:szCs w:val="3"/>
                <w:color w:val="auto"/>
              </w:rPr>
            </w:pPr>
          </w:p>
        </w:tc>
        <w:tc>
          <w:tcPr>
            <w:tcW w:w="420" w:type="dxa"/>
            <w:vAlign w:val="bottom"/>
            <w:tcBorders>
              <w:bottom w:val="single" w:sz="8" w:color="007CBA"/>
            </w:tcBorders>
          </w:tcPr>
          <w:p>
            <w:pPr>
              <w:spacing w:after="0"/>
              <w:rPr>
                <w:sz w:val="3"/>
                <w:szCs w:val="3"/>
                <w:color w:val="auto"/>
              </w:rPr>
            </w:pPr>
          </w:p>
        </w:tc>
        <w:tc>
          <w:tcPr>
            <w:tcW w:w="320" w:type="dxa"/>
            <w:vAlign w:val="bottom"/>
            <w:tcBorders>
              <w:top w:val="single" w:sz="8" w:color="auto"/>
              <w:bottom w:val="single" w:sz="8" w:color="007CBA"/>
            </w:tcBorders>
          </w:tcPr>
          <w:p>
            <w:pPr>
              <w:spacing w:after="0"/>
              <w:rPr>
                <w:sz w:val="3"/>
                <w:szCs w:val="3"/>
                <w:color w:val="auto"/>
              </w:rPr>
            </w:pPr>
          </w:p>
        </w:tc>
        <w:tc>
          <w:tcPr>
            <w:tcW w:w="440" w:type="dxa"/>
            <w:vAlign w:val="bottom"/>
            <w:tcBorders>
              <w:bottom w:val="single" w:sz="8" w:color="007CBA"/>
            </w:tcBorders>
          </w:tcPr>
          <w:p>
            <w:pPr>
              <w:spacing w:after="0"/>
              <w:rPr>
                <w:sz w:val="3"/>
                <w:szCs w:val="3"/>
                <w:color w:val="auto"/>
              </w:rPr>
            </w:pPr>
          </w:p>
        </w:tc>
      </w:tr>
      <w:tr>
        <w:trPr>
          <w:trHeight w:val="319"/>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Consolidated EBITDA for years ended December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09"/>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62"/>
        </w:trPr>
        <w:tc>
          <w:tcPr>
            <w:tcW w:w="7680" w:type="dxa"/>
            <w:vAlign w:val="bottom"/>
            <w:tcBorders>
              <w:right w:val="single" w:sz="8" w:color="007CBA"/>
            </w:tcBorders>
            <w:shd w:val="clear" w:color="auto" w:fill="007CBA"/>
          </w:tcPr>
          <w:p>
            <w:pPr>
              <w:spacing w:after="0"/>
              <w:rPr>
                <w:sz w:val="14"/>
                <w:szCs w:val="14"/>
                <w:color w:val="auto"/>
              </w:rPr>
            </w:pPr>
          </w:p>
        </w:tc>
        <w:tc>
          <w:tcPr>
            <w:tcW w:w="220" w:type="dxa"/>
            <w:vAlign w:val="bottom"/>
            <w:tcBorders>
              <w:right w:val="single" w:sz="8" w:color="007CBA"/>
            </w:tcBorders>
            <w:shd w:val="clear" w:color="auto" w:fill="007CBA"/>
          </w:tcPr>
          <w:p>
            <w:pPr>
              <w:spacing w:after="0"/>
              <w:rPr>
                <w:sz w:val="14"/>
                <w:szCs w:val="14"/>
                <w:color w:val="auto"/>
              </w:rPr>
            </w:pPr>
          </w:p>
        </w:tc>
        <w:tc>
          <w:tcPr>
            <w:tcW w:w="320" w:type="dxa"/>
            <w:vAlign w:val="bottom"/>
            <w:shd w:val="clear" w:color="auto" w:fill="007CBA"/>
          </w:tcPr>
          <w:p>
            <w:pPr>
              <w:spacing w:after="0"/>
              <w:rPr>
                <w:sz w:val="14"/>
                <w:szCs w:val="14"/>
                <w:color w:val="auto"/>
              </w:rPr>
            </w:pPr>
          </w:p>
        </w:tc>
        <w:tc>
          <w:tcPr>
            <w:tcW w:w="100" w:type="dxa"/>
            <w:vAlign w:val="bottom"/>
            <w:shd w:val="clear" w:color="auto" w:fill="007CBA"/>
          </w:tcPr>
          <w:p>
            <w:pPr>
              <w:spacing w:after="0"/>
              <w:rPr>
                <w:sz w:val="14"/>
                <w:szCs w:val="14"/>
                <w:color w:val="auto"/>
              </w:rPr>
            </w:pPr>
          </w:p>
        </w:tc>
        <w:tc>
          <w:tcPr>
            <w:tcW w:w="720" w:type="dxa"/>
            <w:vAlign w:val="bottom"/>
            <w:gridSpan w:val="3"/>
            <w:shd w:val="clear" w:color="auto" w:fill="007CBA"/>
          </w:tcPr>
          <w:p>
            <w:pPr>
              <w:jc w:val="right"/>
              <w:ind w:right="100"/>
              <w:spacing w:after="0"/>
              <w:rPr>
                <w:sz w:val="20"/>
                <w:szCs w:val="20"/>
                <w:color w:val="auto"/>
              </w:rPr>
            </w:pPr>
            <w:r>
              <w:rPr>
                <w:rFonts w:ascii="Arial" w:cs="Arial" w:eastAsia="Arial" w:hAnsi="Arial"/>
                <w:sz w:val="14"/>
                <w:szCs w:val="14"/>
                <w:b w:val="1"/>
                <w:bCs w:val="1"/>
                <w:color w:val="FFFFFF"/>
              </w:rPr>
              <w:t>2016</w:t>
            </w:r>
          </w:p>
        </w:tc>
        <w:tc>
          <w:tcPr>
            <w:tcW w:w="340" w:type="dxa"/>
            <w:vAlign w:val="bottom"/>
            <w:tcBorders>
              <w:right w:val="single" w:sz="8" w:color="007CBA"/>
            </w:tcBorders>
            <w:shd w:val="clear" w:color="auto" w:fill="007CBA"/>
          </w:tcPr>
          <w:p>
            <w:pPr>
              <w:spacing w:after="0"/>
              <w:rPr>
                <w:sz w:val="14"/>
                <w:szCs w:val="14"/>
                <w:color w:val="auto"/>
              </w:rPr>
            </w:pPr>
          </w:p>
        </w:tc>
        <w:tc>
          <w:tcPr>
            <w:tcW w:w="120" w:type="dxa"/>
            <w:vAlign w:val="bottom"/>
            <w:tcBorders>
              <w:right w:val="single" w:sz="8" w:color="007CBA"/>
            </w:tcBorders>
            <w:shd w:val="clear" w:color="auto" w:fill="007CBA"/>
          </w:tcPr>
          <w:p>
            <w:pPr>
              <w:spacing w:after="0"/>
              <w:rPr>
                <w:sz w:val="14"/>
                <w:szCs w:val="14"/>
                <w:color w:val="auto"/>
              </w:rPr>
            </w:pPr>
          </w:p>
        </w:tc>
        <w:tc>
          <w:tcPr>
            <w:tcW w:w="520" w:type="dxa"/>
            <w:vAlign w:val="bottom"/>
            <w:shd w:val="clear" w:color="auto" w:fill="007CBA"/>
          </w:tcPr>
          <w:p>
            <w:pPr>
              <w:spacing w:after="0"/>
              <w:rPr>
                <w:sz w:val="14"/>
                <w:szCs w:val="14"/>
                <w:color w:val="auto"/>
              </w:rPr>
            </w:pPr>
          </w:p>
        </w:tc>
        <w:tc>
          <w:tcPr>
            <w:tcW w:w="140" w:type="dxa"/>
            <w:vAlign w:val="bottom"/>
            <w:shd w:val="clear" w:color="auto" w:fill="007CBA"/>
          </w:tcPr>
          <w:p>
            <w:pPr>
              <w:spacing w:after="0"/>
              <w:rPr>
                <w:sz w:val="14"/>
                <w:szCs w:val="14"/>
                <w:color w:val="auto"/>
              </w:rPr>
            </w:pPr>
          </w:p>
        </w:tc>
        <w:tc>
          <w:tcPr>
            <w:tcW w:w="80" w:type="dxa"/>
            <w:vAlign w:val="bottom"/>
            <w:shd w:val="clear" w:color="auto" w:fill="007CBA"/>
          </w:tcPr>
          <w:p>
            <w:pPr>
              <w:spacing w:after="0"/>
              <w:rPr>
                <w:sz w:val="14"/>
                <w:szCs w:val="14"/>
                <w:color w:val="auto"/>
              </w:rPr>
            </w:pPr>
          </w:p>
        </w:tc>
        <w:tc>
          <w:tcPr>
            <w:tcW w:w="740" w:type="dxa"/>
            <w:vAlign w:val="bottom"/>
            <w:gridSpan w:val="2"/>
            <w:shd w:val="clear" w:color="auto" w:fill="007CBA"/>
          </w:tcPr>
          <w:p>
            <w:pPr>
              <w:jc w:val="right"/>
              <w:ind w:right="100"/>
              <w:spacing w:after="0"/>
              <w:rPr>
                <w:sz w:val="20"/>
                <w:szCs w:val="20"/>
                <w:color w:val="auto"/>
              </w:rPr>
            </w:pPr>
            <w:r>
              <w:rPr>
                <w:rFonts w:ascii="Arial" w:cs="Arial" w:eastAsia="Arial" w:hAnsi="Arial"/>
                <w:sz w:val="14"/>
                <w:szCs w:val="14"/>
                <w:b w:val="1"/>
                <w:bCs w:val="1"/>
                <w:color w:val="FFFFFF"/>
              </w:rPr>
              <w:t>2015</w:t>
            </w:r>
          </w:p>
        </w:tc>
        <w:tc>
          <w:tcPr>
            <w:tcW w:w="440" w:type="dxa"/>
            <w:vAlign w:val="bottom"/>
            <w:shd w:val="clear" w:color="auto" w:fill="007CBA"/>
          </w:tcPr>
          <w:p>
            <w:pPr>
              <w:spacing w:after="0"/>
              <w:rPr>
                <w:sz w:val="14"/>
                <w:szCs w:val="14"/>
                <w:color w:val="auto"/>
              </w:rPr>
            </w:pPr>
          </w:p>
        </w:tc>
      </w:tr>
      <w:tr>
        <w:trPr>
          <w:trHeight w:val="189"/>
        </w:trPr>
        <w:tc>
          <w:tcPr>
            <w:tcW w:w="7900" w:type="dxa"/>
            <w:vAlign w:val="bottom"/>
            <w:tcBorders>
              <w:right w:val="single" w:sz="8" w:color="007CBA"/>
            </w:tcBorders>
            <w:gridSpan w:val="2"/>
          </w:tcPr>
          <w:p>
            <w:pPr>
              <w:ind w:left="80"/>
              <w:spacing w:after="0"/>
              <w:rPr>
                <w:sz w:val="20"/>
                <w:szCs w:val="20"/>
                <w:color w:val="auto"/>
              </w:rPr>
            </w:pPr>
            <w:r>
              <w:rPr>
                <w:rFonts w:ascii="Arial" w:cs="Arial" w:eastAsia="Arial" w:hAnsi="Arial"/>
                <w:sz w:val="16"/>
                <w:szCs w:val="16"/>
                <w:color w:val="auto"/>
              </w:rPr>
              <w:t>Net earnings attributable to Martin Marietta</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w w:val="96"/>
              </w:rPr>
              <w:t>425,386</w:t>
            </w:r>
          </w:p>
        </w:tc>
        <w:tc>
          <w:tcPr>
            <w:tcW w:w="340" w:type="dxa"/>
            <w:vAlign w:val="bottom"/>
            <w:tcBorders>
              <w:right w:val="single" w:sz="8" w:color="007CBA"/>
            </w:tcBorders>
          </w:tcPr>
          <w:p>
            <w:pPr>
              <w:spacing w:after="0"/>
              <w:rPr>
                <w:sz w:val="16"/>
                <w:szCs w:val="16"/>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6"/>
                <w:szCs w:val="16"/>
                <w:color w:val="auto"/>
              </w:rPr>
              <w:t>$ 288,792</w:t>
            </w:r>
          </w:p>
        </w:tc>
        <w:tc>
          <w:tcPr>
            <w:tcW w:w="440" w:type="dxa"/>
            <w:vAlign w:val="bottom"/>
          </w:tcPr>
          <w:p>
            <w:pPr>
              <w:spacing w:after="0"/>
              <w:rPr>
                <w:sz w:val="16"/>
                <w:szCs w:val="16"/>
                <w:color w:val="auto"/>
              </w:rPr>
            </w:pPr>
          </w:p>
        </w:tc>
      </w:tr>
      <w:tr>
        <w:trPr>
          <w:trHeight w:val="189"/>
        </w:trPr>
        <w:tc>
          <w:tcPr>
            <w:tcW w:w="7900" w:type="dxa"/>
            <w:vAlign w:val="bottom"/>
            <w:tcBorders>
              <w:right w:val="single" w:sz="8" w:color="007CBA"/>
            </w:tcBorders>
            <w:gridSpan w:val="2"/>
            <w:shd w:val="clear" w:color="auto" w:fill="E5F1F8"/>
          </w:tcPr>
          <w:p>
            <w:pPr>
              <w:ind w:left="80"/>
              <w:spacing w:after="0"/>
              <w:rPr>
                <w:sz w:val="20"/>
                <w:szCs w:val="20"/>
                <w:color w:val="auto"/>
              </w:rPr>
            </w:pPr>
            <w:r>
              <w:rPr>
                <w:rFonts w:ascii="Arial" w:cs="Arial" w:eastAsia="Arial" w:hAnsi="Arial"/>
                <w:sz w:val="16"/>
                <w:szCs w:val="16"/>
                <w:color w:val="auto"/>
              </w:rPr>
              <w:t>Add back:</w:t>
            </w:r>
          </w:p>
        </w:tc>
        <w:tc>
          <w:tcPr>
            <w:tcW w:w="320" w:type="dxa"/>
            <w:vAlign w:val="bottom"/>
            <w:shd w:val="clear" w:color="auto" w:fill="E5F1F8"/>
          </w:tcPr>
          <w:p>
            <w:pPr>
              <w:spacing w:after="0"/>
              <w:rPr>
                <w:sz w:val="16"/>
                <w:szCs w:val="16"/>
                <w:color w:val="auto"/>
              </w:rPr>
            </w:pPr>
          </w:p>
        </w:tc>
        <w:tc>
          <w:tcPr>
            <w:tcW w:w="100" w:type="dxa"/>
            <w:vAlign w:val="bottom"/>
            <w:shd w:val="clear" w:color="auto" w:fill="E5F1F8"/>
          </w:tcPr>
          <w:p>
            <w:pPr>
              <w:spacing w:after="0"/>
              <w:rPr>
                <w:sz w:val="16"/>
                <w:szCs w:val="16"/>
                <w:color w:val="auto"/>
              </w:rPr>
            </w:pPr>
          </w:p>
        </w:tc>
        <w:tc>
          <w:tcPr>
            <w:tcW w:w="720" w:type="dxa"/>
            <w:vAlign w:val="bottom"/>
            <w:gridSpan w:val="3"/>
            <w:shd w:val="clear" w:color="auto" w:fill="E5F1F8"/>
          </w:tcPr>
          <w:p>
            <w:pPr>
              <w:jc w:val="right"/>
              <w:ind w:right="140"/>
              <w:spacing w:after="0"/>
              <w:rPr>
                <w:sz w:val="20"/>
                <w:szCs w:val="20"/>
                <w:color w:val="auto"/>
              </w:rPr>
            </w:pPr>
            <w:r>
              <w:rPr>
                <w:rFonts w:ascii="Arial" w:cs="Arial" w:eastAsia="Arial" w:hAnsi="Arial"/>
                <w:sz w:val="16"/>
                <w:szCs w:val="16"/>
                <w:color w:val="auto"/>
              </w:rPr>
              <w:t>81,677</w:t>
            </w:r>
          </w:p>
        </w:tc>
        <w:tc>
          <w:tcPr>
            <w:tcW w:w="340" w:type="dxa"/>
            <w:vAlign w:val="bottom"/>
            <w:tcBorders>
              <w:right w:val="single" w:sz="8" w:color="007CBA"/>
            </w:tcBorders>
            <w:shd w:val="clear" w:color="auto" w:fill="E5F1F8"/>
          </w:tcPr>
          <w:p>
            <w:pPr>
              <w:spacing w:after="0"/>
              <w:rPr>
                <w:sz w:val="16"/>
                <w:szCs w:val="16"/>
                <w:color w:val="auto"/>
              </w:rPr>
            </w:pPr>
          </w:p>
        </w:tc>
        <w:tc>
          <w:tcPr>
            <w:tcW w:w="120" w:type="dxa"/>
            <w:vAlign w:val="bottom"/>
            <w:tcBorders>
              <w:right w:val="single" w:sz="8" w:color="E5F1F8"/>
            </w:tcBorders>
            <w:shd w:val="clear" w:color="auto" w:fill="E5F1F8"/>
          </w:tcPr>
          <w:p>
            <w:pPr>
              <w:spacing w:after="0"/>
              <w:rPr>
                <w:sz w:val="16"/>
                <w:szCs w:val="16"/>
                <w:color w:val="auto"/>
              </w:rPr>
            </w:pPr>
          </w:p>
        </w:tc>
        <w:tc>
          <w:tcPr>
            <w:tcW w:w="520" w:type="dxa"/>
            <w:vAlign w:val="bottom"/>
            <w:shd w:val="clear" w:color="auto" w:fill="E5F1F8"/>
          </w:tcPr>
          <w:p>
            <w:pPr>
              <w:spacing w:after="0"/>
              <w:rPr>
                <w:sz w:val="16"/>
                <w:szCs w:val="16"/>
                <w:color w:val="auto"/>
              </w:rPr>
            </w:pPr>
          </w:p>
        </w:tc>
        <w:tc>
          <w:tcPr>
            <w:tcW w:w="140" w:type="dxa"/>
            <w:vAlign w:val="bottom"/>
            <w:shd w:val="clear" w:color="auto" w:fill="E5F1F8"/>
          </w:tcPr>
          <w:p>
            <w:pPr>
              <w:spacing w:after="0"/>
              <w:rPr>
                <w:sz w:val="16"/>
                <w:szCs w:val="16"/>
                <w:color w:val="auto"/>
              </w:rPr>
            </w:pPr>
          </w:p>
        </w:tc>
        <w:tc>
          <w:tcPr>
            <w:tcW w:w="80" w:type="dxa"/>
            <w:vAlign w:val="bottom"/>
            <w:shd w:val="clear" w:color="auto" w:fill="E5F1F8"/>
          </w:tcPr>
          <w:p>
            <w:pPr>
              <w:spacing w:after="0"/>
              <w:rPr>
                <w:sz w:val="16"/>
                <w:szCs w:val="16"/>
                <w:color w:val="auto"/>
              </w:rPr>
            </w:pPr>
          </w:p>
        </w:tc>
        <w:tc>
          <w:tcPr>
            <w:tcW w:w="740" w:type="dxa"/>
            <w:vAlign w:val="bottom"/>
            <w:gridSpan w:val="2"/>
            <w:shd w:val="clear" w:color="auto" w:fill="E5F1F8"/>
          </w:tcPr>
          <w:p>
            <w:pPr>
              <w:jc w:val="right"/>
              <w:ind w:right="240"/>
              <w:spacing w:after="0"/>
              <w:rPr>
                <w:sz w:val="20"/>
                <w:szCs w:val="20"/>
                <w:color w:val="auto"/>
              </w:rPr>
            </w:pPr>
            <w:r>
              <w:rPr>
                <w:rFonts w:ascii="Arial" w:cs="Arial" w:eastAsia="Arial" w:hAnsi="Arial"/>
                <w:sz w:val="16"/>
                <w:szCs w:val="16"/>
                <w:color w:val="auto"/>
                <w:w w:val="98"/>
              </w:rPr>
              <w:t>76,287</w:t>
            </w:r>
          </w:p>
        </w:tc>
        <w:tc>
          <w:tcPr>
            <w:tcW w:w="440" w:type="dxa"/>
            <w:vAlign w:val="bottom"/>
            <w:shd w:val="clear" w:color="auto" w:fill="E5F1F8"/>
          </w:tcPr>
          <w:p>
            <w:pPr>
              <w:spacing w:after="0"/>
              <w:rPr>
                <w:sz w:val="16"/>
                <w:szCs w:val="16"/>
                <w:color w:val="auto"/>
              </w:rPr>
            </w:pPr>
          </w:p>
        </w:tc>
      </w:tr>
      <w:tr>
        <w:trPr>
          <w:trHeight w:val="189"/>
        </w:trPr>
        <w:tc>
          <w:tcPr>
            <w:tcW w:w="7900" w:type="dxa"/>
            <w:vAlign w:val="bottom"/>
            <w:tcBorders>
              <w:right w:val="single" w:sz="8" w:color="007CBA"/>
            </w:tcBorders>
            <w:gridSpan w:val="2"/>
          </w:tcPr>
          <w:p>
            <w:pPr>
              <w:ind w:left="3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w w:val="96"/>
              </w:rPr>
              <w:t>181,524</w:t>
            </w:r>
          </w:p>
        </w:tc>
        <w:tc>
          <w:tcPr>
            <w:tcW w:w="340" w:type="dxa"/>
            <w:vAlign w:val="bottom"/>
            <w:tcBorders>
              <w:right w:val="single" w:sz="8" w:color="007CBA"/>
            </w:tcBorders>
          </w:tcPr>
          <w:p>
            <w:pPr>
              <w:spacing w:after="0"/>
              <w:rPr>
                <w:sz w:val="16"/>
                <w:szCs w:val="16"/>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6"/>
                <w:szCs w:val="16"/>
                <w:color w:val="auto"/>
              </w:rPr>
              <w:t>124,793</w:t>
            </w:r>
          </w:p>
        </w:tc>
        <w:tc>
          <w:tcPr>
            <w:tcW w:w="440" w:type="dxa"/>
            <w:vAlign w:val="bottom"/>
          </w:tcPr>
          <w:p>
            <w:pPr>
              <w:spacing w:after="0"/>
              <w:rPr>
                <w:sz w:val="16"/>
                <w:szCs w:val="16"/>
                <w:color w:val="auto"/>
              </w:rPr>
            </w:pPr>
          </w:p>
        </w:tc>
      </w:tr>
      <w:tr>
        <w:trPr>
          <w:trHeight w:val="189"/>
        </w:trPr>
        <w:tc>
          <w:tcPr>
            <w:tcW w:w="7900" w:type="dxa"/>
            <w:vAlign w:val="bottom"/>
            <w:tcBorders>
              <w:right w:val="single" w:sz="8" w:color="007CBA"/>
            </w:tcBorders>
            <w:gridSpan w:val="2"/>
            <w:shd w:val="clear" w:color="auto" w:fill="E5F1F8"/>
          </w:tcPr>
          <w:p>
            <w:pPr>
              <w:ind w:left="340"/>
              <w:spacing w:after="0"/>
              <w:rPr>
                <w:sz w:val="20"/>
                <w:szCs w:val="20"/>
                <w:color w:val="auto"/>
              </w:rPr>
            </w:pPr>
            <w:r>
              <w:rPr>
                <w:rFonts w:ascii="Arial" w:cs="Arial" w:eastAsia="Arial" w:hAnsi="Arial"/>
                <w:sz w:val="16"/>
                <w:szCs w:val="16"/>
                <w:color w:val="auto"/>
              </w:rPr>
              <w:t>Income tax expense for controlling interests</w:t>
            </w:r>
          </w:p>
        </w:tc>
        <w:tc>
          <w:tcPr>
            <w:tcW w:w="320" w:type="dxa"/>
            <w:vAlign w:val="bottom"/>
            <w:shd w:val="clear" w:color="auto" w:fill="E5F1F8"/>
          </w:tcPr>
          <w:p>
            <w:pPr>
              <w:spacing w:after="0"/>
              <w:rPr>
                <w:sz w:val="16"/>
                <w:szCs w:val="16"/>
                <w:color w:val="auto"/>
              </w:rPr>
            </w:pPr>
          </w:p>
        </w:tc>
        <w:tc>
          <w:tcPr>
            <w:tcW w:w="100" w:type="dxa"/>
            <w:vAlign w:val="bottom"/>
            <w:tcBorders>
              <w:bottom w:val="single" w:sz="8" w:color="auto"/>
            </w:tcBorders>
            <w:shd w:val="clear" w:color="auto" w:fill="E5F1F8"/>
          </w:tcPr>
          <w:p>
            <w:pPr>
              <w:spacing w:after="0"/>
              <w:rPr>
                <w:sz w:val="16"/>
                <w:szCs w:val="16"/>
                <w:color w:val="auto"/>
              </w:rPr>
            </w:pPr>
          </w:p>
        </w:tc>
        <w:tc>
          <w:tcPr>
            <w:tcW w:w="720" w:type="dxa"/>
            <w:vAlign w:val="bottom"/>
            <w:tcBorders>
              <w:bottom w:val="single" w:sz="8" w:color="auto"/>
            </w:tcBorders>
            <w:gridSpan w:val="3"/>
            <w:shd w:val="clear" w:color="auto" w:fill="E5F1F8"/>
          </w:tcPr>
          <w:p>
            <w:pPr>
              <w:jc w:val="right"/>
              <w:ind w:right="140"/>
              <w:spacing w:after="0"/>
              <w:rPr>
                <w:sz w:val="20"/>
                <w:szCs w:val="20"/>
                <w:color w:val="auto"/>
              </w:rPr>
            </w:pPr>
            <w:r>
              <w:rPr>
                <w:rFonts w:ascii="Arial" w:cs="Arial" w:eastAsia="Arial" w:hAnsi="Arial"/>
                <w:sz w:val="16"/>
                <w:szCs w:val="16"/>
                <w:color w:val="auto"/>
                <w:w w:val="96"/>
              </w:rPr>
              <w:t>283,003</w:t>
            </w:r>
          </w:p>
        </w:tc>
        <w:tc>
          <w:tcPr>
            <w:tcW w:w="340" w:type="dxa"/>
            <w:vAlign w:val="bottom"/>
            <w:tcBorders>
              <w:bottom w:val="single" w:sz="8" w:color="auto"/>
              <w:right w:val="single" w:sz="8" w:color="007CBA"/>
            </w:tcBorders>
            <w:shd w:val="clear" w:color="auto" w:fill="E5F1F8"/>
          </w:tcPr>
          <w:p>
            <w:pPr>
              <w:spacing w:after="0"/>
              <w:rPr>
                <w:sz w:val="16"/>
                <w:szCs w:val="16"/>
                <w:color w:val="auto"/>
              </w:rPr>
            </w:pPr>
          </w:p>
        </w:tc>
        <w:tc>
          <w:tcPr>
            <w:tcW w:w="640" w:type="dxa"/>
            <w:vAlign w:val="bottom"/>
            <w:gridSpan w:val="2"/>
            <w:shd w:val="clear" w:color="auto" w:fill="E5F1F8"/>
          </w:tcPr>
          <w:p>
            <w:pPr>
              <w:spacing w:after="0"/>
              <w:rPr>
                <w:sz w:val="16"/>
                <w:szCs w:val="16"/>
                <w:color w:val="auto"/>
              </w:rPr>
            </w:pPr>
          </w:p>
        </w:tc>
        <w:tc>
          <w:tcPr>
            <w:tcW w:w="960" w:type="dxa"/>
            <w:vAlign w:val="bottom"/>
            <w:tcBorders>
              <w:bottom w:val="single" w:sz="8" w:color="auto"/>
            </w:tcBorders>
            <w:gridSpan w:val="4"/>
            <w:shd w:val="clear" w:color="auto" w:fill="E5F1F8"/>
          </w:tcPr>
          <w:p>
            <w:pPr>
              <w:jc w:val="right"/>
              <w:ind w:right="240"/>
              <w:spacing w:after="0"/>
              <w:rPr>
                <w:sz w:val="20"/>
                <w:szCs w:val="20"/>
                <w:color w:val="auto"/>
              </w:rPr>
            </w:pPr>
            <w:r>
              <w:rPr>
                <w:rFonts w:ascii="Arial" w:cs="Arial" w:eastAsia="Arial" w:hAnsi="Arial"/>
                <w:sz w:val="16"/>
                <w:szCs w:val="16"/>
                <w:color w:val="auto"/>
              </w:rPr>
              <w:t>260,836</w:t>
            </w:r>
          </w:p>
        </w:tc>
        <w:tc>
          <w:tcPr>
            <w:tcW w:w="440" w:type="dxa"/>
            <w:vAlign w:val="bottom"/>
            <w:tcBorders>
              <w:bottom w:val="single" w:sz="8" w:color="auto"/>
            </w:tcBorders>
            <w:shd w:val="clear" w:color="auto" w:fill="E5F1F8"/>
          </w:tcPr>
          <w:p>
            <w:pPr>
              <w:spacing w:after="0"/>
              <w:rPr>
                <w:sz w:val="16"/>
                <w:szCs w:val="16"/>
                <w:color w:val="auto"/>
              </w:rPr>
            </w:pPr>
          </w:p>
        </w:tc>
      </w:tr>
      <w:tr>
        <w:trPr>
          <w:trHeight w:val="196"/>
        </w:trPr>
        <w:tc>
          <w:tcPr>
            <w:tcW w:w="7900" w:type="dxa"/>
            <w:vAlign w:val="bottom"/>
            <w:tcBorders>
              <w:right w:val="single" w:sz="8" w:color="007CBA"/>
            </w:tcBorders>
            <w:gridSpan w:val="2"/>
          </w:tcPr>
          <w:p>
            <w:pPr>
              <w:ind w:left="80"/>
              <w:spacing w:after="0"/>
              <w:rPr>
                <w:sz w:val="20"/>
                <w:szCs w:val="20"/>
                <w:color w:val="auto"/>
              </w:rPr>
            </w:pPr>
            <w:r>
              <w:rPr>
                <w:rFonts w:ascii="Arial" w:cs="Arial" w:eastAsia="Arial" w:hAnsi="Arial"/>
                <w:sz w:val="16"/>
                <w:szCs w:val="16"/>
                <w:color w:val="auto"/>
              </w:rPr>
              <w:t>Depreciation, depletion and amortization expense</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w w:val="96"/>
              </w:rPr>
              <w:t>971,590</w:t>
            </w:r>
          </w:p>
        </w:tc>
        <w:tc>
          <w:tcPr>
            <w:tcW w:w="340" w:type="dxa"/>
            <w:vAlign w:val="bottom"/>
            <w:tcBorders>
              <w:right w:val="single" w:sz="8" w:color="007CBA"/>
            </w:tcBorders>
          </w:tcPr>
          <w:p>
            <w:pPr>
              <w:spacing w:after="0"/>
              <w:rPr>
                <w:sz w:val="17"/>
                <w:szCs w:val="17"/>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6"/>
                <w:szCs w:val="16"/>
                <w:color w:val="auto"/>
              </w:rPr>
              <w:t>$ 750,708</w:t>
            </w:r>
          </w:p>
        </w:tc>
        <w:tc>
          <w:tcPr>
            <w:tcW w:w="44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right w:val="single" w:sz="8" w:color="007CBA"/>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right w:val="single" w:sz="8" w:color="007CBA"/>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900" w:type="dxa"/>
            <w:vAlign w:val="bottom"/>
            <w:tcBorders>
              <w:bottom w:val="single" w:sz="8" w:color="007CBA"/>
              <w:right w:val="single" w:sz="8" w:color="007CBA"/>
            </w:tcBorders>
            <w:gridSpan w:val="2"/>
            <w:shd w:val="clear" w:color="auto" w:fill="E5F1F8"/>
          </w:tcPr>
          <w:p>
            <w:pPr>
              <w:ind w:left="80"/>
              <w:spacing w:after="0"/>
              <w:rPr>
                <w:sz w:val="20"/>
                <w:szCs w:val="20"/>
                <w:color w:val="auto"/>
              </w:rPr>
            </w:pPr>
            <w:r>
              <w:rPr>
                <w:rFonts w:ascii="Arial" w:cs="Arial" w:eastAsia="Arial" w:hAnsi="Arial"/>
                <w:sz w:val="16"/>
                <w:szCs w:val="16"/>
                <w:color w:val="auto"/>
              </w:rPr>
              <w:t>Consolidated EBITDA</w:t>
            </w:r>
          </w:p>
        </w:tc>
        <w:tc>
          <w:tcPr>
            <w:tcW w:w="320" w:type="dxa"/>
            <w:vAlign w:val="bottom"/>
            <w:tcBorders>
              <w:bottom w:val="single" w:sz="8" w:color="007CBA"/>
            </w:tcBorders>
            <w:shd w:val="clear" w:color="auto" w:fill="E5F1F8"/>
          </w:tcPr>
          <w:p>
            <w:pPr>
              <w:spacing w:after="0"/>
              <w:rPr>
                <w:sz w:val="15"/>
                <w:szCs w:val="15"/>
                <w:color w:val="auto"/>
              </w:rPr>
            </w:pPr>
          </w:p>
        </w:tc>
        <w:tc>
          <w:tcPr>
            <w:tcW w:w="100" w:type="dxa"/>
            <w:vAlign w:val="bottom"/>
            <w:tcBorders>
              <w:bottom w:val="single" w:sz="8" w:color="007CBA"/>
            </w:tcBorders>
            <w:shd w:val="clear" w:color="auto" w:fill="E5F1F8"/>
          </w:tcPr>
          <w:p>
            <w:pPr>
              <w:spacing w:after="0"/>
              <w:rPr>
                <w:sz w:val="15"/>
                <w:szCs w:val="15"/>
                <w:color w:val="auto"/>
              </w:rPr>
            </w:pPr>
          </w:p>
        </w:tc>
        <w:tc>
          <w:tcPr>
            <w:tcW w:w="400" w:type="dxa"/>
            <w:vAlign w:val="bottom"/>
            <w:tcBorders>
              <w:bottom w:val="single" w:sz="8" w:color="007CBA"/>
            </w:tcBorders>
            <w:shd w:val="clear" w:color="auto" w:fill="E5F1F8"/>
          </w:tcPr>
          <w:p>
            <w:pPr>
              <w:spacing w:after="0"/>
              <w:rPr>
                <w:sz w:val="15"/>
                <w:szCs w:val="15"/>
                <w:color w:val="auto"/>
              </w:rPr>
            </w:pPr>
          </w:p>
        </w:tc>
        <w:tc>
          <w:tcPr>
            <w:tcW w:w="20" w:type="dxa"/>
            <w:vAlign w:val="bottom"/>
            <w:tcBorders>
              <w:bottom w:val="single" w:sz="8" w:color="007CBA"/>
            </w:tcBorders>
            <w:shd w:val="clear" w:color="auto" w:fill="E5F1F8"/>
          </w:tcPr>
          <w:p>
            <w:pPr>
              <w:spacing w:after="0"/>
              <w:rPr>
                <w:sz w:val="15"/>
                <w:szCs w:val="15"/>
                <w:color w:val="auto"/>
              </w:rPr>
            </w:pPr>
          </w:p>
        </w:tc>
        <w:tc>
          <w:tcPr>
            <w:tcW w:w="300" w:type="dxa"/>
            <w:vAlign w:val="bottom"/>
            <w:tcBorders>
              <w:bottom w:val="single" w:sz="8" w:color="007CBA"/>
            </w:tcBorders>
            <w:shd w:val="clear" w:color="auto" w:fill="E5F1F8"/>
          </w:tcPr>
          <w:p>
            <w:pPr>
              <w:spacing w:after="0"/>
              <w:rPr>
                <w:sz w:val="15"/>
                <w:szCs w:val="15"/>
                <w:color w:val="auto"/>
              </w:rPr>
            </w:pPr>
          </w:p>
        </w:tc>
        <w:tc>
          <w:tcPr>
            <w:tcW w:w="340" w:type="dxa"/>
            <w:vAlign w:val="bottom"/>
            <w:tcBorders>
              <w:bottom w:val="single" w:sz="8" w:color="007CBA"/>
              <w:right w:val="single" w:sz="8" w:color="007CBA"/>
            </w:tcBorders>
            <w:shd w:val="clear" w:color="auto" w:fill="E5F1F8"/>
          </w:tcPr>
          <w:p>
            <w:pPr>
              <w:spacing w:after="0"/>
              <w:rPr>
                <w:sz w:val="15"/>
                <w:szCs w:val="15"/>
                <w:color w:val="auto"/>
              </w:rPr>
            </w:pPr>
          </w:p>
        </w:tc>
        <w:tc>
          <w:tcPr>
            <w:tcW w:w="120" w:type="dxa"/>
            <w:vAlign w:val="bottom"/>
            <w:tcBorders>
              <w:bottom w:val="single" w:sz="8" w:color="007CBA"/>
              <w:right w:val="single" w:sz="8" w:color="E5F1F8"/>
            </w:tcBorders>
            <w:shd w:val="clear" w:color="auto" w:fill="E5F1F8"/>
          </w:tcPr>
          <w:p>
            <w:pPr>
              <w:spacing w:after="0"/>
              <w:rPr>
                <w:sz w:val="15"/>
                <w:szCs w:val="15"/>
                <w:color w:val="auto"/>
              </w:rPr>
            </w:pPr>
          </w:p>
        </w:tc>
        <w:tc>
          <w:tcPr>
            <w:tcW w:w="520" w:type="dxa"/>
            <w:vAlign w:val="bottom"/>
            <w:tcBorders>
              <w:bottom w:val="single" w:sz="8" w:color="007CBA"/>
            </w:tcBorders>
            <w:shd w:val="clear" w:color="auto" w:fill="E5F1F8"/>
          </w:tcPr>
          <w:p>
            <w:pPr>
              <w:spacing w:after="0"/>
              <w:rPr>
                <w:sz w:val="15"/>
                <w:szCs w:val="15"/>
                <w:color w:val="auto"/>
              </w:rPr>
            </w:pPr>
          </w:p>
        </w:tc>
        <w:tc>
          <w:tcPr>
            <w:tcW w:w="140" w:type="dxa"/>
            <w:vAlign w:val="bottom"/>
            <w:tcBorders>
              <w:bottom w:val="single" w:sz="8" w:color="007CBA"/>
            </w:tcBorders>
            <w:shd w:val="clear" w:color="auto" w:fill="E5F1F8"/>
          </w:tcPr>
          <w:p>
            <w:pPr>
              <w:spacing w:after="0"/>
              <w:rPr>
                <w:sz w:val="15"/>
                <w:szCs w:val="15"/>
                <w:color w:val="auto"/>
              </w:rPr>
            </w:pPr>
          </w:p>
        </w:tc>
        <w:tc>
          <w:tcPr>
            <w:tcW w:w="80" w:type="dxa"/>
            <w:vAlign w:val="bottom"/>
            <w:tcBorders>
              <w:bottom w:val="single" w:sz="8" w:color="007CBA"/>
            </w:tcBorders>
            <w:shd w:val="clear" w:color="auto" w:fill="E5F1F8"/>
          </w:tcPr>
          <w:p>
            <w:pPr>
              <w:spacing w:after="0"/>
              <w:rPr>
                <w:sz w:val="15"/>
                <w:szCs w:val="15"/>
                <w:color w:val="auto"/>
              </w:rPr>
            </w:pPr>
          </w:p>
        </w:tc>
        <w:tc>
          <w:tcPr>
            <w:tcW w:w="420" w:type="dxa"/>
            <w:vAlign w:val="bottom"/>
            <w:tcBorders>
              <w:bottom w:val="single" w:sz="8" w:color="007CBA"/>
            </w:tcBorders>
            <w:shd w:val="clear" w:color="auto" w:fill="E5F1F8"/>
          </w:tcPr>
          <w:p>
            <w:pPr>
              <w:spacing w:after="0"/>
              <w:rPr>
                <w:sz w:val="15"/>
                <w:szCs w:val="15"/>
                <w:color w:val="auto"/>
              </w:rPr>
            </w:pPr>
          </w:p>
        </w:tc>
        <w:tc>
          <w:tcPr>
            <w:tcW w:w="320" w:type="dxa"/>
            <w:vAlign w:val="bottom"/>
            <w:tcBorders>
              <w:bottom w:val="single" w:sz="8" w:color="007CBA"/>
            </w:tcBorders>
            <w:shd w:val="clear" w:color="auto" w:fill="E5F1F8"/>
          </w:tcPr>
          <w:p>
            <w:pPr>
              <w:spacing w:after="0"/>
              <w:rPr>
                <w:sz w:val="15"/>
                <w:szCs w:val="15"/>
                <w:color w:val="auto"/>
              </w:rPr>
            </w:pPr>
          </w:p>
        </w:tc>
        <w:tc>
          <w:tcPr>
            <w:tcW w:w="440" w:type="dxa"/>
            <w:vAlign w:val="bottom"/>
            <w:tcBorders>
              <w:bottom w:val="single" w:sz="8" w:color="007CBA"/>
            </w:tcBorders>
            <w:shd w:val="clear" w:color="auto" w:fill="E5F1F8"/>
          </w:tcPr>
          <w:p>
            <w:pPr>
              <w:spacing w:after="0"/>
              <w:rPr>
                <w:sz w:val="15"/>
                <w:szCs w:val="15"/>
                <w:color w:val="auto"/>
              </w:rPr>
            </w:pPr>
          </w:p>
        </w:tc>
      </w:tr>
      <w:tr>
        <w:trPr>
          <w:trHeight w:val="329"/>
        </w:trPr>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7"/>
          </w:tcPr>
          <w:p>
            <w:pPr>
              <w:jc w:val="right"/>
              <w:spacing w:after="0"/>
              <w:rPr>
                <w:sz w:val="20"/>
                <w:szCs w:val="20"/>
                <w:color w:val="auto"/>
              </w:rPr>
            </w:pPr>
            <w:r>
              <w:rPr>
                <w:rFonts w:ascii="Arial" w:cs="Arial" w:eastAsia="Arial" w:hAnsi="Arial"/>
                <w:sz w:val="13"/>
                <w:szCs w:val="13"/>
                <w:color w:val="007CBA"/>
                <w:w w:val="95"/>
              </w:rPr>
              <w:t>2017 PROXY STATEMENT</w:t>
            </w:r>
            <w:r>
              <w:rPr>
                <w:rFonts w:ascii="Arial" w:cs="Arial" w:eastAsia="Arial" w:hAnsi="Arial"/>
                <w:sz w:val="13"/>
                <w:szCs w:val="13"/>
                <w:b w:val="1"/>
                <w:bCs w:val="1"/>
                <w:color w:val="auto"/>
                <w:w w:val="95"/>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-118110</wp:posOffset>
            </wp:positionV>
            <wp:extent cx="411480" cy="2489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1163955</wp:posOffset>
            </wp:positionV>
            <wp:extent cx="7203440" cy="8515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85159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lvl w:ilvl="1">
      <w:lvlJc w:val="left"/>
      <w:lvlText w:val="(%2)"/>
      <w:numFmt w:val="decimal"/>
      <w:start w:val="1"/>
    </w:lvl>
  </w:abstractNum>
  <w:abstractNum w:abstractNumId="3">
    <w:nsid w:val="98A3148"/>
    <w:multiLevelType w:val="hybridMultilevel"/>
    <w:lvl w:ilvl="0">
      <w:lvlJc w:val="left"/>
      <w:lvlText w:val="(%1)"/>
      <w:numFmt w:val="decimal"/>
      <w:start w:val="1"/>
    </w:lvl>
  </w:abstractNum>
  <w:abstractNum w:abstractNumId="4">
    <w:nsid w:val="799D0247"/>
    <w:multiLevelType w:val="hybridMultilevel"/>
    <w:lvl w:ilvl="0">
      <w:lvlJc w:val="left"/>
      <w:lvlText w:val="%1"/>
      <w:numFmt w:val="decimal"/>
      <w:start w:val="14"/>
    </w:lvl>
  </w:abstractNum>
  <w:abstractNum w:abstractNumId="5">
    <w:nsid w:val="6B94764"/>
    <w:multiLevelType w:val="hybridMultilevel"/>
    <w:lvl w:ilvl="0">
      <w:lvlJc w:val="left"/>
      <w:lvlText w:val="2"/>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4"/>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6"/>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8"/>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0"/>
    </w:lvl>
  </w:abstractNum>
  <w:abstractNum w:abstractNumId="22">
    <w:nsid w:val="68EB2F63"/>
    <w:multiLevelType w:val="hybridMultilevel"/>
    <w:lvl w:ilvl="0">
      <w:lvlJc w:val="left"/>
      <w:lvlText w:val="(%1)"/>
      <w:numFmt w:val="lowerRoman"/>
      <w:start w:val="2"/>
    </w:lvl>
  </w:abstractNum>
  <w:abstractNum w:abstractNumId="23">
    <w:nsid w:val="4962813B"/>
    <w:multiLevelType w:val="hybridMultilevel"/>
    <w:lvl w:ilvl="0">
      <w:lvlJc w:val="left"/>
      <w:lvlText w:val="1"/>
      <w:numFmt w:val="bullet"/>
      <w:start w:val="1"/>
    </w:lvl>
  </w:abstractNum>
  <w:abstractNum w:abstractNumId="24">
    <w:nsid w:val="60B6DF70"/>
    <w:multiLevelType w:val="hybridMultilevel"/>
    <w:lvl w:ilvl="0">
      <w:lvlJc w:val="left"/>
      <w:lvlText w:val="2"/>
      <w:numFmt w:val="bullet"/>
      <w:start w:val="1"/>
    </w:lvl>
  </w:abstractNum>
  <w:abstractNum w:abstractNumId="25">
    <w:nsid w:val="6A5EE64"/>
    <w:multiLevelType w:val="hybridMultilevel"/>
    <w:lvl w:ilvl="0">
      <w:lvlJc w:val="left"/>
      <w:lvlText w:val="3"/>
      <w:numFmt w:val="bullet"/>
      <w:start w:val="1"/>
    </w:lvl>
  </w:abstractNum>
  <w:abstractNum w:abstractNumId="26">
    <w:nsid w:val="14330624"/>
    <w:multiLevelType w:val="hybridMultilevel"/>
    <w:lvl w:ilvl="0">
      <w:lvlJc w:val="left"/>
      <w:lvlText w:val="4"/>
      <w:numFmt w:val="bullet"/>
      <w:start w:val="1"/>
    </w:lvl>
  </w:abstractNum>
  <w:abstractNum w:abstractNumId="27">
    <w:nsid w:val="7FFFCA11"/>
    <w:multiLevelType w:val="hybridMultilevel"/>
    <w:lvl w:ilvl="0">
      <w:lvlJc w:val="left"/>
      <w:lvlText w:val="5"/>
      <w:numFmt w:val="bullet"/>
      <w:start w:val="1"/>
    </w:lvl>
  </w:abstractNum>
  <w:abstractNum w:abstractNumId="28">
    <w:nsid w:val="1A27709E"/>
    <w:multiLevelType w:val="hybridMultilevel"/>
    <w:lvl w:ilvl="0">
      <w:lvlJc w:val="left"/>
      <w:lvlText w:val="6"/>
      <w:numFmt w:val="bullet"/>
      <w:start w:val="1"/>
    </w:lvl>
  </w:abstractNum>
  <w:abstractNum w:abstractNumId="29">
    <w:nsid w:val="71EA1109"/>
    <w:multiLevelType w:val="hybridMultilevel"/>
    <w:lvl w:ilvl="0">
      <w:lvlJc w:val="left"/>
      <w:lvlText w:val="7"/>
      <w:numFmt w:val="bullet"/>
      <w:start w:val="1"/>
    </w:lvl>
  </w:abstractNum>
  <w:abstractNum w:abstractNumId="30">
    <w:nsid w:val="100F59DC"/>
    <w:multiLevelType w:val="hybridMultilevel"/>
    <w:lvl w:ilvl="0">
      <w:lvlJc w:val="left"/>
      <w:lvlText w:val="%1"/>
      <w:numFmt w:val="decimal"/>
      <w:start w:val="12"/>
    </w:lvl>
  </w:abstractNum>
  <w:abstractNum w:abstractNumId="31">
    <w:nsid w:val="7FB7E0AA"/>
    <w:multiLevelType w:val="hybridMultilevel"/>
    <w:lvl w:ilvl="0">
      <w:lvlJc w:val="left"/>
      <w:lvlText w:val="1"/>
      <w:numFmt w:val="bullet"/>
      <w:start w:val="1"/>
    </w:lvl>
  </w:abstractNum>
  <w:abstractNum w:abstractNumId="32">
    <w:nsid w:val="6EB5BD4"/>
    <w:multiLevelType w:val="hybridMultilevel"/>
    <w:lvl w:ilvl="0">
      <w:lvlJc w:val="left"/>
      <w:lvlText w:val="2"/>
      <w:numFmt w:val="bullet"/>
      <w:start w:val="1"/>
    </w:lvl>
  </w:abstractNum>
  <w:abstractNum w:abstractNumId="33">
    <w:nsid w:val="6F6DD9AC"/>
    <w:multiLevelType w:val="hybridMultilevel"/>
    <w:lvl w:ilvl="0">
      <w:lvlJc w:val="left"/>
      <w:lvlText w:val="3"/>
      <w:numFmt w:val="bullet"/>
      <w:start w:val="1"/>
    </w:lvl>
  </w:abstractNum>
  <w:abstractNum w:abstractNumId="34">
    <w:nsid w:val="94211F2"/>
    <w:multiLevelType w:val="hybridMultilevel"/>
    <w:lvl w:ilvl="0">
      <w:lvlJc w:val="left"/>
      <w:lvlText w:val="4"/>
      <w:numFmt w:val="bullet"/>
      <w:start w:val="1"/>
    </w:lvl>
  </w:abstractNum>
  <w:abstractNum w:abstractNumId="35">
    <w:nsid w:val="885E1B"/>
    <w:multiLevelType w:val="hybridMultilevel"/>
    <w:lvl w:ilvl="0">
      <w:lvlJc w:val="left"/>
      <w:lvlText w:val="5"/>
      <w:numFmt w:val="bullet"/>
      <w:start w:val="1"/>
    </w:lvl>
  </w:abstractNum>
  <w:abstractNum w:abstractNumId="36">
    <w:nsid w:val="76272110"/>
    <w:multiLevelType w:val="hybridMultilevel"/>
    <w:lvl w:ilvl="0">
      <w:lvlJc w:val="left"/>
      <w:lvlText w:val="6"/>
      <w:numFmt w:val="bullet"/>
      <w:start w:val="1"/>
    </w:lvl>
  </w:abstractNum>
  <w:abstractNum w:abstractNumId="37">
    <w:nsid w:val="4C04A8AF"/>
    <w:multiLevelType w:val="hybridMultilevel"/>
    <w:lvl w:ilvl="0">
      <w:lvlJc w:val="left"/>
      <w:lvlText w:val="%1."/>
      <w:numFmt w:val="upperLetter"/>
      <w:start w:val="20"/>
    </w:lvl>
  </w:abstractNum>
  <w:abstractNum w:abstractNumId="38">
    <w:nsid w:val="1716703B"/>
    <w:multiLevelType w:val="hybridMultilevel"/>
    <w:lvl w:ilvl="0">
      <w:lvlJc w:val="left"/>
      <w:lvlText w:val="1"/>
      <w:numFmt w:val="bullet"/>
      <w:start w:val="1"/>
    </w:lvl>
  </w:abstractNum>
  <w:abstractNum w:abstractNumId="39">
    <w:nsid w:val="14E17E33"/>
    <w:multiLevelType w:val="hybridMultilevel"/>
    <w:lvl w:ilvl="0">
      <w:lvlJc w:val="left"/>
      <w:lvlText w:val="2"/>
      <w:numFmt w:val="bullet"/>
      <w:start w:val="1"/>
    </w:lvl>
  </w:abstractNum>
  <w:abstractNum w:abstractNumId="40">
    <w:nsid w:val="3222E7CD"/>
    <w:multiLevelType w:val="hybridMultilevel"/>
    <w:lvl w:ilvl="0">
      <w:lvlJc w:val="left"/>
      <w:lvlText w:val="3"/>
      <w:numFmt w:val="bullet"/>
      <w:start w:val="1"/>
    </w:lvl>
  </w:abstractNum>
  <w:abstractNum w:abstractNumId="41">
    <w:nsid w:val="74DE0EE3"/>
    <w:multiLevelType w:val="hybridMultilevel"/>
    <w:lvl w:ilvl="0">
      <w:lvlJc w:val="left"/>
      <w:lvlText w:val="%1"/>
      <w:numFmt w:val="decimal"/>
      <w:start w:val="14"/>
    </w:lvl>
  </w:abstractNum>
  <w:abstractNum w:abstractNumId="42">
    <w:nsid w:val="68EBC550"/>
    <w:multiLevelType w:val="hybridMultilevel"/>
    <w:lvl w:ilvl="0">
      <w:lvlJc w:val="left"/>
      <w:lvlText w:val="%1"/>
      <w:numFmt w:val="decimal"/>
      <w:start w:val="16"/>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decimal"/>
      <w:start w:val="3"/>
    </w:lvl>
  </w:abstractNum>
  <w:abstractNum w:abstractNumId="46">
    <w:nsid w:val="39EE015C"/>
    <w:multiLevelType w:val="hybridMultilevel"/>
    <w:lvl w:ilvl="0">
      <w:lvlJc w:val="left"/>
      <w:lvlText w:val="%1"/>
      <w:numFmt w:val="decimal"/>
      <w:start w:val="18"/>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decimal"/>
      <w:start w:val="20"/>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decimal"/>
      <w:start w:val="22"/>
    </w:lvl>
  </w:abstractNum>
  <w:abstractNum w:abstractNumId="54">
    <w:nsid w:val="7055A5F5"/>
    <w:multiLevelType w:val="hybridMultilevel"/>
    <w:lvl w:ilvl="0">
      <w:lvlJc w:val="left"/>
      <w:lvlText w:val="%1"/>
      <w:numFmt w:val="decimal"/>
      <w:start w:val="24"/>
    </w:lvl>
  </w:abstractNum>
  <w:abstractNum w:abstractNumId="55">
    <w:nsid w:val="5FB8370B"/>
    <w:multiLevelType w:val="hybridMultilevel"/>
    <w:lvl w:ilvl="0">
      <w:lvlJc w:val="left"/>
      <w:lvlText w:val="%1"/>
      <w:numFmt w:val="decimal"/>
      <w:start w:val="26"/>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1"/>
      <w:numFmt w:val="decimal"/>
      <w:start w:val="28"/>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1"/>
      <w:numFmt w:val="decimal"/>
      <w:start w:val="30"/>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1"/>
      <w:numFmt w:val="decimal"/>
      <w:start w:val="32"/>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1"/>
      <w:numFmt w:val="decimal"/>
      <w:start w:val="34"/>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1"/>
      <w:numFmt w:val="decimal"/>
      <w:start w:val="36"/>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1"/>
      <w:numFmt w:val="bullet"/>
      <w:start w:val="1"/>
    </w:lvl>
  </w:abstractNum>
  <w:abstractNum w:abstractNumId="76">
    <w:nsid w:val="1D545C4D"/>
    <w:multiLevelType w:val="hybridMultilevel"/>
    <w:lvl w:ilvl="0">
      <w:lvlJc w:val="left"/>
      <w:lvlText w:val="2"/>
      <w:numFmt w:val="bullet"/>
      <w:start w:val="1"/>
    </w:lvl>
  </w:abstractNum>
  <w:abstractNum w:abstractNumId="77">
    <w:nsid w:val="59ADEA3D"/>
    <w:multiLevelType w:val="hybridMultilevel"/>
    <w:lvl w:ilvl="0">
      <w:lvlJc w:val="left"/>
      <w:lvlText w:val="3"/>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1"/>
      <w:numFmt w:val="decimal"/>
      <w:start w:val="38"/>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decimal"/>
      <w:start w:val="40"/>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1"/>
      <w:numFmt w:val="decimal"/>
      <w:start w:val="42"/>
    </w:lvl>
  </w:abstractNum>
  <w:abstractNum w:abstractNumId="87">
    <w:nsid w:val="23D86AAC"/>
    <w:multiLevelType w:val="hybridMultilevel"/>
    <w:lvl w:ilvl="0">
      <w:lvlJc w:val="left"/>
      <w:lvlText w:val="1"/>
      <w:numFmt w:val="bullet"/>
      <w:start w:val="1"/>
    </w:lvl>
  </w:abstractNum>
  <w:abstractNum w:abstractNumId="88">
    <w:nsid w:val="45E6D486"/>
    <w:multiLevelType w:val="hybridMultilevel"/>
    <w:lvl w:ilvl="0">
      <w:lvlJc w:val="left"/>
      <w:lvlText w:val="2"/>
      <w:numFmt w:val="bullet"/>
      <w:start w:val="1"/>
    </w:lvl>
  </w:abstractNum>
  <w:abstractNum w:abstractNumId="89">
    <w:nsid w:val="5C10FE21"/>
    <w:multiLevelType w:val="hybridMultilevel"/>
    <w:lvl w:ilvl="0">
      <w:lvlJc w:val="left"/>
      <w:lvlText w:val="3"/>
      <w:numFmt w:val="bullet"/>
      <w:start w:val="1"/>
    </w:lvl>
  </w:abstractNum>
  <w:abstractNum w:abstractNumId="90">
    <w:nsid w:val="E7FFA2B"/>
    <w:multiLevelType w:val="hybridMultilevel"/>
    <w:lvl w:ilvl="0">
      <w:lvlJc w:val="left"/>
      <w:lvlText w:val="4"/>
      <w:numFmt w:val="bullet"/>
      <w:start w:val="1"/>
    </w:lvl>
  </w:abstractNum>
  <w:abstractNum w:abstractNumId="91">
    <w:nsid w:val="3C5991AA"/>
    <w:multiLevelType w:val="hybridMultilevel"/>
    <w:lvl w:ilvl="0">
      <w:lvlJc w:val="left"/>
      <w:lvlText w:val="5"/>
      <w:numFmt w:val="bullet"/>
      <w:start w:val="1"/>
    </w:lvl>
  </w:abstractNum>
  <w:abstractNum w:abstractNumId="92">
    <w:nsid w:val="4BD8591A"/>
    <w:multiLevelType w:val="hybridMultilevel"/>
    <w:lvl w:ilvl="0">
      <w:lvlJc w:val="left"/>
      <w:lvlText w:val="%1"/>
      <w:numFmt w:val="decimal"/>
      <w:start w:val="44"/>
    </w:lvl>
  </w:abstractNum>
  <w:abstractNum w:abstractNumId="93">
    <w:nsid w:val="78DF6A55"/>
    <w:multiLevelType w:val="hybridMultilevel"/>
    <w:lvl w:ilvl="0">
      <w:lvlJc w:val="left"/>
      <w:lvlText w:val="1"/>
      <w:numFmt w:val="bullet"/>
      <w:start w:val="1"/>
    </w:lvl>
  </w:abstractNum>
  <w:abstractNum w:abstractNumId="94">
    <w:nsid w:val="39B7AAA2"/>
    <w:multiLevelType w:val="hybridMultilevel"/>
    <w:lvl w:ilvl="0">
      <w:lvlJc w:val="left"/>
      <w:lvlText w:val="2"/>
      <w:numFmt w:val="bullet"/>
      <w:start w:val="1"/>
    </w:lvl>
  </w:abstractNum>
  <w:abstractNum w:abstractNumId="95">
    <w:nsid w:val="2B0D8DBE"/>
    <w:multiLevelType w:val="hybridMultilevel"/>
    <w:lvl w:ilvl="0">
      <w:lvlJc w:val="left"/>
      <w:lvlText w:val="3"/>
      <w:numFmt w:val="bullet"/>
      <w:start w:val="1"/>
    </w:lvl>
  </w:abstractNum>
  <w:abstractNum w:abstractNumId="96">
    <w:nsid w:val="6C80EC70"/>
    <w:multiLevelType w:val="hybridMultilevel"/>
    <w:lvl w:ilvl="0">
      <w:lvlJc w:val="left"/>
      <w:lvlText w:val="4"/>
      <w:numFmt w:val="bullet"/>
      <w:start w:val="1"/>
    </w:lvl>
  </w:abstractNum>
  <w:abstractNum w:abstractNumId="97">
    <w:nsid w:val="379E21B5"/>
    <w:multiLevelType w:val="hybridMultilevel"/>
    <w:lvl w:ilvl="0">
      <w:lvlJc w:val="left"/>
      <w:lvlText w:val="5"/>
      <w:numFmt w:val="bullet"/>
      <w:start w:val="1"/>
    </w:lvl>
  </w:abstractNum>
  <w:abstractNum w:abstractNumId="98">
    <w:nsid w:val="69E373"/>
    <w:multiLevelType w:val="hybridMultilevel"/>
    <w:lvl w:ilvl="0">
      <w:lvlJc w:val="left"/>
      <w:lvlText w:val="6"/>
      <w:numFmt w:val="bullet"/>
      <w:start w:val="1"/>
    </w:lvl>
  </w:abstractNum>
  <w:abstractNum w:abstractNumId="99">
    <w:nsid w:val="2C27173B"/>
    <w:multiLevelType w:val="hybridMultilevel"/>
    <w:lvl w:ilvl="0">
      <w:lvlJc w:val="left"/>
      <w:lvlText w:val="%1"/>
      <w:numFmt w:val="decimal"/>
      <w:start w:val="46"/>
    </w:lvl>
  </w:abstractNum>
  <w:abstractNum w:abstractNumId="100">
    <w:nsid w:val="4C9B0904"/>
    <w:multiLevelType w:val="hybridMultilevel"/>
    <w:lvl w:ilvl="0">
      <w:lvlJc w:val="left"/>
      <w:lvlText w:val="1"/>
      <w:numFmt w:val="bullet"/>
      <w:start w:val="1"/>
    </w:lvl>
  </w:abstractNum>
  <w:abstractNum w:abstractNumId="101">
    <w:nsid w:val="6AA7B75C"/>
    <w:multiLevelType w:val="hybridMultilevel"/>
    <w:lvl w:ilvl="0">
      <w:lvlJc w:val="left"/>
      <w:lvlText w:val="7"/>
      <w:numFmt w:val="bullet"/>
      <w:start w:val="1"/>
    </w:lvl>
  </w:abstractNum>
  <w:abstractNum w:abstractNumId="102">
    <w:nsid w:val="1DF029D3"/>
    <w:multiLevelType w:val="hybridMultilevel"/>
    <w:lvl w:ilvl="0">
      <w:lvlJc w:val="left"/>
      <w:lvlText w:val="8"/>
      <w:numFmt w:val="bullet"/>
      <w:start w:val="1"/>
    </w:lvl>
  </w:abstractNum>
  <w:abstractNum w:abstractNumId="103">
    <w:nsid w:val="5675FF36"/>
    <w:multiLevelType w:val="hybridMultilevel"/>
    <w:lvl w:ilvl="0">
      <w:lvlJc w:val="left"/>
      <w:lvlText w:val="1"/>
      <w:numFmt w:val="bullet"/>
      <w:start w:val="1"/>
    </w:lvl>
  </w:abstractNum>
  <w:abstractNum w:abstractNumId="104">
    <w:nsid w:val="3DD15094"/>
    <w:multiLevelType w:val="hybridMultilevel"/>
    <w:lvl w:ilvl="0">
      <w:lvlJc w:val="left"/>
      <w:lvlText w:val="(%1)"/>
      <w:numFmt w:val="upperLetter"/>
      <w:start w:val="1"/>
    </w:lvl>
  </w:abstractNum>
  <w:abstractNum w:abstractNumId="105">
    <w:nsid w:val="3DB012B3"/>
    <w:multiLevelType w:val="hybridMultilevel"/>
    <w:lvl w:ilvl="0">
      <w:lvlJc w:val="left"/>
      <w:lvlText w:val="%1"/>
      <w:numFmt w:val="decimal"/>
      <w:start w:val="48"/>
    </w:lvl>
  </w:abstractNum>
  <w:abstractNum w:abstractNumId="106">
    <w:nsid w:val="2708C9AF"/>
    <w:multiLevelType w:val="hybridMultilevel"/>
    <w:lvl w:ilvl="0">
      <w:lvlJc w:val="left"/>
      <w:lvlText w:val="1"/>
      <w:numFmt w:val="bullet"/>
      <w:start w:val="1"/>
    </w:lvl>
  </w:abstractNum>
  <w:abstractNum w:abstractNumId="107">
    <w:nsid w:val="5B25ACE2"/>
    <w:multiLevelType w:val="hybridMultilevel"/>
    <w:lvl w:ilvl="0">
      <w:lvlJc w:val="left"/>
      <w:lvlText w:val="%1"/>
      <w:numFmt w:val="decimal"/>
      <w:start w:val="50"/>
    </w:lvl>
  </w:abstractNum>
  <w:abstractNum w:abstractNumId="108">
    <w:nsid w:val="175DFCF0"/>
    <w:multiLevelType w:val="hybridMultilevel"/>
    <w:lvl w:ilvl="0">
      <w:lvlJc w:val="left"/>
      <w:lvlText w:val="%1"/>
      <w:numFmt w:val="decimal"/>
      <w:start w:val="52"/>
    </w:lvl>
  </w:abstractNum>
  <w:abstractNum w:abstractNumId="109">
    <w:nsid w:val="4F97E3E4"/>
    <w:multiLevelType w:val="hybridMultilevel"/>
    <w:lvl w:ilvl="0">
      <w:lvlJc w:val="left"/>
      <w:lvlText w:val="1"/>
      <w:numFmt w:val="bullet"/>
      <w:start w:val="1"/>
    </w:lvl>
  </w:abstractNum>
  <w:abstractNum w:abstractNumId="110">
    <w:nsid w:val="53B0A9E"/>
    <w:multiLevelType w:val="hybridMultilevel"/>
    <w:lvl w:ilvl="0">
      <w:lvlJc w:val="left"/>
      <w:lvlText w:val="2"/>
      <w:numFmt w:val="bullet"/>
      <w:start w:val="1"/>
    </w:lvl>
  </w:abstractNum>
  <w:abstractNum w:abstractNumId="111">
    <w:nsid w:val="34FD6B4F"/>
    <w:multiLevelType w:val="hybridMultilevel"/>
    <w:lvl w:ilvl="0">
      <w:lvlJc w:val="left"/>
      <w:lvlText w:val="3"/>
      <w:numFmt w:val="bullet"/>
      <w:start w:val="1"/>
    </w:lvl>
  </w:abstractNum>
  <w:abstractNum w:abstractNumId="112">
    <w:nsid w:val="5915FF32"/>
    <w:multiLevelType w:val="hybridMultilevel"/>
    <w:lvl w:ilvl="0">
      <w:lvlJc w:val="left"/>
      <w:lvlText w:val="4"/>
      <w:numFmt w:val="bullet"/>
      <w:start w:val="1"/>
    </w:lvl>
  </w:abstractNum>
  <w:abstractNum w:abstractNumId="113">
    <w:nsid w:val="56438D15"/>
    <w:multiLevelType w:val="hybridMultilevel"/>
    <w:lvl w:ilvl="0">
      <w:lvlJc w:val="left"/>
      <w:lvlText w:val="5"/>
      <w:numFmt w:val="bullet"/>
      <w:start w:val="1"/>
    </w:lvl>
  </w:abstractNum>
  <w:abstractNum w:abstractNumId="114">
    <w:nsid w:val="519E3149"/>
    <w:multiLevelType w:val="hybridMultilevel"/>
    <w:lvl w:ilvl="0">
      <w:lvlJc w:val="left"/>
      <w:lvlText w:val="6"/>
      <w:numFmt w:val="bullet"/>
      <w:start w:val="1"/>
    </w:lvl>
  </w:abstractNum>
  <w:abstractNum w:abstractNumId="115">
    <w:nsid w:val="2C6E4AFD"/>
    <w:multiLevelType w:val="hybridMultilevel"/>
    <w:lvl w:ilvl="0">
      <w:lvlJc w:val="left"/>
      <w:lvlText w:val="7"/>
      <w:numFmt w:val="bullet"/>
      <w:start w:val="1"/>
    </w:lvl>
  </w:abstractNum>
  <w:abstractNum w:abstractNumId="116">
    <w:nsid w:val="17A1B582"/>
    <w:multiLevelType w:val="hybridMultilevel"/>
    <w:lvl w:ilvl="0">
      <w:lvlJc w:val="left"/>
      <w:lvlText w:val="8"/>
      <w:numFmt w:val="bullet"/>
      <w:start w:val="1"/>
    </w:lvl>
  </w:abstractNum>
  <w:abstractNum w:abstractNumId="117">
    <w:nsid w:val="4DF72E4E"/>
    <w:multiLevelType w:val="hybridMultilevel"/>
    <w:lvl w:ilvl="0">
      <w:lvlJc w:val="left"/>
      <w:lvlText w:val="9"/>
      <w:numFmt w:val="bullet"/>
      <w:start w:val="1"/>
    </w:lvl>
  </w:abstractNum>
  <w:abstractNum w:abstractNumId="118">
    <w:nsid w:val="5046B5A9"/>
    <w:multiLevelType w:val="hybridMultilevel"/>
    <w:lvl w:ilvl="0">
      <w:lvlJc w:val="left"/>
      <w:lvlText w:val="%1"/>
      <w:numFmt w:val="decimal"/>
      <w:start w:val="10"/>
    </w:lvl>
  </w:abstractNum>
  <w:abstractNum w:abstractNumId="119">
    <w:nsid w:val="5D888A08"/>
    <w:multiLevelType w:val="hybridMultilevel"/>
    <w:lvl w:ilvl="0">
      <w:lvlJc w:val="left"/>
      <w:lvlText w:val="%1"/>
      <w:numFmt w:val="decimal"/>
      <w:start w:val="54"/>
    </w:lvl>
  </w:abstractNum>
  <w:abstractNum w:abstractNumId="120">
    <w:nsid w:val="2A082C70"/>
    <w:multiLevelType w:val="hybridMultilevel"/>
    <w:lvl w:ilvl="0">
      <w:lvlJc w:val="left"/>
      <w:lvlText w:val="%1"/>
      <w:numFmt w:val="decimal"/>
      <w:start w:val="56"/>
    </w:lvl>
  </w:abstractNum>
  <w:abstractNum w:abstractNumId="121">
    <w:nsid w:val="5EC6AFD4"/>
    <w:multiLevelType w:val="hybridMultilevel"/>
    <w:lvl w:ilvl="0">
      <w:lvlJc w:val="left"/>
      <w:lvlText w:val="%1)"/>
      <w:numFmt w:val="lowerLetter"/>
      <w:start w:val="1"/>
    </w:lvl>
    <w:lvl w:ilvl="1">
      <w:lvlJc w:val="left"/>
      <w:lvlText w:val="(%2)"/>
      <w:numFmt w:val="lowerRoman"/>
      <w:start w:val="2"/>
    </w:lvl>
  </w:abstractNum>
  <w:abstractNum w:abstractNumId="122">
    <w:nsid w:val="19E21BB2"/>
    <w:multiLevelType w:val="hybridMultilevel"/>
    <w:lvl w:ilvl="0">
      <w:lvlJc w:val="left"/>
      <w:lvlText w:val="•"/>
      <w:numFmt w:val="bullet"/>
      <w:start w:val="1"/>
    </w:lvl>
  </w:abstractNum>
  <w:abstractNum w:abstractNumId="123">
    <w:nsid w:val="75E0858A"/>
    <w:multiLevelType w:val="hybridMultilevel"/>
    <w:lvl w:ilvl="0">
      <w:lvlJc w:val="left"/>
      <w:lvlText w:val="%1"/>
      <w:numFmt w:val="decimal"/>
      <w:start w:val="58"/>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1"/>
      <w:numFmt w:val="bullet"/>
      <w:start w:val="1"/>
    </w:lvl>
  </w:abstractNum>
  <w:abstractNum w:abstractNumId="127">
    <w:nsid w:val="4427069A"/>
    <w:multiLevelType w:val="hybridMultilevel"/>
    <w:lvl w:ilvl="0">
      <w:lvlJc w:val="left"/>
      <w:lvlText w:val="2"/>
      <w:numFmt w:val="bullet"/>
      <w:start w:val="1"/>
    </w:lvl>
  </w:abstractNum>
  <w:abstractNum w:abstractNumId="128">
    <w:nsid w:val="B37E80A"/>
    <w:multiLevelType w:val="hybridMultilevel"/>
    <w:lvl w:ilvl="0">
      <w:lvlJc w:val="left"/>
      <w:lvlText w:val="4"/>
      <w:numFmt w:val="bullet"/>
      <w:start w:val="1"/>
    </w:lvl>
  </w:abstractNum>
  <w:abstractNum w:abstractNumId="129">
    <w:nsid w:val="2157F6BC"/>
    <w:multiLevelType w:val="hybridMultilevel"/>
    <w:lvl w:ilvl="0">
      <w:lvlJc w:val="left"/>
      <w:lvlText w:val="5"/>
      <w:numFmt w:val="bullet"/>
      <w:start w:val="1"/>
    </w:lvl>
  </w:abstractNum>
  <w:abstractNum w:abstractNumId="130">
    <w:nsid w:val="704E1DD5"/>
    <w:multiLevelType w:val="hybridMultilevel"/>
    <w:lvl w:ilvl="0">
      <w:lvlJc w:val="left"/>
      <w:lvlText w:val="%1"/>
      <w:numFmt w:val="decimal"/>
      <w:start w:val="60"/>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1"/>
      <w:numFmt w:val="decimal"/>
      <w:start w:val="62"/>
    </w:lvl>
  </w:abstractNum>
  <w:abstractNum w:abstractNumId="134">
    <w:nsid w:val="2E48F044"/>
    <w:multiLevelType w:val="hybridMultilevel"/>
    <w:lvl w:ilvl="0">
      <w:lvlJc w:val="left"/>
      <w:lvlText w:val="%1"/>
      <w:numFmt w:val="decimal"/>
      <w:start w:val="64"/>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2019-12-05T22:45:00Z</dcterms:created>
  <dcterms:modified xsi:type="dcterms:W3CDTF">2019-12-05T22:45:00Z</dcterms:modified>
</cp:coreProperties>
</file>