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182245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-130175</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8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-130175</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ind w:left="3900" w:right="1400" w:hanging="3893"/>
        <w:spacing w:after="0"/>
        <w:tabs>
          <w:tab w:leader="none" w:pos="512"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QUARTERLY REPORT PURSUANT TO SECTION 13 OR 15(d) OF THE SECURITIES EXCHANGE ACT OF 1934 For the quarterly period ended June 30, 2017</w:t>
      </w:r>
    </w:p>
    <w:p>
      <w:pPr>
        <w:spacing w:after="0" w:line="185"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40"/>
          </w:cols>
          <w:pgMar w:left="240" w:top="381" w:right="219" w:bottom="1440" w:gutter="0" w:footer="0" w:header="0"/>
        </w:sectPr>
      </w:pPr>
    </w:p>
    <w:p>
      <w:pPr>
        <w:spacing w:after="0" w:line="23" w:lineRule="exact"/>
        <w:rPr>
          <w:sz w:val="24"/>
          <w:szCs w:val="24"/>
          <w:color w:val="auto"/>
        </w:rPr>
      </w:pPr>
    </w:p>
    <w:p>
      <w:pPr>
        <w:jc w:val="right"/>
        <w:ind w:right="4420"/>
        <w:spacing w:after="0"/>
        <w:tabs>
          <w:tab w:leader="none" w:pos="180" w:val="left"/>
        </w:tabs>
        <w:rPr>
          <w:sz w:val="20"/>
          <w:szCs w:val="20"/>
          <w:color w:val="auto"/>
        </w:rPr>
      </w:pPr>
      <w:r>
        <w:rPr>
          <w:rFonts w:ascii="Arial" w:cs="Arial" w:eastAsia="Arial" w:hAnsi="Arial"/>
          <w:sz w:val="19"/>
          <w:szCs w:val="19"/>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jc w:val="right"/>
        <w:ind w:right="4360"/>
        <w:spacing w:after="0"/>
        <w:rPr>
          <w:sz w:val="20"/>
          <w:szCs w:val="20"/>
          <w:color w:val="auto"/>
        </w:rPr>
      </w:pPr>
      <w:r>
        <w:rPr>
          <w:rFonts w:ascii="Arial" w:cs="Arial" w:eastAsia="Arial" w:hAnsi="Arial"/>
          <w:sz w:val="19"/>
          <w:szCs w:val="19"/>
          <w:b w:val="1"/>
          <w:bCs w:val="1"/>
          <w:color w:val="auto"/>
        </w:rPr>
        <w:t>Commission File Number 1-12744</w:t>
      </w:r>
    </w:p>
    <w:p>
      <w:pPr>
        <w:sectPr>
          <w:pgSz w:w="11900" w:h="16838" w:orient="portrait"/>
          <w:cols w:equalWidth="0" w:num="1">
            <w:col w:w="11440"/>
          </w:cols>
          <w:pgMar w:left="240" w:top="381" w:right="219" w:bottom="1440" w:gutter="0" w:footer="0" w:header="0"/>
          <w:type w:val="continuous"/>
        </w:sectPr>
      </w:pP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-130175</wp:posOffset>
            </wp:positionV>
            <wp:extent cx="1452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60960</wp:posOffset>
            </wp:positionV>
            <wp:extent cx="1452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52"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4760" w:type="dxa"/>
            <w:vAlign w:val="bottom"/>
          </w:tcPr>
          <w:p>
            <w:pPr>
              <w:jc w:val="center"/>
              <w:ind w:right="1526"/>
              <w:spacing w:after="0"/>
              <w:rPr>
                <w:sz w:val="20"/>
                <w:szCs w:val="20"/>
                <w:color w:val="auto"/>
              </w:rPr>
            </w:pPr>
            <w:r>
              <w:rPr>
                <w:rFonts w:ascii="Arial" w:cs="Arial" w:eastAsia="Arial" w:hAnsi="Arial"/>
                <w:sz w:val="19"/>
                <w:szCs w:val="19"/>
                <w:b w:val="1"/>
                <w:bCs w:val="1"/>
                <w:color w:val="auto"/>
                <w:w w:val="92"/>
              </w:rPr>
              <w:t>North Carolina</w:t>
            </w:r>
          </w:p>
        </w:tc>
        <w:tc>
          <w:tcPr>
            <w:tcW w:w="3540" w:type="dxa"/>
            <w:vAlign w:val="bottom"/>
          </w:tcPr>
          <w:p>
            <w:pPr>
              <w:jc w:val="center"/>
              <w:ind w:left="1586"/>
              <w:spacing w:after="0"/>
              <w:rPr>
                <w:sz w:val="20"/>
                <w:szCs w:val="20"/>
                <w:color w:val="auto"/>
              </w:rPr>
            </w:pPr>
            <w:r>
              <w:rPr>
                <w:rFonts w:ascii="Arial" w:cs="Arial" w:eastAsia="Arial" w:hAnsi="Arial"/>
                <w:sz w:val="19"/>
                <w:szCs w:val="19"/>
                <w:b w:val="1"/>
                <w:bCs w:val="1"/>
                <w:color w:val="auto"/>
                <w:w w:val="88"/>
              </w:rPr>
              <w:t>56-1848578</w:t>
            </w:r>
          </w:p>
        </w:tc>
      </w:tr>
      <w:tr>
        <w:trPr>
          <w:trHeight w:val="214"/>
        </w:trPr>
        <w:tc>
          <w:tcPr>
            <w:tcW w:w="4760" w:type="dxa"/>
            <w:vAlign w:val="bottom"/>
          </w:tcPr>
          <w:p>
            <w:pPr>
              <w:jc w:val="center"/>
              <w:ind w:right="1566"/>
              <w:spacing w:after="0" w:line="214" w:lineRule="exact"/>
              <w:rPr>
                <w:sz w:val="20"/>
                <w:szCs w:val="20"/>
                <w:color w:val="auto"/>
              </w:rPr>
            </w:pPr>
            <w:r>
              <w:rPr>
                <w:rFonts w:ascii="Arial" w:cs="Arial" w:eastAsia="Arial" w:hAnsi="Arial"/>
                <w:sz w:val="19"/>
                <w:szCs w:val="19"/>
                <w:b w:val="1"/>
                <w:bCs w:val="1"/>
                <w:color w:val="auto"/>
                <w:w w:val="89"/>
              </w:rPr>
              <w:t>(State or other jurisdiction of</w:t>
            </w:r>
          </w:p>
        </w:tc>
        <w:tc>
          <w:tcPr>
            <w:tcW w:w="3540" w:type="dxa"/>
            <w:vAlign w:val="bottom"/>
          </w:tcPr>
          <w:p>
            <w:pPr>
              <w:jc w:val="center"/>
              <w:ind w:left="1586"/>
              <w:spacing w:after="0" w:line="214" w:lineRule="exact"/>
              <w:rPr>
                <w:sz w:val="20"/>
                <w:szCs w:val="20"/>
                <w:color w:val="auto"/>
              </w:rPr>
            </w:pPr>
            <w:r>
              <w:rPr>
                <w:rFonts w:ascii="Arial" w:cs="Arial" w:eastAsia="Arial" w:hAnsi="Arial"/>
                <w:sz w:val="19"/>
                <w:szCs w:val="19"/>
                <w:b w:val="1"/>
                <w:bCs w:val="1"/>
                <w:color w:val="auto"/>
                <w:w w:val="91"/>
              </w:rPr>
              <w:t>(I.R.S. Employer</w:t>
            </w:r>
          </w:p>
        </w:tc>
      </w:tr>
      <w:tr>
        <w:trPr>
          <w:trHeight w:val="243"/>
        </w:trPr>
        <w:tc>
          <w:tcPr>
            <w:tcW w:w="4760" w:type="dxa"/>
            <w:vAlign w:val="bottom"/>
          </w:tcPr>
          <w:p>
            <w:pPr>
              <w:jc w:val="center"/>
              <w:ind w:right="1586"/>
              <w:spacing w:after="0"/>
              <w:rPr>
                <w:sz w:val="20"/>
                <w:szCs w:val="20"/>
                <w:color w:val="auto"/>
              </w:rPr>
            </w:pPr>
            <w:r>
              <w:rPr>
                <w:rFonts w:ascii="Arial" w:cs="Arial" w:eastAsia="Arial" w:hAnsi="Arial"/>
                <w:sz w:val="19"/>
                <w:szCs w:val="19"/>
                <w:b w:val="1"/>
                <w:bCs w:val="1"/>
                <w:color w:val="auto"/>
                <w:w w:val="89"/>
              </w:rPr>
              <w:t>incorporation or organization)</w:t>
            </w:r>
          </w:p>
        </w:tc>
        <w:tc>
          <w:tcPr>
            <w:tcW w:w="3540" w:type="dxa"/>
            <w:vAlign w:val="bottom"/>
          </w:tcPr>
          <w:p>
            <w:pPr>
              <w:jc w:val="center"/>
              <w:ind w:left="1586"/>
              <w:spacing w:after="0"/>
              <w:rPr>
                <w:sz w:val="20"/>
                <w:szCs w:val="20"/>
                <w:color w:val="auto"/>
              </w:rPr>
            </w:pPr>
            <w:r>
              <w:rPr>
                <w:rFonts w:ascii="Arial" w:cs="Arial" w:eastAsia="Arial" w:hAnsi="Arial"/>
                <w:sz w:val="19"/>
                <w:szCs w:val="19"/>
                <w:b w:val="1"/>
                <w:bCs w:val="1"/>
                <w:color w:val="auto"/>
                <w:w w:val="92"/>
              </w:rPr>
              <w:t>Identification Number)</w:t>
            </w:r>
          </w:p>
        </w:tc>
      </w:tr>
      <w:tr>
        <w:trPr>
          <w:trHeight w:val="413"/>
        </w:trPr>
        <w:tc>
          <w:tcPr>
            <w:tcW w:w="4760" w:type="dxa"/>
            <w:vAlign w:val="bottom"/>
          </w:tcPr>
          <w:p>
            <w:pPr>
              <w:jc w:val="center"/>
              <w:ind w:right="1586"/>
              <w:spacing w:after="0"/>
              <w:rPr>
                <w:sz w:val="20"/>
                <w:szCs w:val="20"/>
                <w:color w:val="auto"/>
              </w:rPr>
            </w:pPr>
            <w:r>
              <w:rPr>
                <w:rFonts w:ascii="Arial" w:cs="Arial" w:eastAsia="Arial" w:hAnsi="Arial"/>
                <w:sz w:val="19"/>
                <w:szCs w:val="19"/>
                <w:b w:val="1"/>
                <w:bCs w:val="1"/>
                <w:color w:val="auto"/>
                <w:w w:val="91"/>
              </w:rPr>
              <w:t>2710 Wycliff Road, Raleigh, NC</w:t>
            </w:r>
          </w:p>
        </w:tc>
        <w:tc>
          <w:tcPr>
            <w:tcW w:w="3540" w:type="dxa"/>
            <w:vAlign w:val="bottom"/>
          </w:tcPr>
          <w:p>
            <w:pPr>
              <w:jc w:val="center"/>
              <w:ind w:left="1586"/>
              <w:spacing w:after="0"/>
              <w:rPr>
                <w:sz w:val="20"/>
                <w:szCs w:val="20"/>
                <w:color w:val="auto"/>
              </w:rPr>
            </w:pPr>
            <w:r>
              <w:rPr>
                <w:rFonts w:ascii="Arial" w:cs="Arial" w:eastAsia="Arial" w:hAnsi="Arial"/>
                <w:sz w:val="19"/>
                <w:szCs w:val="19"/>
                <w:b w:val="1"/>
                <w:bCs w:val="1"/>
                <w:color w:val="auto"/>
                <w:w w:val="88"/>
              </w:rPr>
              <w:t>27607-3033</w:t>
            </w:r>
          </w:p>
        </w:tc>
      </w:tr>
      <w:tr>
        <w:trPr>
          <w:trHeight w:val="234"/>
        </w:trPr>
        <w:tc>
          <w:tcPr>
            <w:tcW w:w="4760" w:type="dxa"/>
            <w:vAlign w:val="bottom"/>
          </w:tcPr>
          <w:p>
            <w:pPr>
              <w:jc w:val="center"/>
              <w:ind w:right="1566"/>
              <w:spacing w:after="0"/>
              <w:rPr>
                <w:sz w:val="20"/>
                <w:szCs w:val="20"/>
                <w:color w:val="auto"/>
              </w:rPr>
            </w:pPr>
            <w:r>
              <w:rPr>
                <w:rFonts w:ascii="Arial" w:cs="Arial" w:eastAsia="Arial" w:hAnsi="Arial"/>
                <w:sz w:val="19"/>
                <w:szCs w:val="19"/>
                <w:b w:val="1"/>
                <w:bCs w:val="1"/>
                <w:color w:val="auto"/>
                <w:w w:val="87"/>
              </w:rPr>
              <w:t>(Address of principal executive offices)</w:t>
            </w:r>
          </w:p>
        </w:tc>
        <w:tc>
          <w:tcPr>
            <w:tcW w:w="3540" w:type="dxa"/>
            <w:vAlign w:val="bottom"/>
          </w:tcPr>
          <w:p>
            <w:pPr>
              <w:jc w:val="center"/>
              <w:ind w:left="1586"/>
              <w:spacing w:after="0"/>
              <w:rPr>
                <w:sz w:val="20"/>
                <w:szCs w:val="20"/>
                <w:color w:val="auto"/>
              </w:rPr>
            </w:pPr>
            <w:r>
              <w:rPr>
                <w:rFonts w:ascii="Arial" w:cs="Arial" w:eastAsia="Arial" w:hAnsi="Arial"/>
                <w:sz w:val="19"/>
                <w:szCs w:val="19"/>
                <w:b w:val="1"/>
                <w:bCs w:val="1"/>
                <w:color w:val="auto"/>
                <w:w w:val="91"/>
              </w:rPr>
              <w:t>(Zip Code)</w:t>
            </w:r>
          </w:p>
        </w:tc>
      </w:tr>
    </w:tbl>
    <w:p>
      <w:pPr>
        <w:jc w:val="center"/>
        <w:ind w:right="20"/>
        <w:spacing w:after="0" w:line="235" w:lineRule="auto"/>
        <w:rPr>
          <w:sz w:val="20"/>
          <w:szCs w:val="20"/>
          <w:color w:val="auto"/>
        </w:rPr>
      </w:pPr>
      <w:r>
        <w:rPr>
          <w:rFonts w:ascii="Arial" w:cs="Arial" w:eastAsia="Arial" w:hAnsi="Arial"/>
          <w:sz w:val="19"/>
          <w:szCs w:val="19"/>
          <w:b w:val="1"/>
          <w:bCs w:val="1"/>
          <w:color w:val="auto"/>
        </w:rPr>
        <w:t>Registrant’s telephone number, including area code 919-781-4550</w:t>
      </w:r>
    </w:p>
    <w:p>
      <w:pPr>
        <w:jc w:val="center"/>
        <w:ind w:right="20"/>
        <w:spacing w:after="0" w:line="235" w:lineRule="auto"/>
        <w:rPr>
          <w:sz w:val="20"/>
          <w:szCs w:val="20"/>
          <w:color w:val="auto"/>
        </w:rPr>
      </w:pPr>
      <w:r>
        <w:rPr>
          <w:rFonts w:ascii="Arial" w:cs="Arial" w:eastAsia="Arial" w:hAnsi="Arial"/>
          <w:sz w:val="19"/>
          <w:szCs w:val="19"/>
          <w:b w:val="1"/>
          <w:bCs w:val="1"/>
          <w:color w:val="auto"/>
        </w:rPr>
        <w:t>Former name: None</w:t>
      </w:r>
    </w:p>
    <w:p>
      <w:pPr>
        <w:jc w:val="center"/>
        <w:ind w:right="20"/>
        <w:spacing w:after="0" w:line="235" w:lineRule="auto"/>
        <w:rPr>
          <w:sz w:val="20"/>
          <w:szCs w:val="20"/>
          <w:color w:val="auto"/>
        </w:rPr>
      </w:pPr>
      <w:r>
        <w:rPr>
          <w:rFonts w:ascii="Arial" w:cs="Arial" w:eastAsia="Arial" w:hAnsi="Arial"/>
          <w:sz w:val="19"/>
          <w:szCs w:val="19"/>
          <w:b w:val="1"/>
          <w:bCs w:val="1"/>
          <w:color w:val="auto"/>
        </w:rPr>
        <w:t>Former name, former address and former fiscal year, if changes since last report.</w:t>
      </w:r>
    </w:p>
    <w:p>
      <w:pPr>
        <w:jc w:val="both"/>
        <w:ind w:right="20"/>
        <w:spacing w:after="0" w:line="235"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14" w:lineRule="exact"/>
        <w:tabs>
          <w:tab w:leader="none" w:pos="16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7"/>
          <w:szCs w:val="17"/>
          <w:color w:val="auto"/>
        </w:rPr>
        <w:t>☑</w:t>
      </w:r>
      <w:r>
        <w:rPr>
          <w:rFonts w:ascii="Arial" w:cs="Arial" w:eastAsia="Arial" w:hAnsi="Arial"/>
          <w:sz w:val="19"/>
          <w:szCs w:val="19"/>
          <w:color w:val="auto"/>
        </w:rPr>
        <w:tab/>
        <w:t xml:space="preserve">No </w:t>
      </w:r>
      <w:r>
        <w:rPr>
          <w:rFonts w:ascii="MS PGothic" w:cs="MS PGothic" w:eastAsia="MS PGothic" w:hAnsi="MS PGothic"/>
          <w:sz w:val="17"/>
          <w:szCs w:val="17"/>
          <w:color w:val="auto"/>
        </w:rPr>
        <w:t>☐</w:t>
      </w:r>
    </w:p>
    <w:p>
      <w:pPr>
        <w:spacing w:after="0" w:line="1" w:lineRule="exact"/>
        <w:rPr>
          <w:sz w:val="24"/>
          <w:szCs w:val="24"/>
          <w:color w:val="auto"/>
        </w:rPr>
      </w:pPr>
    </w:p>
    <w:p>
      <w:pPr>
        <w:jc w:val="both"/>
        <w:ind w:right="20"/>
        <w:spacing w:after="0" w:line="235"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spacing w:after="0" w:line="214" w:lineRule="exact"/>
        <w:tabs>
          <w:tab w:leader="none" w:pos="16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7"/>
          <w:szCs w:val="17"/>
          <w:color w:val="auto"/>
        </w:rPr>
        <w:t>☑</w:t>
      </w:r>
      <w:r>
        <w:rPr>
          <w:rFonts w:ascii="Arial" w:cs="Arial" w:eastAsia="Arial" w:hAnsi="Arial"/>
          <w:sz w:val="19"/>
          <w:szCs w:val="19"/>
          <w:color w:val="auto"/>
        </w:rPr>
        <w:tab/>
        <w:t xml:space="preserve">No </w:t>
      </w:r>
      <w:r>
        <w:rPr>
          <w:rFonts w:ascii="MS PGothic" w:cs="MS PGothic" w:eastAsia="MS PGothic" w:hAnsi="MS PGothic"/>
          <w:sz w:val="17"/>
          <w:szCs w:val="17"/>
          <w:color w:val="auto"/>
        </w:rPr>
        <w:t>☐</w:t>
      </w:r>
    </w:p>
    <w:p>
      <w:pPr>
        <w:spacing w:after="0" w:line="1" w:lineRule="exact"/>
        <w:rPr>
          <w:sz w:val="24"/>
          <w:szCs w:val="24"/>
          <w:color w:val="auto"/>
        </w:rPr>
      </w:pPr>
    </w:p>
    <w:p>
      <w:pPr>
        <w:jc w:val="both"/>
        <w:ind w:right="20"/>
        <w:spacing w:after="0" w:line="238"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2780" w:type="dxa"/>
            <w:vAlign w:val="bottom"/>
          </w:tcPr>
          <w:p>
            <w:pPr>
              <w:ind w:left="60"/>
              <w:spacing w:after="0"/>
              <w:rPr>
                <w:sz w:val="20"/>
                <w:szCs w:val="20"/>
                <w:color w:val="auto"/>
              </w:rPr>
            </w:pPr>
            <w:r>
              <w:rPr>
                <w:rFonts w:ascii="Arial" w:cs="Arial" w:eastAsia="Arial" w:hAnsi="Arial"/>
                <w:sz w:val="19"/>
                <w:szCs w:val="19"/>
                <w:color w:val="auto"/>
              </w:rPr>
              <w:t>Large accelerated filer</w:t>
            </w:r>
          </w:p>
        </w:tc>
        <w:tc>
          <w:tcPr>
            <w:tcW w:w="2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000"/>
              <w:spacing w:after="0"/>
              <w:rPr>
                <w:sz w:val="20"/>
                <w:szCs w:val="20"/>
                <w:color w:val="auto"/>
              </w:rPr>
            </w:pPr>
            <w:r>
              <w:rPr>
                <w:rFonts w:ascii="Arial" w:cs="Arial" w:eastAsia="Arial" w:hAnsi="Arial"/>
                <w:sz w:val="19"/>
                <w:szCs w:val="19"/>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8"/>
        </w:trPr>
        <w:tc>
          <w:tcPr>
            <w:tcW w:w="2780" w:type="dxa"/>
            <w:vAlign w:val="bottom"/>
          </w:tcPr>
          <w:p>
            <w:pPr>
              <w:spacing w:after="0"/>
              <w:rPr>
                <w:sz w:val="20"/>
                <w:szCs w:val="20"/>
                <w:color w:val="auto"/>
              </w:rPr>
            </w:pPr>
            <w:r>
              <w:rPr>
                <w:rFonts w:ascii="Arial" w:cs="Arial" w:eastAsia="Arial" w:hAnsi="Arial"/>
                <w:sz w:val="19"/>
                <w:szCs w:val="19"/>
                <w:color w:val="auto"/>
              </w:rPr>
              <w:t>Non-accelerated filer</w:t>
            </w:r>
          </w:p>
        </w:tc>
        <w:tc>
          <w:tcPr>
            <w:tcW w:w="2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000"/>
              <w:spacing w:after="0"/>
              <w:rPr>
                <w:sz w:val="20"/>
                <w:szCs w:val="20"/>
                <w:color w:val="auto"/>
              </w:rPr>
            </w:pPr>
            <w:r>
              <w:rPr>
                <w:rFonts w:ascii="Arial" w:cs="Arial" w:eastAsia="Arial" w:hAnsi="Arial"/>
                <w:sz w:val="19"/>
                <w:szCs w:val="19"/>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8"/>
        </w:trPr>
        <w:tc>
          <w:tcPr>
            <w:tcW w:w="2780" w:type="dxa"/>
            <w:vAlign w:val="bottom"/>
          </w:tcPr>
          <w:p>
            <w:pPr>
              <w:spacing w:after="0"/>
              <w:rPr>
                <w:sz w:val="20"/>
                <w:szCs w:val="20"/>
                <w:color w:val="auto"/>
              </w:rPr>
            </w:pPr>
            <w:r>
              <w:rPr>
                <w:rFonts w:ascii="Arial" w:cs="Arial" w:eastAsia="Arial" w:hAnsi="Arial"/>
                <w:sz w:val="19"/>
                <w:szCs w:val="19"/>
                <w:color w:val="auto"/>
              </w:rPr>
              <w:t>Emerging growth company</w:t>
            </w:r>
          </w:p>
        </w:tc>
        <w:tc>
          <w:tcPr>
            <w:tcW w:w="2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700" w:type="dxa"/>
            <w:vAlign w:val="bottom"/>
            <w:gridSpan w:val="2"/>
          </w:tcPr>
          <w:p>
            <w:pPr>
              <w:ind w:left="5080"/>
              <w:spacing w:after="0" w:line="219" w:lineRule="exact"/>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7"/>
                <w:szCs w:val="17"/>
                <w:color w:val="auto"/>
              </w:rPr>
              <w:t>☐</w:t>
            </w:r>
          </w:p>
        </w:tc>
        <w:tc>
          <w:tcPr>
            <w:tcW w:w="5700" w:type="dxa"/>
            <w:vAlign w:val="bottom"/>
            <w:gridSpan w:val="2"/>
          </w:tcPr>
          <w:p>
            <w:pPr>
              <w:ind w:left="80"/>
              <w:spacing w:after="0" w:line="219" w:lineRule="exact"/>
              <w:rPr>
                <w:sz w:val="20"/>
                <w:szCs w:val="20"/>
                <w:color w:val="auto"/>
              </w:rPr>
            </w:pPr>
            <w:r>
              <w:rPr>
                <w:rFonts w:ascii="Arial" w:cs="Arial" w:eastAsia="Arial" w:hAnsi="Arial"/>
                <w:sz w:val="19"/>
                <w:szCs w:val="19"/>
                <w:color w:val="auto"/>
              </w:rPr>
              <w:t xml:space="preserve">No  </w:t>
            </w:r>
            <w:r>
              <w:rPr>
                <w:rFonts w:ascii="MS PGothic" w:cs="MS PGothic" w:eastAsia="MS PGothic" w:hAnsi="MS PGothic"/>
                <w:sz w:val="17"/>
                <w:szCs w:val="17"/>
                <w:color w:val="auto"/>
              </w:rPr>
              <w:t>☑</w:t>
            </w:r>
          </w:p>
        </w:tc>
        <w:tc>
          <w:tcPr>
            <w:tcW w:w="20" w:type="dxa"/>
            <w:vAlign w:val="bottom"/>
          </w:tcPr>
          <w:p>
            <w:pPr>
              <w:spacing w:after="0"/>
              <w:rPr>
                <w:sz w:val="20"/>
                <w:szCs w:val="20"/>
                <w:color w:val="auto"/>
              </w:rPr>
            </w:pPr>
          </w:p>
        </w:tc>
      </w:tr>
      <w:tr>
        <w:trPr>
          <w:trHeight w:val="239"/>
        </w:trPr>
        <w:tc>
          <w:tcPr>
            <w:tcW w:w="11420" w:type="dxa"/>
            <w:vAlign w:val="bottom"/>
            <w:gridSpan w:val="5"/>
          </w:tcPr>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tc>
        <w:tc>
          <w:tcPr>
            <w:tcW w:w="20" w:type="dxa"/>
            <w:vAlign w:val="bottom"/>
          </w:tcPr>
          <w:p>
            <w:pPr>
              <w:spacing w:after="0"/>
              <w:rPr>
                <w:sz w:val="20"/>
                <w:szCs w:val="20"/>
                <w:color w:val="auto"/>
              </w:rPr>
            </w:pPr>
          </w:p>
        </w:tc>
      </w:tr>
      <w:tr>
        <w:trPr>
          <w:trHeight w:val="319"/>
        </w:trPr>
        <w:tc>
          <w:tcPr>
            <w:tcW w:w="20" w:type="dxa"/>
            <w:vAlign w:val="bottom"/>
          </w:tcPr>
          <w:p>
            <w:pPr>
              <w:spacing w:after="0"/>
              <w:rPr>
                <w:sz w:val="24"/>
                <w:szCs w:val="24"/>
                <w:color w:val="auto"/>
              </w:rPr>
            </w:pPr>
          </w:p>
        </w:tc>
        <w:tc>
          <w:tcPr>
            <w:tcW w:w="5700" w:type="dxa"/>
            <w:vAlign w:val="bottom"/>
            <w:gridSpan w:val="2"/>
          </w:tcPr>
          <w:p>
            <w:pPr>
              <w:jc w:val="center"/>
              <w:ind w:right="120"/>
              <w:spacing w:after="0"/>
              <w:rPr>
                <w:sz w:val="20"/>
                <w:szCs w:val="20"/>
                <w:color w:val="auto"/>
              </w:rPr>
            </w:pPr>
            <w:r>
              <w:rPr>
                <w:rFonts w:ascii="Arial" w:cs="Arial" w:eastAsia="Arial" w:hAnsi="Arial"/>
                <w:sz w:val="19"/>
                <w:szCs w:val="19"/>
                <w:b w:val="1"/>
                <w:bCs w:val="1"/>
                <w:color w:val="auto"/>
                <w:w w:val="82"/>
              </w:rPr>
              <w:t>Class</w:t>
            </w:r>
          </w:p>
        </w:tc>
        <w:tc>
          <w:tcPr>
            <w:tcW w:w="12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9"/>
                <w:szCs w:val="19"/>
                <w:b w:val="1"/>
                <w:bCs w:val="1"/>
                <w:color w:val="auto"/>
                <w:w w:val="87"/>
              </w:rPr>
              <w:t>Outstanding as of July 26, 2017</w:t>
            </w:r>
          </w:p>
        </w:tc>
        <w:tc>
          <w:tcPr>
            <w:tcW w:w="2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89"/>
              </w:rPr>
              <w:t>Common Stock, $0.01 par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tcBorders>
              <w:top w:val="single" w:sz="8" w:color="auto"/>
            </w:tcBorders>
          </w:tcPr>
          <w:p>
            <w:pPr>
              <w:jc w:val="right"/>
              <w:ind w:right="2266"/>
              <w:spacing w:after="0"/>
              <w:rPr>
                <w:sz w:val="20"/>
                <w:szCs w:val="20"/>
                <w:color w:val="auto"/>
              </w:rPr>
            </w:pPr>
            <w:r>
              <w:rPr>
                <w:rFonts w:ascii="Arial" w:cs="Arial" w:eastAsia="Arial" w:hAnsi="Arial"/>
                <w:sz w:val="19"/>
                <w:szCs w:val="19"/>
                <w:color w:val="auto"/>
              </w:rPr>
              <w:t>62,839,694</w:t>
            </w:r>
          </w:p>
        </w:tc>
        <w:tc>
          <w:tcPr>
            <w:tcW w:w="20" w:type="dxa"/>
            <w:vAlign w:val="bottom"/>
          </w:tcPr>
          <w:p>
            <w:pPr>
              <w:spacing w:after="0"/>
              <w:rPr>
                <w:sz w:val="20"/>
                <w:szCs w:val="20"/>
                <w:color w:val="auto"/>
              </w:rPr>
            </w:pPr>
          </w:p>
        </w:tc>
      </w:tr>
      <w:tr>
        <w:trPr>
          <w:trHeight w:val="149"/>
        </w:trPr>
        <w:tc>
          <w:tcPr>
            <w:tcW w:w="20" w:type="dxa"/>
            <w:vAlign w:val="bottom"/>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68"/>
        </w:trPr>
        <w:tc>
          <w:tcPr>
            <w:tcW w:w="20" w:type="dxa"/>
            <w:vAlign w:val="bottom"/>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81"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860" w:type="dxa"/>
            <w:vAlign w:val="bottom"/>
            <w:gridSpan w:val="19"/>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225"/>
        </w:trPr>
        <w:tc>
          <w:tcPr>
            <w:tcW w:w="10860" w:type="dxa"/>
            <w:vAlign w:val="bottom"/>
            <w:gridSpan w:val="19"/>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10640" w:type="dxa"/>
            <w:vAlign w:val="bottom"/>
            <w:gridSpan w:val="18"/>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80" w:type="dxa"/>
            <w:vAlign w:val="bottom"/>
            <w:tcBorders>
              <w:bottom w:val="single" w:sz="8" w:color="0000EE"/>
            </w:tcBorders>
            <w:gridSpan w:val="13"/>
          </w:tcPr>
          <w:p>
            <w:pPr>
              <w:spacing w:after="0"/>
              <w:rPr>
                <w:rFonts w:ascii="Arial" w:cs="Arial" w:eastAsia="Arial" w:hAnsi="Arial"/>
                <w:sz w:val="20"/>
                <w:szCs w:val="20"/>
                <w:color w:val="0000EE"/>
                <w:w w:val="86"/>
              </w:rPr>
            </w:pPr>
            <w:hyperlink w:anchor="page3">
              <w:r>
                <w:rPr>
                  <w:rFonts w:ascii="Arial" w:cs="Arial" w:eastAsia="Arial" w:hAnsi="Arial"/>
                  <w:sz w:val="20"/>
                  <w:szCs w:val="20"/>
                  <w:color w:val="0000EE"/>
                  <w:w w:val="86"/>
                </w:rPr>
                <w:t>Consolidated Balance Sheets – June 30, 2017, December 31, 2016 and June 30, 2016</w:t>
              </w:r>
            </w:hyperlink>
          </w:p>
        </w:tc>
        <w:tc>
          <w:tcPr>
            <w:tcW w:w="374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20"/>
                <w:szCs w:val="20"/>
                <w:color w:val="0000EE"/>
                <w:w w:val="94"/>
              </w:rPr>
            </w:pPr>
            <w:hyperlink w:anchor="page4">
              <w:r>
                <w:rPr>
                  <w:rFonts w:ascii="Arial" w:cs="Arial" w:eastAsia="Arial" w:hAnsi="Arial"/>
                  <w:sz w:val="20"/>
                  <w:szCs w:val="20"/>
                  <w:color w:val="0000EE"/>
                  <w:w w:val="94"/>
                </w:rPr>
                <w:t>Consolidated Statements of Earnings and Comprehensive Earnings – Three and Six Months Ended June 30, 2017 and 2016</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00" w:type="dxa"/>
            <w:vAlign w:val="bottom"/>
            <w:tcBorders>
              <w:top w:val="single" w:sz="8" w:color="0000EE"/>
              <w:bottom w:val="single" w:sz="8" w:color="0000EE"/>
            </w:tcBorders>
            <w:gridSpan w:val="14"/>
          </w:tcPr>
          <w:p>
            <w:pPr>
              <w:spacing w:after="0"/>
              <w:rPr>
                <w:rFonts w:ascii="Arial" w:cs="Arial" w:eastAsia="Arial" w:hAnsi="Arial"/>
                <w:sz w:val="20"/>
                <w:szCs w:val="20"/>
                <w:color w:val="0000EE"/>
                <w:w w:val="87"/>
              </w:rPr>
            </w:pPr>
            <w:hyperlink w:anchor="page5">
              <w:r>
                <w:rPr>
                  <w:rFonts w:ascii="Arial" w:cs="Arial" w:eastAsia="Arial" w:hAnsi="Arial"/>
                  <w:sz w:val="20"/>
                  <w:szCs w:val="20"/>
                  <w:color w:val="0000EE"/>
                  <w:w w:val="87"/>
                </w:rPr>
                <w:t>Consolidated Statements of Cash Flows – Six Months Ended June 30, 2017 and 2016</w:t>
              </w:r>
            </w:hyperlink>
          </w:p>
        </w:tc>
        <w:tc>
          <w:tcPr>
            <w:tcW w:w="2960" w:type="dxa"/>
            <w:vAlign w:val="bottom"/>
            <w:tcBorders>
              <w:top w:val="single" w:sz="8" w:color="0000EE"/>
            </w:tcBorders>
            <w:gridSpan w:val="2"/>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00" w:type="dxa"/>
            <w:vAlign w:val="bottom"/>
            <w:tcBorders>
              <w:bottom w:val="single" w:sz="8" w:color="0000EE"/>
            </w:tcBorders>
            <w:gridSpan w:val="12"/>
          </w:tcPr>
          <w:p>
            <w:pPr>
              <w:spacing w:after="0"/>
              <w:rPr>
                <w:rFonts w:ascii="Arial" w:cs="Arial" w:eastAsia="Arial" w:hAnsi="Arial"/>
                <w:sz w:val="20"/>
                <w:szCs w:val="20"/>
                <w:color w:val="0000EE"/>
                <w:w w:val="88"/>
              </w:rPr>
            </w:pPr>
            <w:hyperlink w:anchor="page6">
              <w:r>
                <w:rPr>
                  <w:rFonts w:ascii="Arial" w:cs="Arial" w:eastAsia="Arial" w:hAnsi="Arial"/>
                  <w:sz w:val="20"/>
                  <w:szCs w:val="20"/>
                  <w:color w:val="0000EE"/>
                  <w:w w:val="88"/>
                </w:rPr>
                <w:t>Consolidated Statement of Total Equity – Six Months Ended June 30, 2017</w:t>
              </w:r>
            </w:hyperlink>
          </w:p>
        </w:tc>
        <w:tc>
          <w:tcPr>
            <w:tcW w:w="452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20"/>
                <w:szCs w:val="20"/>
                <w:color w:val="0000EE"/>
              </w:rPr>
            </w:pPr>
            <w:hyperlink w:anchor="page7">
              <w:r>
                <w:rPr>
                  <w:rFonts w:ascii="Arial" w:cs="Arial" w:eastAsia="Arial" w:hAnsi="Arial"/>
                  <w:sz w:val="20"/>
                  <w:szCs w:val="20"/>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20" w:type="dxa"/>
            <w:vAlign w:val="bottom"/>
          </w:tcPr>
          <w:p>
            <w:pPr>
              <w:spacing w:after="0"/>
              <w:rPr>
                <w:sz w:val="24"/>
                <w:szCs w:val="24"/>
                <w:color w:val="auto"/>
              </w:rPr>
            </w:pPr>
          </w:p>
        </w:tc>
        <w:tc>
          <w:tcPr>
            <w:tcW w:w="10640" w:type="dxa"/>
            <w:vAlign w:val="bottom"/>
            <w:gridSpan w:val="18"/>
          </w:tcPr>
          <w:p>
            <w:pPr>
              <w:spacing w:after="0"/>
              <w:rPr>
                <w:rFonts w:ascii="Arial" w:cs="Arial" w:eastAsia="Arial" w:hAnsi="Arial"/>
                <w:sz w:val="20"/>
                <w:szCs w:val="20"/>
                <w:color w:val="0000EE"/>
              </w:rPr>
            </w:pPr>
            <w:hyperlink w:anchor="page25">
              <w:r>
                <w:rPr>
                  <w:rFonts w:ascii="Arial" w:cs="Arial" w:eastAsia="Arial" w:hAnsi="Arial"/>
                  <w:sz w:val="20"/>
                  <w:szCs w:val="20"/>
                  <w:color w:val="0000EE"/>
                </w:rPr>
                <w:t>Item 2.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5360" w:type="dxa"/>
            <w:vAlign w:val="bottom"/>
            <w:tcBorders>
              <w:top w:val="single" w:sz="8" w:color="0000EE"/>
              <w:bottom w:val="single" w:sz="8" w:color="0000EE"/>
            </w:tcBorders>
            <w:gridSpan w:val="12"/>
          </w:tcPr>
          <w:p>
            <w:pPr>
              <w:spacing w:after="0"/>
              <w:rPr>
                <w:rFonts w:ascii="Arial" w:cs="Arial" w:eastAsia="Arial" w:hAnsi="Arial"/>
                <w:sz w:val="20"/>
                <w:szCs w:val="20"/>
                <w:color w:val="0000EE"/>
                <w:w w:val="90"/>
              </w:rPr>
            </w:pPr>
            <w:hyperlink w:anchor="page45">
              <w:r>
                <w:rPr>
                  <w:rFonts w:ascii="Arial" w:cs="Arial" w:eastAsia="Arial" w:hAnsi="Arial"/>
                  <w:sz w:val="20"/>
                  <w:szCs w:val="20"/>
                  <w:color w:val="0000EE"/>
                  <w:w w:val="90"/>
                </w:rPr>
                <w:t>Item 3. Quantitative and Qualitative Disclosures About Market Risk</w:t>
              </w:r>
            </w:hyperlink>
          </w:p>
        </w:tc>
        <w:tc>
          <w:tcPr>
            <w:tcW w:w="2280" w:type="dxa"/>
            <w:vAlign w:val="bottom"/>
            <w:tcBorders>
              <w:top w:val="single" w:sz="8" w:color="0000EE"/>
            </w:tcBorders>
            <w:gridSpan w:val="4"/>
          </w:tcPr>
          <w:p>
            <w:pPr>
              <w:spacing w:after="0"/>
              <w:rPr>
                <w:sz w:val="24"/>
                <w:szCs w:val="24"/>
                <w:color w:val="auto"/>
              </w:rPr>
            </w:pPr>
          </w:p>
        </w:tc>
        <w:tc>
          <w:tcPr>
            <w:tcW w:w="30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2540" w:type="dxa"/>
            <w:vAlign w:val="bottom"/>
            <w:tcBorders>
              <w:bottom w:val="single" w:sz="8" w:color="0000EE"/>
            </w:tcBorders>
            <w:gridSpan w:val="9"/>
          </w:tcPr>
          <w:p>
            <w:pPr>
              <w:spacing w:after="0"/>
              <w:rPr>
                <w:rFonts w:ascii="Arial" w:cs="Arial" w:eastAsia="Arial" w:hAnsi="Arial"/>
                <w:sz w:val="20"/>
                <w:szCs w:val="20"/>
                <w:color w:val="0000EE"/>
                <w:w w:val="87"/>
              </w:rPr>
            </w:pPr>
            <w:hyperlink w:anchor="page46">
              <w:r>
                <w:rPr>
                  <w:rFonts w:ascii="Arial" w:cs="Arial" w:eastAsia="Arial" w:hAnsi="Arial"/>
                  <w:sz w:val="20"/>
                  <w:szCs w:val="20"/>
                  <w:color w:val="0000EE"/>
                  <w:w w:val="87"/>
                </w:rPr>
                <w:t>Item 4. Controls and Procedures</w:t>
              </w:r>
            </w:hyperlink>
          </w:p>
        </w:tc>
        <w:tc>
          <w:tcPr>
            <w:tcW w:w="81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373"/>
        </w:trPr>
        <w:tc>
          <w:tcPr>
            <w:tcW w:w="10860" w:type="dxa"/>
            <w:vAlign w:val="bottom"/>
            <w:gridSpan w:val="19"/>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20"/>
                <w:szCs w:val="20"/>
                <w:color w:val="0000EE"/>
                <w:w w:val="91"/>
              </w:rPr>
            </w:pPr>
            <w:hyperlink w:anchor="page47">
              <w:r>
                <w:rPr>
                  <w:rFonts w:ascii="Arial" w:cs="Arial" w:eastAsia="Arial" w:hAnsi="Arial"/>
                  <w:sz w:val="20"/>
                  <w:szCs w:val="20"/>
                  <w:color w:val="0000EE"/>
                  <w:w w:val="91"/>
                </w:rPr>
                <w:t>Item 1.</w:t>
              </w:r>
            </w:hyperlink>
          </w:p>
        </w:tc>
        <w:tc>
          <w:tcPr>
            <w:tcW w:w="1480" w:type="dxa"/>
            <w:vAlign w:val="bottom"/>
            <w:tcBorders>
              <w:bottom w:val="single" w:sz="8" w:color="0000EE"/>
            </w:tcBorders>
            <w:gridSpan w:val="5"/>
          </w:tcPr>
          <w:p>
            <w:pPr>
              <w:ind w:left="20"/>
              <w:spacing w:after="0"/>
              <w:rPr>
                <w:rFonts w:ascii="Arial" w:cs="Arial" w:eastAsia="Arial" w:hAnsi="Arial"/>
                <w:sz w:val="20"/>
                <w:szCs w:val="20"/>
                <w:color w:val="0000EE"/>
                <w:w w:val="86"/>
              </w:rPr>
            </w:pPr>
            <w:hyperlink w:anchor="page47">
              <w:r>
                <w:rPr>
                  <w:rFonts w:ascii="Arial" w:cs="Arial" w:eastAsia="Arial" w:hAnsi="Arial"/>
                  <w:sz w:val="20"/>
                  <w:szCs w:val="20"/>
                  <w:color w:val="0000EE"/>
                  <w:w w:val="86"/>
                </w:rPr>
                <w:t>Legal Proceedings</w:t>
              </w:r>
            </w:hyperlink>
          </w:p>
        </w:tc>
        <w:tc>
          <w:tcPr>
            <w:tcW w:w="858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20"/>
                <w:szCs w:val="20"/>
                <w:color w:val="0000EE"/>
                <w:w w:val="89"/>
              </w:rPr>
            </w:pPr>
            <w:hyperlink w:anchor="page47">
              <w:r>
                <w:rPr>
                  <w:rFonts w:ascii="Arial" w:cs="Arial" w:eastAsia="Arial" w:hAnsi="Arial"/>
                  <w:sz w:val="20"/>
                  <w:szCs w:val="20"/>
                  <w:color w:val="0000EE"/>
                  <w:w w:val="89"/>
                </w:rPr>
                <w:t>Item 1A. Risk Factors</w:t>
              </w:r>
            </w:hyperlink>
          </w:p>
        </w:tc>
        <w:tc>
          <w:tcPr>
            <w:tcW w:w="890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47">
              <w:r>
                <w:rPr>
                  <w:rFonts w:ascii="Arial" w:cs="Arial" w:eastAsia="Arial" w:hAnsi="Arial"/>
                  <w:sz w:val="20"/>
                  <w:szCs w:val="20"/>
                  <w:color w:val="0000EE"/>
                  <w:w w:val="91"/>
                </w:rPr>
                <w:t>Item 2.</w:t>
              </w:r>
            </w:hyperlink>
          </w:p>
        </w:tc>
        <w:tc>
          <w:tcPr>
            <w:tcW w:w="10060" w:type="dxa"/>
            <w:vAlign w:val="bottom"/>
            <w:gridSpan w:val="16"/>
          </w:tcPr>
          <w:p>
            <w:pPr>
              <w:ind w:left="20"/>
              <w:spacing w:after="0"/>
              <w:rPr>
                <w:rFonts w:ascii="Arial" w:cs="Arial" w:eastAsia="Arial" w:hAnsi="Arial"/>
                <w:sz w:val="20"/>
                <w:szCs w:val="20"/>
                <w:color w:val="0000EE"/>
              </w:rPr>
            </w:pPr>
            <w:hyperlink w:anchor="page47">
              <w:r>
                <w:rPr>
                  <w:rFonts w:ascii="Arial" w:cs="Arial" w:eastAsia="Arial" w:hAnsi="Arial"/>
                  <w:sz w:val="20"/>
                  <w:szCs w:val="20"/>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20"/>
                <w:szCs w:val="20"/>
                <w:color w:val="0000EE"/>
                <w:w w:val="91"/>
              </w:rPr>
            </w:pPr>
            <w:hyperlink w:anchor="page47">
              <w:r>
                <w:rPr>
                  <w:rFonts w:ascii="Arial" w:cs="Arial" w:eastAsia="Arial" w:hAnsi="Arial"/>
                  <w:sz w:val="20"/>
                  <w:szCs w:val="20"/>
                  <w:color w:val="0000EE"/>
                  <w:w w:val="91"/>
                </w:rPr>
                <w:t>Item 4.</w:t>
              </w:r>
            </w:hyperlink>
          </w:p>
        </w:tc>
        <w:tc>
          <w:tcPr>
            <w:tcW w:w="1960" w:type="dxa"/>
            <w:vAlign w:val="bottom"/>
            <w:tcBorders>
              <w:top w:val="single" w:sz="8" w:color="0000EE"/>
              <w:bottom w:val="single" w:sz="8" w:color="0000EE"/>
            </w:tcBorders>
            <w:gridSpan w:val="7"/>
          </w:tcPr>
          <w:p>
            <w:pPr>
              <w:ind w:left="20"/>
              <w:spacing w:after="0"/>
              <w:rPr>
                <w:rFonts w:ascii="Arial" w:cs="Arial" w:eastAsia="Arial" w:hAnsi="Arial"/>
                <w:sz w:val="20"/>
                <w:szCs w:val="20"/>
                <w:color w:val="0000EE"/>
                <w:w w:val="89"/>
              </w:rPr>
            </w:pPr>
            <w:hyperlink w:anchor="page47">
              <w:r>
                <w:rPr>
                  <w:rFonts w:ascii="Arial" w:cs="Arial" w:eastAsia="Arial" w:hAnsi="Arial"/>
                  <w:sz w:val="20"/>
                  <w:szCs w:val="20"/>
                  <w:color w:val="0000EE"/>
                  <w:w w:val="89"/>
                </w:rPr>
                <w:t>Mine Safety Disclosures</w:t>
              </w:r>
            </w:hyperlink>
          </w:p>
        </w:tc>
        <w:tc>
          <w:tcPr>
            <w:tcW w:w="2800" w:type="dxa"/>
            <w:vAlign w:val="bottom"/>
            <w:tcBorders>
              <w:top w:val="single" w:sz="8" w:color="0000EE"/>
            </w:tcBorders>
            <w:gridSpan w:val="2"/>
          </w:tcPr>
          <w:p>
            <w:pPr>
              <w:spacing w:after="0"/>
              <w:rPr>
                <w:sz w:val="24"/>
                <w:szCs w:val="24"/>
                <w:color w:val="auto"/>
              </w:rPr>
            </w:pPr>
          </w:p>
        </w:tc>
        <w:tc>
          <w:tcPr>
            <w:tcW w:w="530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328"/>
        </w:trPr>
        <w:tc>
          <w:tcPr>
            <w:tcW w:w="22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20"/>
                <w:szCs w:val="20"/>
                <w:color w:val="0000EE"/>
                <w:w w:val="91"/>
              </w:rPr>
            </w:pPr>
            <w:hyperlink w:anchor="page48">
              <w:r>
                <w:rPr>
                  <w:rFonts w:ascii="Arial" w:cs="Arial" w:eastAsia="Arial" w:hAnsi="Arial"/>
                  <w:sz w:val="20"/>
                  <w:szCs w:val="20"/>
                  <w:color w:val="0000EE"/>
                  <w:w w:val="91"/>
                </w:rPr>
                <w:t>Item 6.</w:t>
              </w:r>
            </w:hyperlink>
          </w:p>
        </w:tc>
        <w:tc>
          <w:tcPr>
            <w:tcW w:w="680" w:type="dxa"/>
            <w:vAlign w:val="bottom"/>
            <w:tcBorders>
              <w:bottom w:val="single" w:sz="8" w:color="0000EE"/>
            </w:tcBorders>
            <w:gridSpan w:val="3"/>
          </w:tcPr>
          <w:p>
            <w:pPr>
              <w:ind w:left="20"/>
              <w:spacing w:after="0"/>
              <w:rPr>
                <w:rFonts w:ascii="Arial" w:cs="Arial" w:eastAsia="Arial" w:hAnsi="Arial"/>
                <w:sz w:val="20"/>
                <w:szCs w:val="20"/>
                <w:color w:val="0000EE"/>
                <w:w w:val="91"/>
              </w:rPr>
            </w:pPr>
            <w:hyperlink w:anchor="page48">
              <w:r>
                <w:rPr>
                  <w:rFonts w:ascii="Arial" w:cs="Arial" w:eastAsia="Arial" w:hAnsi="Arial"/>
                  <w:sz w:val="20"/>
                  <w:szCs w:val="20"/>
                  <w:color w:val="0000EE"/>
                  <w:w w:val="91"/>
                </w:rPr>
                <w:t>Exhibits</w:t>
              </w:r>
            </w:hyperlink>
          </w:p>
        </w:tc>
        <w:tc>
          <w:tcPr>
            <w:tcW w:w="938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328"/>
        </w:trPr>
        <w:tc>
          <w:tcPr>
            <w:tcW w:w="840" w:type="dxa"/>
            <w:vAlign w:val="bottom"/>
            <w:tcBorders>
              <w:bottom w:val="single" w:sz="8" w:color="0000EE"/>
            </w:tcBorders>
            <w:gridSpan w:val="4"/>
          </w:tcPr>
          <w:p>
            <w:pPr>
              <w:spacing w:after="0"/>
              <w:rPr>
                <w:rFonts w:ascii="Arial" w:cs="Arial" w:eastAsia="Arial" w:hAnsi="Arial"/>
                <w:sz w:val="20"/>
                <w:szCs w:val="20"/>
                <w:color w:val="0000EE"/>
                <w:w w:val="85"/>
              </w:rPr>
            </w:pPr>
            <w:hyperlink w:anchor="page49">
              <w:r>
                <w:rPr>
                  <w:rFonts w:ascii="Arial" w:cs="Arial" w:eastAsia="Arial" w:hAnsi="Arial"/>
                  <w:sz w:val="20"/>
                  <w:szCs w:val="20"/>
                  <w:color w:val="0000EE"/>
                  <w:w w:val="85"/>
                </w:rPr>
                <w:t>Signatures</w:t>
              </w:r>
            </w:hyperlink>
          </w:p>
        </w:tc>
        <w:tc>
          <w:tcPr>
            <w:tcW w:w="1002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328"/>
        </w:trPr>
        <w:tc>
          <w:tcPr>
            <w:tcW w:w="1080" w:type="dxa"/>
            <w:vAlign w:val="bottom"/>
            <w:tcBorders>
              <w:bottom w:val="single" w:sz="8" w:color="0000EE"/>
            </w:tcBorders>
            <w:gridSpan w:val="5"/>
          </w:tcPr>
          <w:p>
            <w:pPr>
              <w:spacing w:after="0"/>
              <w:rPr>
                <w:rFonts w:ascii="Arial" w:cs="Arial" w:eastAsia="Arial" w:hAnsi="Arial"/>
                <w:sz w:val="20"/>
                <w:szCs w:val="20"/>
                <w:color w:val="0000EE"/>
                <w:w w:val="92"/>
              </w:rPr>
            </w:pPr>
            <w:hyperlink w:anchor="page50">
              <w:r>
                <w:rPr>
                  <w:rFonts w:ascii="Arial" w:cs="Arial" w:eastAsia="Arial" w:hAnsi="Arial"/>
                  <w:sz w:val="20"/>
                  <w:szCs w:val="20"/>
                  <w:color w:val="0000EE"/>
                  <w:w w:val="92"/>
                </w:rPr>
                <w:t>Exhibit Index</w:t>
              </w:r>
            </w:hyperlink>
          </w:p>
        </w:tc>
        <w:tc>
          <w:tcPr>
            <w:tcW w:w="978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6"/>
                <w:szCs w:val="16"/>
                <w:color w:val="auto"/>
              </w:rPr>
              <w:t>June 30,</w:t>
            </w:r>
          </w:p>
        </w:tc>
        <w:tc>
          <w:tcPr>
            <w:tcW w:w="22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color w:val="auto"/>
                <w:w w:val="89"/>
              </w:rPr>
              <w:t>December 31,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6"/>
                <w:szCs w:val="16"/>
                <w:color w:val="auto"/>
                <w:w w:val="91"/>
              </w:rPr>
              <w:t>June 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2017</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color w:val="auto"/>
                <w:w w:val="89"/>
              </w:rPr>
              <w:t>2016</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gridSpan w:val="7"/>
          </w:tcPr>
          <w:p>
            <w:pPr>
              <w:jc w:val="center"/>
              <w:ind w:left="740"/>
              <w:spacing w:after="0"/>
              <w:rPr>
                <w:sz w:val="20"/>
                <w:szCs w:val="20"/>
                <w:color w:val="auto"/>
              </w:rPr>
            </w:pPr>
            <w:r>
              <w:rPr>
                <w:rFonts w:ascii="Arial" w:cs="Arial" w:eastAsia="Arial" w:hAnsi="Arial"/>
                <w:sz w:val="16"/>
                <w:szCs w:val="16"/>
                <w:i w:val="1"/>
                <w:iCs w:val="1"/>
                <w:color w:val="auto"/>
                <w:w w:val="91"/>
              </w:rPr>
              <w:t>(Dollars in Thousands, Except Per Share Data)</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36,722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50,038</w:t>
            </w: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Accounts receivable, net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570,618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457,910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534,459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Inventories, net</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549,865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521,624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504,877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87,092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56,813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Current Assets</w:t>
            </w:r>
          </w:p>
        </w:tc>
        <w:tc>
          <w:tcPr>
            <w:tcW w:w="9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1,244,297</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1,086,385</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1,121,929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6,306,083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6,115,530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5,896,512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Allowances for depreciation, depletion and amortization</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(2,800,823)</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(2,692,135)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(2,574,307)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property, plant and equipment</w:t>
            </w:r>
          </w:p>
        </w:tc>
        <w:tc>
          <w:tcPr>
            <w:tcW w:w="9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3,505,260</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3,423,395</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3,322,205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2,160,060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2,159,337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2,136,783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Operating permits, net</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437,713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442,202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442,349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Other intangibles, net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65,526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69,110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9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103,004</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120,476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145,712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8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7,515,860</w:t>
            </w:r>
          </w:p>
        </w:tc>
        <w:tc>
          <w:tcPr>
            <w:tcW w:w="28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7,300,905</w:t>
            </w:r>
          </w:p>
        </w:tc>
        <w:tc>
          <w:tcPr>
            <w:tcW w:w="160" w:type="dxa"/>
            <w:vAlign w:val="bottom"/>
          </w:tcPr>
          <w:p>
            <w:pPr>
              <w:spacing w:after="0"/>
              <w:rPr>
                <w:sz w:val="21"/>
                <w:szCs w:val="21"/>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7,233,305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Bank overdraft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3,794</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187,227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178,598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197,733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Accrued salaries, benefits and payroll taxes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36,202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47,428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Pension and postretirement benefits</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Accrued insurance and other taxes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59,958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60,093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Current maturities of long-term debt and short-term facilities</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140,037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238,155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Accrued interest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Other current liabilities</w:t>
            </w:r>
          </w:p>
        </w:tc>
        <w:tc>
          <w:tcPr>
            <w:tcW w:w="9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98,305</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71,140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62,064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Current Liabilities</w:t>
            </w:r>
          </w:p>
        </w:tc>
        <w:tc>
          <w:tcPr>
            <w:tcW w:w="9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534,325</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546,588</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601,604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1,641,944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1,506,153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1,541,062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Pension, postretirement and postemployment benefits</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253,908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248,086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236,562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Deferred income taxes, net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663,414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663,019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639,776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9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221,738</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194,469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197,801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Liabilities</w:t>
            </w:r>
          </w:p>
        </w:tc>
        <w:tc>
          <w:tcPr>
            <w:tcW w:w="9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3,315,329</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3,158,315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3,216,805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Equity:</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Common stock, par value $0.01 per share</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Preferred stock, par value $0.01 per share</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3,355,992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3,334,461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3,318,859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(125,906)</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(130,687)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(106,068)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Retained earnings</w:t>
            </w:r>
          </w:p>
        </w:tc>
        <w:tc>
          <w:tcPr>
            <w:tcW w:w="9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967,058</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935,574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800,028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ind w:left="240"/>
              <w:spacing w:after="0"/>
              <w:rPr>
                <w:sz w:val="20"/>
                <w:szCs w:val="20"/>
                <w:color w:val="auto"/>
              </w:rPr>
            </w:pPr>
            <w:r>
              <w:rPr>
                <w:rFonts w:ascii="Arial" w:cs="Arial" w:eastAsia="Arial" w:hAnsi="Arial"/>
                <w:sz w:val="16"/>
                <w:szCs w:val="16"/>
                <w:color w:val="auto"/>
              </w:rPr>
              <w:t>Total Shareholders' Equity</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4,197,771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4,139,978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4,013,452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w:t>
            </w:r>
          </w:p>
        </w:tc>
        <w:tc>
          <w:tcPr>
            <w:tcW w:w="9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2,760</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Equity</w:t>
            </w:r>
          </w:p>
        </w:tc>
        <w:tc>
          <w:tcPr>
            <w:tcW w:w="9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4,200,531</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4,142,590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4,016,500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Liabilities and Equity</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7,515,860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7,300,905</w:t>
            </w: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7,233,305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5"/>
          </w:tcPr>
          <w:p>
            <w:pPr>
              <w:jc w:val="right"/>
              <w:ind w:right="8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40" w:type="dxa"/>
            <w:vAlign w:val="bottom"/>
            <w:gridSpan w:val="8"/>
          </w:tcPr>
          <w:p>
            <w:pPr>
              <w:jc w:val="right"/>
              <w:ind w:right="240"/>
              <w:spacing w:after="0"/>
              <w:rPr>
                <w:sz w:val="20"/>
                <w:szCs w:val="20"/>
                <w:color w:val="auto"/>
              </w:rPr>
            </w:pPr>
            <w:r>
              <w:rPr>
                <w:rFonts w:ascii="Arial" w:cs="Arial" w:eastAsia="Arial" w:hAnsi="Arial"/>
                <w:sz w:val="18"/>
                <w:szCs w:val="18"/>
                <w:i w:val="1"/>
                <w:iCs w:val="1"/>
                <w:color w:val="auto"/>
                <w:w w:val="91"/>
              </w:rPr>
              <w:t>(In Thousands, Except Per Share Data)</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996,289</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915,436</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1,787,973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and delivery revenues</w:t>
            </w:r>
          </w:p>
        </w:tc>
        <w:tc>
          <w:tcPr>
            <w:tcW w:w="6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119,410</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6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1,063,524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977,298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1,907,383</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722,195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668,005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1,366,813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and delivery costs</w:t>
            </w:r>
          </w:p>
        </w:tc>
        <w:tc>
          <w:tcPr>
            <w:tcW w:w="6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119,410</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 of revenues</w:t>
            </w:r>
          </w:p>
        </w:tc>
        <w:tc>
          <w:tcPr>
            <w:tcW w:w="6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789,430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729,867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1,486,223</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421,160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392,681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137,908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Acquisition-related expenses, net</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(9,113)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(3,446)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(8,754)</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Earnings from Operations</w:t>
            </w:r>
          </w:p>
        </w:tc>
        <w:tc>
          <w:tcPr>
            <w:tcW w:w="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290,002</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44,896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net</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(5,420)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(4,994)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(5,956)</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Earnings before taxes on income</w:t>
            </w:r>
          </w:p>
        </w:tc>
        <w:tc>
          <w:tcPr>
            <w:tcW w:w="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251,062</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Taxes on income</w:t>
            </w:r>
          </w:p>
        </w:tc>
        <w:tc>
          <w:tcPr>
            <w:tcW w:w="6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66,514</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00" w:type="dxa"/>
            <w:vAlign w:val="bottom"/>
            <w:gridSpan w:val="2"/>
          </w:tcPr>
          <w:p>
            <w:pPr>
              <w:spacing w:after="0"/>
              <w:rPr>
                <w:sz w:val="20"/>
                <w:szCs w:val="20"/>
                <w:color w:val="auto"/>
              </w:rPr>
            </w:pPr>
            <w:r>
              <w:rPr>
                <w:rFonts w:ascii="Arial" w:cs="Arial" w:eastAsia="Arial" w:hAnsi="Arial"/>
                <w:sz w:val="18"/>
                <w:szCs w:val="18"/>
                <w:color w:val="auto"/>
              </w:rPr>
              <w:t>Consolidated net earnings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142,241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122,113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184,548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Less: Net (loss) earnings attributable to noncontrolling</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900" w:type="dxa"/>
            <w:vAlign w:val="bottom"/>
            <w:gridSpan w:val="2"/>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6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142,279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122,052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184,613</w:t>
            </w:r>
          </w:p>
        </w:tc>
        <w:tc>
          <w:tcPr>
            <w:tcW w:w="2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167,047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8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Consolidated Comprehensive Earnings: (See Note 1)</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Earnings attributable to Martin Marietta Materials, Inc.</w:t>
            </w: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144,798</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119,817</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189,394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(Loss) Earnings attributable to noncontrolling interests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8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144,761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119,880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189,331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 Common Share:</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880" w:type="dxa"/>
            <w:vAlign w:val="bottom"/>
          </w:tcPr>
          <w:p>
            <w:pPr>
              <w:ind w:left="480"/>
              <w:spacing w:after="0"/>
              <w:rPr>
                <w:sz w:val="20"/>
                <w:szCs w:val="20"/>
                <w:color w:val="auto"/>
              </w:rPr>
            </w:pPr>
            <w:r>
              <w:rPr>
                <w:rFonts w:ascii="Arial" w:cs="Arial" w:eastAsia="Arial" w:hAnsi="Arial"/>
                <w:sz w:val="18"/>
                <w:szCs w:val="18"/>
                <w:color w:val="auto"/>
              </w:rPr>
              <w:t>Basic attributable to common shareholders</w:t>
            </w:r>
          </w:p>
        </w:tc>
        <w:tc>
          <w:tcPr>
            <w:tcW w:w="8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23"/>
                <w:szCs w:val="23"/>
                <w:color w:val="auto"/>
              </w:rPr>
            </w:pPr>
          </w:p>
        </w:tc>
        <w:tc>
          <w:tcPr>
            <w:tcW w:w="4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23"/>
                <w:szCs w:val="23"/>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23"/>
                <w:szCs w:val="23"/>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attributable to common shareholders</w:t>
            </w:r>
          </w:p>
        </w:tc>
        <w:tc>
          <w:tcPr>
            <w:tcW w:w="6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6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62,858</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63,532</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62,961</w:t>
            </w:r>
          </w:p>
        </w:tc>
        <w:tc>
          <w:tcPr>
            <w:tcW w:w="26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63,845</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6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63,141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63,802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63,246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Per Common Share</w:t>
            </w:r>
          </w:p>
        </w:tc>
        <w:tc>
          <w:tcPr>
            <w:tcW w:w="8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w w:val="8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i w:val="1"/>
                <w:iCs w:val="1"/>
                <w:color w:val="auto"/>
                <w:w w:val="91"/>
              </w:rPr>
              <w:t>(Dollars 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214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184,548</w:t>
            </w:r>
          </w:p>
        </w:tc>
        <w:tc>
          <w:tcPr>
            <w:tcW w:w="320" w:type="dxa"/>
            <w:vAlign w:val="bottom"/>
          </w:tcPr>
          <w:p>
            <w:pPr>
              <w:spacing w:after="0"/>
              <w:rPr>
                <w:sz w:val="19"/>
                <w:szCs w:val="19"/>
                <w:color w:val="auto"/>
              </w:rPr>
            </w:pP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167,169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provided by operating activities:</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146,102</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Gain on divestitures and sales of assets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(17,514)</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Other items, net</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(4,393)</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divestitures:</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(112,708)</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(117,524)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 net</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(28,240)</w:t>
            </w: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(33,131)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11,663</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assets and liabilities, net</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(19,970)</w:t>
            </w:r>
          </w:p>
        </w:tc>
        <w:tc>
          <w:tcPr>
            <w:tcW w:w="0" w:type="dxa"/>
            <w:vAlign w:val="bottom"/>
          </w:tcPr>
          <w:p>
            <w:pPr>
              <w:spacing w:after="0"/>
              <w:rPr>
                <w:sz w:val="1"/>
                <w:szCs w:val="1"/>
                <w:color w:val="auto"/>
              </w:rPr>
            </w:pPr>
          </w:p>
        </w:tc>
      </w:tr>
      <w:tr>
        <w:trPr>
          <w:trHeight w:val="221"/>
        </w:trPr>
        <w:tc>
          <w:tcPr>
            <w:tcW w:w="64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229,599</w:t>
            </w: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64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3"/>
              </w:rPr>
              <w:t>(216,089)</w:t>
            </w: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(210,559)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Acquisitions, net</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(2,200)</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(123,000)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received in acquisition</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Proceeds from divestitures and sales of assets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32,089</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railcar construction advances</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(40,930)</w:t>
            </w: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Reimbursement of railcar construction advances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40,930</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for Investing Activities</w:t>
            </w:r>
          </w:p>
        </w:tc>
        <w:tc>
          <w:tcPr>
            <w:tcW w:w="1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(186,200)</w:t>
            </w:r>
          </w:p>
        </w:tc>
        <w:tc>
          <w:tcPr>
            <w:tcW w:w="3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6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Borrowings of debt</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941,244</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debt</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3"/>
              </w:rPr>
              <w:t>(845,023)</w:t>
            </w: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(70,420)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Payments on capital lease obligations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(1,752)</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issuance costs</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(1,055)</w:t>
            </w: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Change in bank overdraft</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3,795</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Contributions by owners of noncontrolling interest</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(53,135)</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(51,467)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7,937</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Shares withheld for employees' income tax obligations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(8,938)</w:t>
            </w:r>
          </w:p>
        </w:tc>
        <w:tc>
          <w:tcPr>
            <w:tcW w:w="6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Repurchases of common stock</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(99,999)</w:t>
            </w: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21"/>
        </w:trPr>
        <w:tc>
          <w:tcPr>
            <w:tcW w:w="6440" w:type="dxa"/>
            <w:vAlign w:val="bottom"/>
            <w:gridSpan w:val="2"/>
          </w:tcPr>
          <w:p>
            <w:pPr>
              <w:spacing w:after="0"/>
              <w:rPr>
                <w:sz w:val="20"/>
                <w:szCs w:val="20"/>
                <w:color w:val="auto"/>
              </w:rPr>
            </w:pPr>
            <w:r>
              <w:rPr>
                <w:rFonts w:ascii="Arial" w:cs="Arial" w:eastAsia="Arial" w:hAnsi="Arial"/>
                <w:sz w:val="18"/>
                <w:szCs w:val="18"/>
                <w:color w:val="auto"/>
              </w:rPr>
              <w:t>Net Cash Used for Financing Activities</w:t>
            </w:r>
          </w:p>
        </w:tc>
        <w:tc>
          <w:tcPr>
            <w:tcW w:w="1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(56,715)</w:t>
            </w: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(13,316)</w:t>
            </w:r>
          </w:p>
        </w:tc>
        <w:tc>
          <w:tcPr>
            <w:tcW w:w="3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1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50,038</w:t>
            </w:r>
          </w:p>
        </w:tc>
        <w:tc>
          <w:tcPr>
            <w:tcW w:w="3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36,722</w:t>
            </w:r>
          </w:p>
        </w:tc>
        <w:tc>
          <w:tcPr>
            <w:tcW w:w="3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 OF TOTAL EQUITY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Shares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6"/>
              </w:rPr>
              <w:t>Additional</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6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Common</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Paid-</w:t>
            </w:r>
          </w:p>
        </w:tc>
        <w:tc>
          <w:tcPr>
            <w:tcW w:w="200" w:type="dxa"/>
            <w:vAlign w:val="bottom"/>
          </w:tcPr>
          <w:p>
            <w:pPr>
              <w:spacing w:after="0"/>
              <w:rPr>
                <w:sz w:val="18"/>
                <w:szCs w:val="18"/>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Accumulated Other</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Retained</w:t>
            </w:r>
          </w:p>
        </w:tc>
        <w:tc>
          <w:tcPr>
            <w:tcW w:w="1160" w:type="dxa"/>
            <w:vAlign w:val="bottom"/>
            <w:gridSpan w:val="4"/>
          </w:tcPr>
          <w:p>
            <w:pPr>
              <w:ind w:left="60"/>
              <w:spacing w:after="0"/>
              <w:rPr>
                <w:sz w:val="20"/>
                <w:szCs w:val="20"/>
                <w:color w:val="auto"/>
              </w:rPr>
            </w:pPr>
            <w:r>
              <w:rPr>
                <w:rFonts w:ascii="Arial" w:cs="Arial" w:eastAsia="Arial" w:hAnsi="Arial"/>
                <w:sz w:val="18"/>
                <w:szCs w:val="18"/>
                <w:color w:val="auto"/>
                <w:w w:val="97"/>
              </w:rPr>
              <w:t>Shareholders'</w:t>
            </w:r>
          </w:p>
        </w:tc>
        <w:tc>
          <w:tcPr>
            <w:tcW w:w="1400" w:type="dxa"/>
            <w:vAlign w:val="bottom"/>
            <w:gridSpan w:val="4"/>
          </w:tcPr>
          <w:p>
            <w:pPr>
              <w:ind w:left="60"/>
              <w:spacing w:after="0"/>
              <w:rPr>
                <w:sz w:val="20"/>
                <w:szCs w:val="20"/>
                <w:color w:val="auto"/>
              </w:rPr>
            </w:pPr>
            <w:r>
              <w:rPr>
                <w:rFonts w:ascii="Arial" w:cs="Arial" w:eastAsia="Arial" w:hAnsi="Arial"/>
                <w:sz w:val="18"/>
                <w:szCs w:val="18"/>
                <w:color w:val="auto"/>
              </w:rPr>
              <w:t>Noncontrolling</w:t>
            </w: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r>
      <w:tr>
        <w:trPr>
          <w:trHeight w:val="228"/>
        </w:trPr>
        <w:tc>
          <w:tcPr>
            <w:tcW w:w="22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Stock</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Stock</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in Capital</w:t>
            </w:r>
          </w:p>
        </w:tc>
        <w:tc>
          <w:tcPr>
            <w:tcW w:w="1820" w:type="dxa"/>
            <w:vAlign w:val="bottom"/>
            <w:gridSpan w:val="4"/>
          </w:tcPr>
          <w:p>
            <w:pPr>
              <w:jc w:val="right"/>
              <w:ind w:right="120"/>
              <w:spacing w:after="0"/>
              <w:rPr>
                <w:sz w:val="20"/>
                <w:szCs w:val="20"/>
                <w:color w:val="auto"/>
              </w:rPr>
            </w:pPr>
            <w:r>
              <w:rPr>
                <w:rFonts w:ascii="Arial" w:cs="Arial" w:eastAsia="Arial" w:hAnsi="Arial"/>
                <w:sz w:val="18"/>
                <w:szCs w:val="18"/>
                <w:color w:val="auto"/>
                <w:w w:val="99"/>
              </w:rPr>
              <w:t>Comprehensive Loss</w:t>
            </w:r>
          </w:p>
        </w:tc>
        <w:tc>
          <w:tcPr>
            <w:tcW w:w="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Earnings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Interests</w:t>
            </w:r>
          </w:p>
        </w:tc>
        <w:tc>
          <w:tcPr>
            <w:tcW w:w="1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Equity</w:t>
            </w:r>
          </w:p>
        </w:tc>
      </w:tr>
      <w:tr>
        <w:trPr>
          <w:trHeight w:val="207"/>
        </w:trPr>
        <w:tc>
          <w:tcPr>
            <w:tcW w:w="2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1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8"/>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63,176</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$ 3,334,461</w:t>
            </w:r>
          </w:p>
        </w:tc>
        <w:tc>
          <w:tcPr>
            <w:tcW w:w="660" w:type="dxa"/>
            <w:vAlign w:val="bottom"/>
            <w:gridSpan w:val="2"/>
            <w:shd w:val="clear" w:color="auto" w:fill="CFF0FC"/>
          </w:tcPr>
          <w:p>
            <w:pPr>
              <w:jc w:val="right"/>
              <w:ind w:right="299"/>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(130,687)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$ 935,574</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4,139,978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$ 4,142,590</w:t>
            </w:r>
          </w:p>
        </w:tc>
        <w:tc>
          <w:tcPr>
            <w:tcW w:w="80" w:type="dxa"/>
            <w:vAlign w:val="bottom"/>
            <w:shd w:val="clear" w:color="auto" w:fill="CFF0FC"/>
          </w:tcPr>
          <w:p>
            <w:pPr>
              <w:spacing w:after="0"/>
              <w:rPr>
                <w:sz w:val="19"/>
                <w:szCs w:val="19"/>
                <w:color w:val="auto"/>
              </w:rPr>
            </w:pPr>
          </w:p>
        </w:tc>
      </w:tr>
      <w:tr>
        <w:trPr>
          <w:trHeight w:val="213"/>
        </w:trPr>
        <w:tc>
          <w:tcPr>
            <w:tcW w:w="2260" w:type="dxa"/>
            <w:vAlign w:val="bottom"/>
            <w:gridSpan w:val="2"/>
          </w:tcPr>
          <w:p>
            <w:pPr>
              <w:ind w:left="260"/>
              <w:spacing w:after="0"/>
              <w:rPr>
                <w:sz w:val="20"/>
                <w:szCs w:val="20"/>
                <w:color w:val="auto"/>
              </w:rPr>
            </w:pPr>
            <w:r>
              <w:rPr>
                <w:rFonts w:ascii="Arial" w:cs="Arial" w:eastAsia="Arial" w:hAnsi="Arial"/>
                <w:sz w:val="18"/>
                <w:szCs w:val="18"/>
                <w:color w:val="auto"/>
              </w:rPr>
              <w:t>Consolidated net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2260" w:type="dxa"/>
            <w:vAlign w:val="bottom"/>
            <w:gridSpan w:val="2"/>
          </w:tcPr>
          <w:p>
            <w:pPr>
              <w:ind w:left="260"/>
              <w:spacing w:after="0"/>
              <w:rPr>
                <w:sz w:val="20"/>
                <w:szCs w:val="20"/>
                <w:color w:val="auto"/>
              </w:rPr>
            </w:pPr>
            <w:r>
              <w:rPr>
                <w:rFonts w:ascii="Arial" w:cs="Arial" w:eastAsia="Arial" w:hAnsi="Arial"/>
                <w:sz w:val="18"/>
                <w:szCs w:val="18"/>
                <w:color w:val="auto"/>
              </w:rPr>
              <w:t>earnings (loss)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184,613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184,613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184,548</w:t>
            </w:r>
          </w:p>
        </w:tc>
        <w:tc>
          <w:tcPr>
            <w:tcW w:w="80" w:type="dxa"/>
            <w:vAlign w:val="bottom"/>
          </w:tcPr>
          <w:p>
            <w:pPr>
              <w:spacing w:after="0"/>
              <w:rPr>
                <w:sz w:val="19"/>
                <w:szCs w:val="19"/>
                <w:color w:val="auto"/>
              </w:rPr>
            </w:pPr>
          </w:p>
        </w:tc>
      </w:tr>
      <w:tr>
        <w:trPr>
          <w:trHeight w:val="214"/>
        </w:trPr>
        <w:tc>
          <w:tcPr>
            <w:tcW w:w="2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2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8"/>
        </w:trPr>
        <w:tc>
          <w:tcPr>
            <w:tcW w:w="22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4,783</w:t>
            </w:r>
          </w:p>
        </w:tc>
        <w:tc>
          <w:tcPr>
            <w:tcW w:w="80" w:type="dxa"/>
            <w:vAlign w:val="bottom"/>
            <w:shd w:val="clear" w:color="auto" w:fill="CFF0FC"/>
          </w:tcPr>
          <w:p>
            <w:pPr>
              <w:spacing w:after="0"/>
              <w:rPr>
                <w:sz w:val="19"/>
                <w:szCs w:val="19"/>
                <w:color w:val="auto"/>
              </w:rPr>
            </w:pPr>
          </w:p>
        </w:tc>
      </w:tr>
      <w:tr>
        <w:trPr>
          <w:trHeight w:val="227"/>
        </w:trPr>
        <w:tc>
          <w:tcPr>
            <w:tcW w:w="2260" w:type="dxa"/>
            <w:vAlign w:val="bottom"/>
            <w:gridSpan w:val="2"/>
          </w:tcPr>
          <w:p>
            <w:pPr>
              <w:ind w:left="260"/>
              <w:spacing w:after="0"/>
              <w:rPr>
                <w:sz w:val="20"/>
                <w:szCs w:val="20"/>
                <w:color w:val="auto"/>
              </w:rPr>
            </w:pPr>
            <w:r>
              <w:rPr>
                <w:rFonts w:ascii="Arial" w:cs="Arial" w:eastAsia="Arial" w:hAnsi="Arial"/>
                <w:sz w:val="18"/>
                <w:szCs w:val="18"/>
                <w:color w:val="auto"/>
              </w:rPr>
              <w:t>Dividends declared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(53,135)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(53,135)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(53,135)</w:t>
            </w:r>
          </w:p>
        </w:tc>
      </w:tr>
      <w:tr>
        <w:trPr>
          <w:trHeight w:val="213"/>
        </w:trPr>
        <w:tc>
          <w:tcPr>
            <w:tcW w:w="2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2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8"/>
        </w:trPr>
        <w:tc>
          <w:tcPr>
            <w:tcW w:w="22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80" w:type="dxa"/>
            <w:vAlign w:val="bottom"/>
            <w:shd w:val="clear" w:color="auto" w:fill="CFF0FC"/>
          </w:tcPr>
          <w:p>
            <w:pPr>
              <w:spacing w:after="0"/>
              <w:rPr>
                <w:sz w:val="19"/>
                <w:szCs w:val="19"/>
                <w:color w:val="auto"/>
              </w:rPr>
            </w:pPr>
          </w:p>
        </w:tc>
      </w:tr>
      <w:tr>
        <w:trPr>
          <w:trHeight w:val="213"/>
        </w:trPr>
        <w:tc>
          <w:tcPr>
            <w:tcW w:w="2260" w:type="dxa"/>
            <w:vAlign w:val="bottom"/>
            <w:gridSpan w:val="2"/>
          </w:tcPr>
          <w:p>
            <w:pPr>
              <w:ind w:left="260"/>
              <w:spacing w:after="0"/>
              <w:rPr>
                <w:sz w:val="20"/>
                <w:szCs w:val="20"/>
                <w:color w:val="auto"/>
              </w:rPr>
            </w:pPr>
            <w:r>
              <w:rPr>
                <w:rFonts w:ascii="Arial" w:cs="Arial" w:eastAsia="Arial" w:hAnsi="Arial"/>
                <w:sz w:val="18"/>
                <w:szCs w:val="18"/>
                <w:color w:val="auto"/>
                <w:w w:val="98"/>
              </w:rPr>
              <w:t>Repurchases of common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2260" w:type="dxa"/>
            <w:vAlign w:val="bottom"/>
            <w:gridSpan w:val="2"/>
          </w:tcPr>
          <w:p>
            <w:pPr>
              <w:ind w:left="260"/>
              <w:spacing w:after="0"/>
              <w:rPr>
                <w:sz w:val="20"/>
                <w:szCs w:val="20"/>
                <w:color w:val="auto"/>
              </w:rPr>
            </w:pPr>
            <w:r>
              <w:rPr>
                <w:rFonts w:ascii="Arial" w:cs="Arial" w:eastAsia="Arial" w:hAnsi="Arial"/>
                <w:sz w:val="18"/>
                <w:szCs w:val="18"/>
                <w:color w:val="auto"/>
              </w:rPr>
              <w:t>stock</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(99,994)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(99,999)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(99,999)</w:t>
            </w:r>
          </w:p>
        </w:tc>
      </w:tr>
      <w:tr>
        <w:trPr>
          <w:trHeight w:val="214"/>
        </w:trPr>
        <w:tc>
          <w:tcPr>
            <w:tcW w:w="2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8"/>
        </w:trPr>
        <w:tc>
          <w:tcPr>
            <w:tcW w:w="2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17,727</w:t>
            </w:r>
          </w:p>
        </w:tc>
        <w:tc>
          <w:tcPr>
            <w:tcW w:w="80" w:type="dxa"/>
            <w:vAlign w:val="bottom"/>
            <w:shd w:val="clear" w:color="auto" w:fill="CFF0FC"/>
          </w:tcPr>
          <w:p>
            <w:pPr>
              <w:spacing w:after="0"/>
              <w:rPr>
                <w:sz w:val="19"/>
                <w:szCs w:val="19"/>
                <w:color w:val="auto"/>
              </w:rPr>
            </w:pPr>
          </w:p>
        </w:tc>
      </w:tr>
      <w:tr>
        <w:trPr>
          <w:trHeight w:val="213"/>
        </w:trPr>
        <w:tc>
          <w:tcPr>
            <w:tcW w:w="2260" w:type="dxa"/>
            <w:vAlign w:val="bottom"/>
            <w:gridSpan w:val="2"/>
          </w:tcPr>
          <w:p>
            <w:pPr>
              <w:ind w:left="260"/>
              <w:spacing w:after="0"/>
              <w:rPr>
                <w:sz w:val="20"/>
                <w:szCs w:val="20"/>
                <w:color w:val="auto"/>
              </w:rPr>
            </w:pPr>
            <w:r>
              <w:rPr>
                <w:rFonts w:ascii="Arial" w:cs="Arial" w:eastAsia="Arial" w:hAnsi="Arial"/>
                <w:sz w:val="18"/>
                <w:szCs w:val="18"/>
                <w:color w:val="auto"/>
              </w:rPr>
              <w:t>Contributions by owners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260" w:type="dxa"/>
            <w:vAlign w:val="bottom"/>
            <w:gridSpan w:val="2"/>
          </w:tcPr>
          <w:p>
            <w:pPr>
              <w:ind w:left="260"/>
              <w:spacing w:after="0"/>
              <w:rPr>
                <w:sz w:val="20"/>
                <w:szCs w:val="20"/>
                <w:color w:val="auto"/>
              </w:rPr>
            </w:pPr>
            <w:r>
              <w:rPr>
                <w:rFonts w:ascii="Arial" w:cs="Arial" w:eastAsia="Arial" w:hAnsi="Arial"/>
                <w:sz w:val="18"/>
                <w:szCs w:val="18"/>
                <w:color w:val="auto"/>
              </w:rPr>
              <w:t>of</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2260" w:type="dxa"/>
            <w:vAlign w:val="bottom"/>
            <w:gridSpan w:val="2"/>
          </w:tcPr>
          <w:p>
            <w:pPr>
              <w:ind w:left="380"/>
              <w:spacing w:after="0"/>
              <w:rPr>
                <w:sz w:val="20"/>
                <w:szCs w:val="20"/>
                <w:color w:val="auto"/>
              </w:rPr>
            </w:pPr>
            <w:r>
              <w:rPr>
                <w:rFonts w:ascii="Arial" w:cs="Arial" w:eastAsia="Arial" w:hAnsi="Arial"/>
                <w:sz w:val="18"/>
                <w:szCs w:val="18"/>
                <w:color w:val="auto"/>
              </w:rPr>
              <w:t>noncontrolling interest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r>
      <w:tr>
        <w:trPr>
          <w:trHeight w:val="221"/>
        </w:trPr>
        <w:tc>
          <w:tcPr>
            <w:tcW w:w="2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June 30, 2017</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$ 3,355,992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$ 967,058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4,197,771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$ 4,200,531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2" w:lineRule="exact"/>
        <w:rPr>
          <w:sz w:val="20"/>
          <w:szCs w:val="20"/>
          <w:color w:val="auto"/>
        </w:rPr>
      </w:pPr>
    </w:p>
    <w:p>
      <w:pPr>
        <w:ind w:left="380" w:right="8440" w:hanging="373"/>
        <w:spacing w:after="0" w:line="352" w:lineRule="auto"/>
        <w:tabs>
          <w:tab w:leader="none" w:pos="375"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rPr>
          <w:rFonts w:ascii="Arial" w:cs="Arial" w:eastAsia="Arial" w:hAnsi="Arial"/>
          <w:sz w:val="20"/>
          <w:szCs w:val="20"/>
          <w:b w:val="1"/>
          <w:bCs w:val="1"/>
          <w:color w:val="auto"/>
        </w:rPr>
      </w:pPr>
      <w:r>
        <w:rPr>
          <w:rFonts w:ascii="Arial" w:cs="Arial" w:eastAsia="Arial" w:hAnsi="Arial"/>
          <w:sz w:val="20"/>
          <w:szCs w:val="20"/>
          <w:color w:val="auto"/>
        </w:rPr>
        <w:t>Martin Marietta Materials, Inc. (the Company or Martin Marietta) is engaged principally in the building materials business, including aggregates, cement, ready mixed concrete and asphalt and paving product lines, collectively reported as the Building Materials business. The aggregates product line is sold and shipped from a network of more than 270 quarries and distribution facilities in 26 states, Nova Scotia and the Bahamas. The cement, ready mixed concrete and asphalt and paving product lines are located in strategic, vertically integrated markets, predominately Texas and Colorado. Building materials are used for construction of highways and other infrastructure projects, and in the nonresidential and residential construction industries. Aggregates and cement products are also used in the railroad, agricultural, utility and environmental industries.</w:t>
      </w:r>
    </w:p>
    <w:p>
      <w:pPr>
        <w:spacing w:after="0" w:line="89" w:lineRule="exact"/>
        <w:rPr>
          <w:rFonts w:ascii="Arial" w:cs="Arial" w:eastAsia="Arial" w:hAnsi="Arial"/>
          <w:sz w:val="20"/>
          <w:szCs w:val="20"/>
          <w:b w:val="1"/>
          <w:bCs w:val="1"/>
          <w:color w:val="auto"/>
        </w:rPr>
      </w:pP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Effective January 1, 2017, the Company reorganized the operations and management reporting structure of its Texas-based aggregates, cement and ready mixed concrete product lines, resulting in a change to its reportable segments. As a result, the cement product line is reported in the West Group. The Company’s Building Materials business includes three reportable segments: the Mid-America Group, the Southeast Group and the West Group.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0"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60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Reportable Segments</w:t>
            </w:r>
          </w:p>
        </w:tc>
        <w:tc>
          <w:tcPr>
            <w:tcW w:w="27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93"/>
              </w:rPr>
              <w:t>Mid-America Group</w:t>
            </w:r>
          </w:p>
        </w:tc>
        <w:tc>
          <w:tcPr>
            <w:tcW w:w="20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85"/>
              </w:rPr>
              <w:t>Southeast Group</w:t>
            </w: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4"/>
        </w:trPr>
        <w:tc>
          <w:tcPr>
            <w:tcW w:w="20" w:type="dxa"/>
            <w:vAlign w:val="bottom"/>
          </w:tcPr>
          <w:p>
            <w:pPr>
              <w:spacing w:after="0"/>
              <w:rPr>
                <w:sz w:val="17"/>
                <w:szCs w:val="17"/>
                <w:color w:val="auto"/>
              </w:rPr>
            </w:pPr>
          </w:p>
        </w:tc>
        <w:tc>
          <w:tcPr>
            <w:tcW w:w="2420" w:type="dxa"/>
            <w:vAlign w:val="bottom"/>
            <w:tcBorders>
              <w:top w:val="single" w:sz="8" w:color="auto"/>
            </w:tcBorders>
          </w:tcPr>
          <w:p>
            <w:pPr>
              <w:spacing w:after="0" w:line="204" w:lineRule="exact"/>
              <w:rPr>
                <w:sz w:val="20"/>
                <w:szCs w:val="20"/>
                <w:color w:val="auto"/>
              </w:rPr>
            </w:pPr>
            <w:r>
              <w:rPr>
                <w:rFonts w:ascii="Arial" w:cs="Arial" w:eastAsia="Arial" w:hAnsi="Arial"/>
                <w:sz w:val="20"/>
                <w:szCs w:val="20"/>
                <w:color w:val="auto"/>
              </w:rPr>
              <w:t>Operating Locations</w:t>
            </w:r>
          </w:p>
        </w:tc>
        <w:tc>
          <w:tcPr>
            <w:tcW w:w="160" w:type="dxa"/>
            <w:vAlign w:val="bottom"/>
          </w:tcPr>
          <w:p>
            <w:pPr>
              <w:spacing w:after="0"/>
              <w:rPr>
                <w:sz w:val="17"/>
                <w:szCs w:val="17"/>
                <w:color w:val="auto"/>
              </w:rPr>
            </w:pPr>
          </w:p>
        </w:tc>
        <w:tc>
          <w:tcPr>
            <w:tcW w:w="260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89"/>
              </w:rPr>
              <w:t>Indiana, Iowa,</w:t>
            </w:r>
          </w:p>
        </w:tc>
        <w:tc>
          <w:tcPr>
            <w:tcW w:w="140" w:type="dxa"/>
            <w:vAlign w:val="bottom"/>
          </w:tcPr>
          <w:p>
            <w:pPr>
              <w:spacing w:after="0"/>
              <w:rPr>
                <w:sz w:val="17"/>
                <w:szCs w:val="17"/>
                <w:color w:val="auto"/>
              </w:rPr>
            </w:pPr>
          </w:p>
        </w:tc>
        <w:tc>
          <w:tcPr>
            <w:tcW w:w="190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90"/>
              </w:rPr>
              <w:t>Alabama, Florida,</w:t>
            </w:r>
          </w:p>
        </w:tc>
        <w:tc>
          <w:tcPr>
            <w:tcW w:w="160" w:type="dxa"/>
            <w:vAlign w:val="bottom"/>
          </w:tcPr>
          <w:p>
            <w:pPr>
              <w:spacing w:after="0"/>
              <w:rPr>
                <w:sz w:val="17"/>
                <w:szCs w:val="17"/>
                <w:color w:val="auto"/>
              </w:rPr>
            </w:pPr>
          </w:p>
        </w:tc>
        <w:tc>
          <w:tcPr>
            <w:tcW w:w="308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87"/>
              </w:rPr>
              <w:t>Arkansas, Colorado, southern Kansas,</w:t>
            </w:r>
          </w:p>
        </w:tc>
      </w:tr>
      <w:tr>
        <w:trPr>
          <w:trHeight w:val="227"/>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60"/>
              <w:spacing w:after="0" w:line="228" w:lineRule="exact"/>
              <w:rPr>
                <w:sz w:val="20"/>
                <w:szCs w:val="20"/>
                <w:color w:val="auto"/>
              </w:rPr>
            </w:pPr>
            <w:r>
              <w:rPr>
                <w:rFonts w:ascii="Arial" w:cs="Arial" w:eastAsia="Arial" w:hAnsi="Arial"/>
                <w:sz w:val="20"/>
                <w:szCs w:val="20"/>
                <w:color w:val="auto"/>
                <w:w w:val="88"/>
              </w:rPr>
              <w:t>northern Kansas, Kentucky,</w:t>
            </w:r>
          </w:p>
        </w:tc>
        <w:tc>
          <w:tcPr>
            <w:tcW w:w="2060" w:type="dxa"/>
            <w:vAlign w:val="bottom"/>
            <w:gridSpan w:val="2"/>
          </w:tcPr>
          <w:p>
            <w:pPr>
              <w:ind w:left="140"/>
              <w:spacing w:after="0" w:line="228" w:lineRule="exact"/>
              <w:rPr>
                <w:sz w:val="20"/>
                <w:szCs w:val="20"/>
                <w:color w:val="auto"/>
              </w:rPr>
            </w:pPr>
            <w:r>
              <w:rPr>
                <w:rFonts w:ascii="Arial" w:cs="Arial" w:eastAsia="Arial" w:hAnsi="Arial"/>
                <w:sz w:val="20"/>
                <w:szCs w:val="20"/>
                <w:color w:val="auto"/>
              </w:rPr>
              <w:t>Georgia, Tennessee,</w:t>
            </w:r>
          </w:p>
        </w:tc>
        <w:tc>
          <w:tcPr>
            <w:tcW w:w="3080" w:type="dxa"/>
            <w:vAlign w:val="bottom"/>
          </w:tcPr>
          <w:p>
            <w:pPr>
              <w:jc w:val="center"/>
              <w:spacing w:after="0" w:line="228" w:lineRule="exact"/>
              <w:rPr>
                <w:sz w:val="20"/>
                <w:szCs w:val="20"/>
                <w:color w:val="auto"/>
              </w:rPr>
            </w:pPr>
            <w:r>
              <w:rPr>
                <w:rFonts w:ascii="Arial" w:cs="Arial" w:eastAsia="Arial" w:hAnsi="Arial"/>
                <w:sz w:val="20"/>
                <w:szCs w:val="20"/>
                <w:color w:val="auto"/>
                <w:w w:val="87"/>
              </w:rPr>
              <w:t>Louisiana, western Nebraska, Nevada,</w:t>
            </w:r>
          </w:p>
        </w:tc>
      </w:tr>
      <w:tr>
        <w:trPr>
          <w:trHeight w:val="227"/>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60"/>
              <w:spacing w:after="0" w:line="228" w:lineRule="exact"/>
              <w:rPr>
                <w:sz w:val="20"/>
                <w:szCs w:val="20"/>
                <w:color w:val="auto"/>
              </w:rPr>
            </w:pPr>
            <w:r>
              <w:rPr>
                <w:rFonts w:ascii="Arial" w:cs="Arial" w:eastAsia="Arial" w:hAnsi="Arial"/>
                <w:sz w:val="20"/>
                <w:szCs w:val="20"/>
                <w:color w:val="auto"/>
                <w:w w:val="91"/>
              </w:rPr>
              <w:t>Maryland, Minnesota, Missouri,</w:t>
            </w:r>
          </w:p>
        </w:tc>
        <w:tc>
          <w:tcPr>
            <w:tcW w:w="2060" w:type="dxa"/>
            <w:vAlign w:val="bottom"/>
            <w:gridSpan w:val="2"/>
          </w:tcPr>
          <w:p>
            <w:pPr>
              <w:jc w:val="center"/>
              <w:ind w:right="160"/>
              <w:spacing w:after="0" w:line="228" w:lineRule="exact"/>
              <w:rPr>
                <w:sz w:val="20"/>
                <w:szCs w:val="20"/>
                <w:color w:val="auto"/>
              </w:rPr>
            </w:pPr>
            <w:r>
              <w:rPr>
                <w:rFonts w:ascii="Arial" w:cs="Arial" w:eastAsia="Arial" w:hAnsi="Arial"/>
                <w:sz w:val="20"/>
                <w:szCs w:val="20"/>
                <w:color w:val="auto"/>
                <w:w w:val="87"/>
              </w:rPr>
              <w:t>Nova Scotia and the</w:t>
            </w:r>
          </w:p>
        </w:tc>
        <w:tc>
          <w:tcPr>
            <w:tcW w:w="3080" w:type="dxa"/>
            <w:vAlign w:val="bottom"/>
          </w:tcPr>
          <w:p>
            <w:pPr>
              <w:jc w:val="center"/>
              <w:spacing w:after="0" w:line="228" w:lineRule="exact"/>
              <w:rPr>
                <w:sz w:val="20"/>
                <w:szCs w:val="20"/>
                <w:color w:val="auto"/>
              </w:rPr>
            </w:pPr>
            <w:r>
              <w:rPr>
                <w:rFonts w:ascii="Arial" w:cs="Arial" w:eastAsia="Arial" w:hAnsi="Arial"/>
                <w:sz w:val="20"/>
                <w:szCs w:val="20"/>
                <w:color w:val="auto"/>
                <w:w w:val="88"/>
              </w:rPr>
              <w:t>Oklahoma, Texas, Utah</w:t>
            </w:r>
          </w:p>
        </w:tc>
      </w:tr>
      <w:tr>
        <w:trPr>
          <w:trHeight w:val="227"/>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60"/>
              <w:spacing w:after="0" w:line="228" w:lineRule="exact"/>
              <w:rPr>
                <w:sz w:val="20"/>
                <w:szCs w:val="20"/>
                <w:color w:val="auto"/>
              </w:rPr>
            </w:pPr>
            <w:r>
              <w:rPr>
                <w:rFonts w:ascii="Arial" w:cs="Arial" w:eastAsia="Arial" w:hAnsi="Arial"/>
                <w:sz w:val="20"/>
                <w:szCs w:val="20"/>
                <w:color w:val="auto"/>
                <w:w w:val="87"/>
              </w:rPr>
              <w:t>eastern Nebraska, North</w:t>
            </w:r>
          </w:p>
        </w:tc>
        <w:tc>
          <w:tcPr>
            <w:tcW w:w="2060" w:type="dxa"/>
            <w:vAlign w:val="bottom"/>
            <w:gridSpan w:val="2"/>
          </w:tcPr>
          <w:p>
            <w:pPr>
              <w:jc w:val="center"/>
              <w:ind w:right="140"/>
              <w:spacing w:after="0" w:line="228" w:lineRule="exact"/>
              <w:rPr>
                <w:sz w:val="20"/>
                <w:szCs w:val="20"/>
                <w:color w:val="auto"/>
              </w:rPr>
            </w:pPr>
            <w:r>
              <w:rPr>
                <w:rFonts w:ascii="Arial" w:cs="Arial" w:eastAsia="Arial" w:hAnsi="Arial"/>
                <w:sz w:val="20"/>
                <w:szCs w:val="20"/>
                <w:color w:val="auto"/>
                <w:w w:val="85"/>
              </w:rPr>
              <w:t>Bahamas</w:t>
            </w:r>
          </w:p>
        </w:tc>
        <w:tc>
          <w:tcPr>
            <w:tcW w:w="3080" w:type="dxa"/>
            <w:vAlign w:val="bottom"/>
          </w:tcPr>
          <w:p>
            <w:pPr>
              <w:jc w:val="center"/>
              <w:spacing w:after="0" w:line="228" w:lineRule="exact"/>
              <w:rPr>
                <w:sz w:val="20"/>
                <w:szCs w:val="20"/>
                <w:color w:val="auto"/>
              </w:rPr>
            </w:pPr>
            <w:r>
              <w:rPr>
                <w:rFonts w:ascii="Arial" w:cs="Arial" w:eastAsia="Arial" w:hAnsi="Arial"/>
                <w:sz w:val="20"/>
                <w:szCs w:val="20"/>
                <w:color w:val="auto"/>
                <w:w w:val="89"/>
              </w:rPr>
              <w:t>and Wyoming</w:t>
            </w:r>
          </w:p>
        </w:tc>
      </w:tr>
      <w:tr>
        <w:trPr>
          <w:trHeight w:val="227"/>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60"/>
              <w:spacing w:after="0" w:line="228" w:lineRule="exact"/>
              <w:rPr>
                <w:sz w:val="20"/>
                <w:szCs w:val="20"/>
                <w:color w:val="auto"/>
              </w:rPr>
            </w:pPr>
            <w:r>
              <w:rPr>
                <w:rFonts w:ascii="Arial" w:cs="Arial" w:eastAsia="Arial" w:hAnsi="Arial"/>
                <w:sz w:val="20"/>
                <w:szCs w:val="20"/>
                <w:color w:val="auto"/>
                <w:w w:val="91"/>
              </w:rPr>
              <w:t>Carolina, Ohio,</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40"/>
              <w:spacing w:after="0" w:line="228" w:lineRule="exact"/>
              <w:rPr>
                <w:sz w:val="20"/>
                <w:szCs w:val="20"/>
                <w:color w:val="auto"/>
              </w:rPr>
            </w:pPr>
            <w:r>
              <w:rPr>
                <w:rFonts w:ascii="Arial" w:cs="Arial" w:eastAsia="Arial" w:hAnsi="Arial"/>
                <w:sz w:val="20"/>
                <w:szCs w:val="20"/>
                <w:color w:val="auto"/>
                <w:w w:val="89"/>
              </w:rPr>
              <w:t>South Carolina,</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40"/>
              <w:spacing w:after="0" w:line="228" w:lineRule="exact"/>
              <w:rPr>
                <w:sz w:val="20"/>
                <w:szCs w:val="20"/>
                <w:color w:val="auto"/>
              </w:rPr>
            </w:pPr>
            <w:r>
              <w:rPr>
                <w:rFonts w:ascii="Arial" w:cs="Arial" w:eastAsia="Arial" w:hAnsi="Arial"/>
                <w:sz w:val="20"/>
                <w:szCs w:val="20"/>
                <w:color w:val="auto"/>
                <w:w w:val="89"/>
              </w:rPr>
              <w:t>Virginia, Washington and</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49"/>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20"/>
                <w:szCs w:val="20"/>
                <w:color w:val="auto"/>
                <w:w w:val="91"/>
              </w:rPr>
              <w:t>West Virginia</w:t>
            </w:r>
          </w:p>
        </w:tc>
        <w:tc>
          <w:tcPr>
            <w:tcW w:w="1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80" w:type="dxa"/>
            <w:vAlign w:val="bottom"/>
          </w:tcPr>
          <w:p>
            <w:pPr>
              <w:spacing w:after="0"/>
              <w:rPr>
                <w:sz w:val="21"/>
                <w:szCs w:val="21"/>
                <w:color w:val="auto"/>
              </w:rPr>
            </w:pPr>
          </w:p>
        </w:tc>
      </w:tr>
      <w:tr>
        <w:trPr>
          <w:trHeight w:val="434"/>
        </w:trPr>
        <w:tc>
          <w:tcPr>
            <w:tcW w:w="2600" w:type="dxa"/>
            <w:vAlign w:val="bottom"/>
            <w:gridSpan w:val="3"/>
          </w:tcPr>
          <w:p>
            <w:pPr>
              <w:spacing w:after="0"/>
              <w:rPr>
                <w:sz w:val="20"/>
                <w:szCs w:val="20"/>
                <w:color w:val="auto"/>
              </w:rPr>
            </w:pPr>
            <w:r>
              <w:rPr>
                <w:rFonts w:ascii="Arial" w:cs="Arial" w:eastAsia="Arial" w:hAnsi="Arial"/>
                <w:sz w:val="20"/>
                <w:szCs w:val="20"/>
                <w:color w:val="auto"/>
              </w:rPr>
              <w:t>Product Lines</w:t>
            </w:r>
          </w:p>
        </w:tc>
        <w:tc>
          <w:tcPr>
            <w:tcW w:w="2740" w:type="dxa"/>
            <w:vAlign w:val="bottom"/>
            <w:gridSpan w:val="2"/>
          </w:tcPr>
          <w:p>
            <w:pPr>
              <w:jc w:val="center"/>
              <w:ind w:right="160"/>
              <w:spacing w:after="0"/>
              <w:rPr>
                <w:sz w:val="20"/>
                <w:szCs w:val="20"/>
                <w:color w:val="auto"/>
              </w:rPr>
            </w:pPr>
            <w:r>
              <w:rPr>
                <w:rFonts w:ascii="Arial" w:cs="Arial" w:eastAsia="Arial" w:hAnsi="Arial"/>
                <w:sz w:val="20"/>
                <w:szCs w:val="20"/>
                <w:color w:val="auto"/>
                <w:w w:val="87"/>
              </w:rPr>
              <w:t>Aggregates</w:t>
            </w:r>
          </w:p>
        </w:tc>
        <w:tc>
          <w:tcPr>
            <w:tcW w:w="2060" w:type="dxa"/>
            <w:vAlign w:val="bottom"/>
            <w:gridSpan w:val="2"/>
          </w:tcPr>
          <w:p>
            <w:pPr>
              <w:jc w:val="center"/>
              <w:ind w:right="160"/>
              <w:spacing w:after="0"/>
              <w:rPr>
                <w:sz w:val="20"/>
                <w:szCs w:val="20"/>
                <w:color w:val="auto"/>
              </w:rPr>
            </w:pPr>
            <w:r>
              <w:rPr>
                <w:rFonts w:ascii="Arial" w:cs="Arial" w:eastAsia="Arial" w:hAnsi="Arial"/>
                <w:sz w:val="20"/>
                <w:szCs w:val="20"/>
                <w:color w:val="auto"/>
                <w:w w:val="87"/>
              </w:rPr>
              <w:t>Aggregates</w:t>
            </w:r>
          </w:p>
        </w:tc>
        <w:tc>
          <w:tcPr>
            <w:tcW w:w="3080" w:type="dxa"/>
            <w:vAlign w:val="bottom"/>
          </w:tcPr>
          <w:p>
            <w:pPr>
              <w:jc w:val="center"/>
              <w:spacing w:after="0"/>
              <w:rPr>
                <w:sz w:val="20"/>
                <w:szCs w:val="20"/>
                <w:color w:val="auto"/>
              </w:rPr>
            </w:pPr>
            <w:r>
              <w:rPr>
                <w:rFonts w:ascii="Arial" w:cs="Arial" w:eastAsia="Arial" w:hAnsi="Arial"/>
                <w:sz w:val="20"/>
                <w:szCs w:val="20"/>
                <w:color w:val="auto"/>
                <w:w w:val="87"/>
              </w:rPr>
              <w:t>Aggregates, cement, ready mixed</w:t>
            </w:r>
          </w:p>
        </w:tc>
      </w:tr>
      <w:tr>
        <w:trPr>
          <w:trHeight w:val="249"/>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Arial" w:cs="Arial" w:eastAsia="Arial" w:hAnsi="Arial"/>
                <w:sz w:val="20"/>
                <w:szCs w:val="20"/>
                <w:color w:val="auto"/>
                <w:w w:val="87"/>
              </w:rPr>
              <w:t>concrete and asphalt and paving</w:t>
            </w:r>
          </w:p>
        </w:tc>
      </w:tr>
      <w:tr>
        <w:trPr>
          <w:trHeight w:val="434"/>
        </w:trPr>
        <w:tc>
          <w:tcPr>
            <w:tcW w:w="2600" w:type="dxa"/>
            <w:vAlign w:val="bottom"/>
            <w:gridSpan w:val="3"/>
          </w:tcPr>
          <w:p>
            <w:pPr>
              <w:spacing w:after="0"/>
              <w:rPr>
                <w:sz w:val="20"/>
                <w:szCs w:val="20"/>
                <w:color w:val="auto"/>
              </w:rPr>
            </w:pPr>
            <w:r>
              <w:rPr>
                <w:rFonts w:ascii="Arial" w:cs="Arial" w:eastAsia="Arial" w:hAnsi="Arial"/>
                <w:sz w:val="20"/>
                <w:szCs w:val="20"/>
                <w:color w:val="auto"/>
              </w:rPr>
              <w:t>Products and Services</w:t>
            </w:r>
          </w:p>
        </w:tc>
        <w:tc>
          <w:tcPr>
            <w:tcW w:w="2740" w:type="dxa"/>
            <w:vAlign w:val="bottom"/>
            <w:gridSpan w:val="2"/>
          </w:tcPr>
          <w:p>
            <w:pPr>
              <w:jc w:val="center"/>
              <w:ind w:right="140"/>
              <w:spacing w:after="0"/>
              <w:rPr>
                <w:sz w:val="20"/>
                <w:szCs w:val="20"/>
                <w:color w:val="auto"/>
              </w:rPr>
            </w:pPr>
            <w:r>
              <w:rPr>
                <w:rFonts w:ascii="Arial" w:cs="Arial" w:eastAsia="Arial" w:hAnsi="Arial"/>
                <w:sz w:val="20"/>
                <w:szCs w:val="20"/>
                <w:color w:val="auto"/>
                <w:w w:val="86"/>
              </w:rPr>
              <w:t>Crushed stone, sand and gravel</w:t>
            </w:r>
          </w:p>
        </w:tc>
        <w:tc>
          <w:tcPr>
            <w:tcW w:w="2060" w:type="dxa"/>
            <w:vAlign w:val="bottom"/>
            <w:gridSpan w:val="2"/>
          </w:tcPr>
          <w:p>
            <w:pPr>
              <w:jc w:val="center"/>
              <w:ind w:right="160"/>
              <w:spacing w:after="0"/>
              <w:rPr>
                <w:sz w:val="20"/>
                <w:szCs w:val="20"/>
                <w:color w:val="auto"/>
              </w:rPr>
            </w:pPr>
            <w:r>
              <w:rPr>
                <w:rFonts w:ascii="Arial" w:cs="Arial" w:eastAsia="Arial" w:hAnsi="Arial"/>
                <w:sz w:val="20"/>
                <w:szCs w:val="20"/>
                <w:color w:val="auto"/>
                <w:w w:val="85"/>
              </w:rPr>
              <w:t>Crushed stone, sand</w:t>
            </w:r>
          </w:p>
        </w:tc>
        <w:tc>
          <w:tcPr>
            <w:tcW w:w="3080" w:type="dxa"/>
            <w:vAlign w:val="bottom"/>
          </w:tcPr>
          <w:p>
            <w:pPr>
              <w:jc w:val="center"/>
              <w:spacing w:after="0"/>
              <w:rPr>
                <w:sz w:val="20"/>
                <w:szCs w:val="20"/>
                <w:color w:val="auto"/>
              </w:rPr>
            </w:pPr>
            <w:r>
              <w:rPr>
                <w:rFonts w:ascii="Arial" w:cs="Arial" w:eastAsia="Arial" w:hAnsi="Arial"/>
                <w:sz w:val="20"/>
                <w:szCs w:val="20"/>
                <w:color w:val="auto"/>
                <w:w w:val="86"/>
              </w:rPr>
              <w:t>Crushed stone, sand and gravel;</w:t>
            </w:r>
          </w:p>
        </w:tc>
      </w:tr>
      <w:tr>
        <w:trPr>
          <w:trHeight w:val="227"/>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2"/>
          </w:tcPr>
          <w:p>
            <w:pPr>
              <w:jc w:val="center"/>
              <w:ind w:right="160"/>
              <w:spacing w:after="0" w:line="228" w:lineRule="exact"/>
              <w:rPr>
                <w:sz w:val="20"/>
                <w:szCs w:val="20"/>
                <w:color w:val="auto"/>
              </w:rPr>
            </w:pPr>
            <w:r>
              <w:rPr>
                <w:rFonts w:ascii="Arial" w:cs="Arial" w:eastAsia="Arial" w:hAnsi="Arial"/>
                <w:sz w:val="20"/>
                <w:szCs w:val="20"/>
                <w:color w:val="auto"/>
                <w:w w:val="87"/>
              </w:rPr>
              <w:t>and gravel</w:t>
            </w:r>
          </w:p>
        </w:tc>
        <w:tc>
          <w:tcPr>
            <w:tcW w:w="3080" w:type="dxa"/>
            <w:vAlign w:val="bottom"/>
          </w:tcPr>
          <w:p>
            <w:pPr>
              <w:jc w:val="center"/>
              <w:spacing w:after="0" w:line="228" w:lineRule="exact"/>
              <w:rPr>
                <w:sz w:val="20"/>
                <w:szCs w:val="20"/>
                <w:color w:val="auto"/>
              </w:rPr>
            </w:pPr>
            <w:r>
              <w:rPr>
                <w:rFonts w:ascii="Arial" w:cs="Arial" w:eastAsia="Arial" w:hAnsi="Arial"/>
                <w:sz w:val="20"/>
                <w:szCs w:val="20"/>
                <w:color w:val="auto"/>
                <w:w w:val="87"/>
              </w:rPr>
              <w:t>Portland and specialty cements; ready</w:t>
            </w:r>
          </w:p>
        </w:tc>
      </w:tr>
      <w:tr>
        <w:trPr>
          <w:trHeight w:val="249"/>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Arial" w:cs="Arial" w:eastAsia="Arial" w:hAnsi="Arial"/>
                <w:sz w:val="20"/>
                <w:szCs w:val="20"/>
                <w:color w:val="auto"/>
                <w:w w:val="87"/>
              </w:rPr>
              <w:t>mixed concrete and asphalt and paving</w:t>
            </w:r>
          </w:p>
        </w:tc>
      </w:tr>
    </w:tbl>
    <w:p>
      <w:pPr>
        <w:spacing w:after="0" w:line="193" w:lineRule="exact"/>
        <w:rPr>
          <w:sz w:val="20"/>
          <w:szCs w:val="20"/>
          <w:color w:val="auto"/>
        </w:rPr>
      </w:pPr>
    </w:p>
    <w:p>
      <w:pPr>
        <w:jc w:val="both"/>
        <w:ind w:left="380"/>
        <w:spacing w:after="0" w:line="247" w:lineRule="auto"/>
        <w:rPr>
          <w:sz w:val="20"/>
          <w:szCs w:val="20"/>
          <w:color w:val="auto"/>
        </w:rPr>
      </w:pPr>
      <w:r>
        <w:rPr>
          <w:rFonts w:ascii="Arial" w:cs="Arial" w:eastAsia="Arial" w:hAnsi="Arial"/>
          <w:sz w:val="20"/>
          <w:szCs w:val="20"/>
          <w:color w:val="auto"/>
        </w:rPr>
        <w:t>The Company has a Magnesia Specialties segment with manufacturing facilities in Manistee, Michigan, and Woodville, Ohio. The Magnesia Specialties segment produces magnesia-based chemicals products used in industrial, agricultural and environmental applications and dolomitic lime sold primarily to customers in the steel industry.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right="7440" w:hanging="373"/>
        <w:spacing w:after="0" w:line="352" w:lineRule="auto"/>
        <w:tabs>
          <w:tab w:leader="none" w:pos="375"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 Basis of Presentation</w:t>
      </w:r>
    </w:p>
    <w:p>
      <w:pPr>
        <w:jc w:val="both"/>
        <w:ind w:left="380"/>
        <w:spacing w:after="0" w:line="285" w:lineRule="auto"/>
        <w:rPr>
          <w:rFonts w:ascii="Arial" w:cs="Arial" w:eastAsia="Arial" w:hAnsi="Arial"/>
          <w:sz w:val="20"/>
          <w:szCs w:val="20"/>
          <w:b w:val="1"/>
          <w:bCs w:val="1"/>
          <w:color w:val="auto"/>
        </w:rPr>
      </w:pPr>
      <w:r>
        <w:rPr>
          <w:rFonts w:ascii="Arial" w:cs="Arial" w:eastAsia="Arial" w:hAnsi="Arial"/>
          <w:sz w:val="17"/>
          <w:szCs w:val="17"/>
          <w:color w:val="auto"/>
        </w:rPr>
        <w:t>The accompanying unaudited consolidated financial statements of the Company have been prepared in accordance with generally accepted accounting principles for interim financial information and with the instructions to the Quarterly Report on Form 10-Q and in Article 10 of Regulation S-X. Other than the adoption of two new accounting standards described below, the Company has continued to follow the accounting policies set forth in the audited consolidated financial statements and related notes thereto included in the Company’s Annual Report on Form 10-K for the year ended December 31, 2016.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six months ended June 30, 2017 are not indicative of the results expected for other interim periods or the full year. The consolidated balance sheet at December 31, 2016 has been derived from the audited consolidated financial statements at that date but does not include all of the information and notes required by generally accepted accounting principles for complete financial statements. These consolidated financial statements should be read in conjunction with the audited consolidated financial statements and notes thereto included in the Company’s Annual Report on Form 10-K for the year ended December 31, 2016.</w:t>
      </w:r>
    </w:p>
    <w:p>
      <w:pPr>
        <w:spacing w:after="0" w:line="384" w:lineRule="exact"/>
        <w:rPr>
          <w:rFonts w:ascii="Arial" w:cs="Arial" w:eastAsia="Arial" w:hAnsi="Arial"/>
          <w:sz w:val="20"/>
          <w:szCs w:val="20"/>
          <w:b w:val="1"/>
          <w:bCs w:val="1"/>
          <w:color w:val="auto"/>
        </w:rPr>
      </w:pPr>
    </w:p>
    <w:p>
      <w:pPr>
        <w:ind w:left="380" w:right="8200"/>
        <w:spacing w:after="0" w:line="414" w:lineRule="auto"/>
        <w:rPr>
          <w:rFonts w:ascii="Arial" w:cs="Arial" w:eastAsia="Arial" w:hAnsi="Arial"/>
          <w:sz w:val="20"/>
          <w:szCs w:val="20"/>
          <w:b w:val="1"/>
          <w:bCs w:val="1"/>
          <w:color w:val="auto"/>
        </w:rPr>
      </w:pPr>
      <w:r>
        <w:rPr>
          <w:rFonts w:ascii="Arial" w:cs="Arial" w:eastAsia="Arial" w:hAnsi="Arial"/>
          <w:sz w:val="17"/>
          <w:szCs w:val="17"/>
          <w:b w:val="1"/>
          <w:bCs w:val="1"/>
          <w:color w:val="auto"/>
        </w:rPr>
        <w:t xml:space="preserve">New Accounting Pronouncements </w:t>
      </w:r>
      <w:r>
        <w:rPr>
          <w:rFonts w:ascii="Arial" w:cs="Arial" w:eastAsia="Arial" w:hAnsi="Arial"/>
          <w:sz w:val="17"/>
          <w:szCs w:val="17"/>
          <w:i w:val="1"/>
          <w:iCs w:val="1"/>
          <w:color w:val="auto"/>
        </w:rPr>
        <w:t>Share-Based Payment Accounting</w:t>
      </w:r>
    </w:p>
    <w:p>
      <w:pPr>
        <w:jc w:val="both"/>
        <w:ind w:left="380"/>
        <w:spacing w:after="0" w:line="286" w:lineRule="auto"/>
        <w:rPr>
          <w:rFonts w:ascii="Arial" w:cs="Arial" w:eastAsia="Arial" w:hAnsi="Arial"/>
          <w:sz w:val="20"/>
          <w:szCs w:val="20"/>
          <w:b w:val="1"/>
          <w:bCs w:val="1"/>
          <w:color w:val="auto"/>
        </w:rPr>
      </w:pPr>
      <w:r>
        <w:rPr>
          <w:rFonts w:ascii="Arial" w:cs="Arial" w:eastAsia="Arial" w:hAnsi="Arial"/>
          <w:sz w:val="17"/>
          <w:szCs w:val="17"/>
          <w:color w:val="auto"/>
        </w:rPr>
        <w:t xml:space="preserve">Effective January 1, 2017, the Company adopted Accounting Standards Update (ASU) 2016-09,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(Topic 718): Improvements to Employee Share-Based Payment Accounting (ASU 2016-09)</w:t>
      </w:r>
      <w:r>
        <w:rPr>
          <w:rFonts w:ascii="Arial" w:cs="Arial" w:eastAsia="Arial" w:hAnsi="Arial"/>
          <w:sz w:val="17"/>
          <w:szCs w:val="17"/>
          <w:color w:val="auto"/>
        </w:rPr>
        <w:t>, which simplifies certain aspects of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and requirements for share-based transactions. ASU 2016-09 requires shares withheld for employees’ income tax obligations to be presented as a financing activity in the statement of cash flows, with retrospective presentation. For the six-months ended June 30, 2016, the Company reclassified $2,525,000 from operating activities to financing activities on the statement of cash flows. Additionally, excess tax benefits from stock-based compensation transactions are presented as an operating activity with retrospective presentation. The Company previously presented excess tax benefits from stock-based compensation transactions as a financing activity and, for the six-months ended June 30, 2016, reclassified $3,948,000 to operating activities on the statement of cash flows. ASU 2016-09 also requires excess tax benefits and tax deficiencies to be recognized prospectively as income tax benefits or expense in the period awards vest or are exercised. For the three- and six-months ended June 30, 2017, the Company recognized excess tax benefits of $2,989,000 and $5,259,000,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right="7440" w:hanging="373"/>
        <w:spacing w:after="0" w:line="414" w:lineRule="auto"/>
        <w:tabs>
          <w:tab w:leader="none" w:pos="37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(continued) New Accounting Pronouncements</w:t>
      </w:r>
    </w:p>
    <w:p>
      <w:pPr>
        <w:ind w:left="380"/>
        <w:spacing w:after="0"/>
        <w:rPr>
          <w:rFonts w:ascii="Arial" w:cs="Arial" w:eastAsia="Arial" w:hAnsi="Arial"/>
          <w:sz w:val="17"/>
          <w:szCs w:val="17"/>
          <w:b w:val="1"/>
          <w:bCs w:val="1"/>
          <w:color w:val="auto"/>
        </w:rPr>
      </w:pPr>
      <w:r>
        <w:rPr>
          <w:rFonts w:ascii="Arial" w:cs="Arial" w:eastAsia="Arial" w:hAnsi="Arial"/>
          <w:sz w:val="20"/>
          <w:szCs w:val="20"/>
          <w:i w:val="1"/>
          <w:iCs w:val="1"/>
          <w:color w:val="auto"/>
        </w:rPr>
        <w:t>Net Periodic Pension Cost and Net Periodic Postretirement Benefit Cost</w:t>
      </w:r>
    </w:p>
    <w:p>
      <w:pPr>
        <w:spacing w:after="0" w:line="104" w:lineRule="exact"/>
        <w:rPr>
          <w:rFonts w:ascii="Arial" w:cs="Arial" w:eastAsia="Arial" w:hAnsi="Arial"/>
          <w:sz w:val="17"/>
          <w:szCs w:val="17"/>
          <w:b w:val="1"/>
          <w:bCs w:val="1"/>
          <w:color w:val="auto"/>
        </w:rPr>
      </w:pPr>
    </w:p>
    <w:p>
      <w:pPr>
        <w:jc w:val="both"/>
        <w:ind w:left="380"/>
        <w:spacing w:after="0" w:line="285" w:lineRule="auto"/>
        <w:rPr>
          <w:rFonts w:ascii="Arial" w:cs="Arial" w:eastAsia="Arial" w:hAnsi="Arial"/>
          <w:sz w:val="17"/>
          <w:szCs w:val="17"/>
          <w:b w:val="1"/>
          <w:bCs w:val="1"/>
          <w:color w:val="auto"/>
        </w:rPr>
      </w:pPr>
      <w:r>
        <w:rPr>
          <w:rFonts w:ascii="Arial" w:cs="Arial" w:eastAsia="Arial" w:hAnsi="Arial"/>
          <w:sz w:val="17"/>
          <w:szCs w:val="17"/>
          <w:color w:val="auto"/>
        </w:rPr>
        <w:t xml:space="preserve">In March 2017, the Financial Accounting Standards Board (FASB) issued ASU 2017-07, </w:t>
      </w:r>
      <w:r>
        <w:rPr>
          <w:rFonts w:ascii="Arial" w:cs="Arial" w:eastAsia="Arial" w:hAnsi="Arial"/>
          <w:sz w:val="17"/>
          <w:szCs w:val="17"/>
          <w:i w:val="1"/>
          <w:iCs w:val="1"/>
          <w:color w:val="auto"/>
        </w:rPr>
        <w:t>Improving the Presentation of Net Periodic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Pension Cost and Net Periodic Postretirement Benefit Cost </w:t>
      </w:r>
      <w:r>
        <w:rPr>
          <w:rFonts w:ascii="Arial" w:cs="Arial" w:eastAsia="Arial" w:hAnsi="Arial"/>
          <w:sz w:val="17"/>
          <w:szCs w:val="17"/>
          <w:color w:val="auto"/>
        </w:rPr>
        <w:t>(ASU 2017-07)</w:t>
      </w:r>
      <w:r>
        <w:rPr>
          <w:rFonts w:ascii="Arial" w:cs="Arial" w:eastAsia="Arial" w:hAnsi="Arial"/>
          <w:sz w:val="17"/>
          <w:szCs w:val="17"/>
          <w:i w:val="1"/>
          <w:iCs w:val="1"/>
          <w:color w:val="auto"/>
        </w:rPr>
        <w:t xml:space="preserve">, </w:t>
      </w:r>
      <w:r>
        <w:rPr>
          <w:rFonts w:ascii="Arial" w:cs="Arial" w:eastAsia="Arial" w:hAnsi="Arial"/>
          <w:sz w:val="17"/>
          <w:szCs w:val="17"/>
          <w:color w:val="auto"/>
        </w:rPr>
        <w:t>which revises the financial statement presentation for periodic</w:t>
      </w:r>
      <w:r>
        <w:rPr>
          <w:rFonts w:ascii="Arial" w:cs="Arial" w:eastAsia="Arial" w:hAnsi="Arial"/>
          <w:sz w:val="17"/>
          <w:szCs w:val="17"/>
          <w:i w:val="1"/>
          <w:iCs w:val="1"/>
          <w:color w:val="auto"/>
        </w:rPr>
        <w:t xml:space="preserve"> </w:t>
      </w:r>
      <w:r>
        <w:rPr>
          <w:rFonts w:ascii="Arial" w:cs="Arial" w:eastAsia="Arial" w:hAnsi="Arial"/>
          <w:sz w:val="17"/>
          <w:szCs w:val="17"/>
          <w:color w:val="auto"/>
        </w:rPr>
        <w:t>pension and postretirement expense or credit, other than service cost. ASU 2017-07 requires net periodic benefit cost or credit, with the exception of service cost, to be presented retrospectively as nonoperating expense. As permitted by ASU 2017-07, the Company used the pension and other postretirement benefit plan disclosures for the prior comparative periods as a practical expedient to estimate amounts for retrospective application. Service cost will remain a component of earnings from operations and represent the only cost of pension and postretirement expense eligible for capitalization, notably in the Company’s inventory standards. The Company early adopted this standard effective January 1, 2017. For the three-months ended June 30, 2016, the Company reclassified $730,000, $1,728,000 and $648,000 from cost of sales; selling, general and administrative expenses; and other operating income and expenses, respectively, to nonoperating expense. For the six-months ended June 30, 2016, the Company reclassified $1,346,000, $3,240,000 and $774,000 from cost of sales; selling, general and administrative expenses; and other operating income and expenses, respectively, to nonoperating expense.</w:t>
      </w:r>
    </w:p>
    <w:p>
      <w:pPr>
        <w:spacing w:after="0" w:line="156" w:lineRule="exact"/>
        <w:rPr>
          <w:rFonts w:ascii="Arial" w:cs="Arial" w:eastAsia="Arial" w:hAnsi="Arial"/>
          <w:sz w:val="17"/>
          <w:szCs w:val="17"/>
          <w:b w:val="1"/>
          <w:bCs w:val="1"/>
          <w:color w:val="auto"/>
        </w:rPr>
      </w:pPr>
    </w:p>
    <w:p>
      <w:pPr>
        <w:ind w:left="380" w:right="7880"/>
        <w:spacing w:after="0" w:line="414" w:lineRule="auto"/>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Pending Accounting Pronouncements </w:t>
      </w:r>
      <w:r>
        <w:rPr>
          <w:rFonts w:ascii="Arial" w:cs="Arial" w:eastAsia="Arial" w:hAnsi="Arial"/>
          <w:sz w:val="17"/>
          <w:szCs w:val="17"/>
          <w:i w:val="1"/>
          <w:iCs w:val="1"/>
          <w:color w:val="auto"/>
        </w:rPr>
        <w:t>Revenue Recognition Standard</w:t>
      </w:r>
    </w:p>
    <w:p>
      <w:pPr>
        <w:jc w:val="both"/>
        <w:ind w:left="380"/>
        <w:spacing w:after="0" w:line="295" w:lineRule="auto"/>
        <w:rPr>
          <w:rFonts w:ascii="Arial" w:cs="Arial" w:eastAsia="Arial" w:hAnsi="Arial"/>
          <w:sz w:val="17"/>
          <w:szCs w:val="17"/>
          <w:b w:val="1"/>
          <w:bCs w:val="1"/>
          <w:color w:val="auto"/>
        </w:rPr>
      </w:pPr>
      <w:r>
        <w:rPr>
          <w:rFonts w:ascii="Arial" w:cs="Arial" w:eastAsia="Arial" w:hAnsi="Arial"/>
          <w:sz w:val="17"/>
          <w:szCs w:val="17"/>
          <w:color w:val="auto"/>
        </w:rPr>
        <w:t>The FASB issued an accounting standards update that amends the accounting guidance on revenue recognition. The new standard intends to provide a more robust framework for addressing revenue issues, improve comparability of revenue recognition practices and improve disclosure requirements. The new standard is effective January 1, 2018 and can be applied on a full retrospective or modified retrospective approach. The Company has completed its initial assessment of the provisions of the new standard and, at this time, does not expect the impact to be material to its results of operations and expects to adopt using the full retrospective approach.</w:t>
      </w:r>
    </w:p>
    <w:p>
      <w:pPr>
        <w:spacing w:after="0" w:line="150"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20"/>
          <w:szCs w:val="20"/>
          <w:i w:val="1"/>
          <w:iCs w:val="1"/>
          <w:color w:val="auto"/>
        </w:rPr>
        <w:t>Lease Standard</w:t>
      </w:r>
    </w:p>
    <w:p>
      <w:pPr>
        <w:spacing w:after="0" w:line="104" w:lineRule="exact"/>
        <w:rPr>
          <w:rFonts w:ascii="Arial" w:cs="Arial" w:eastAsia="Arial" w:hAnsi="Arial"/>
          <w:sz w:val="17"/>
          <w:szCs w:val="17"/>
          <w:b w:val="1"/>
          <w:bCs w:val="1"/>
          <w:color w:val="auto"/>
        </w:rPr>
      </w:pPr>
    </w:p>
    <w:p>
      <w:pPr>
        <w:jc w:val="both"/>
        <w:ind w:left="380"/>
        <w:spacing w:after="0" w:line="292" w:lineRule="auto"/>
        <w:rPr>
          <w:rFonts w:ascii="Arial" w:cs="Arial" w:eastAsia="Arial" w:hAnsi="Arial"/>
          <w:sz w:val="17"/>
          <w:szCs w:val="17"/>
          <w:b w:val="1"/>
          <w:bCs w:val="1"/>
          <w:color w:val="auto"/>
        </w:rPr>
      </w:pPr>
      <w:r>
        <w:rPr>
          <w:rFonts w:ascii="Arial" w:cs="Arial" w:eastAsia="Arial" w:hAnsi="Arial"/>
          <w:sz w:val="17"/>
          <w:szCs w:val="17"/>
          <w:color w:val="auto"/>
        </w:rPr>
        <w:t xml:space="preserve">In February 2016, the FASB issued a new accounting standard, </w:t>
      </w:r>
      <w:r>
        <w:rPr>
          <w:rFonts w:ascii="Arial" w:cs="Arial" w:eastAsia="Arial" w:hAnsi="Arial"/>
          <w:sz w:val="17"/>
          <w:szCs w:val="17"/>
          <w:i w:val="1"/>
          <w:iCs w:val="1"/>
          <w:color w:val="auto"/>
        </w:rPr>
        <w:t>Accounting Codification Standard 842 – Leases,</w:t>
      </w:r>
      <w:r>
        <w:rPr>
          <w:rFonts w:ascii="Arial" w:cs="Arial" w:eastAsia="Arial" w:hAnsi="Arial"/>
          <w:sz w:val="17"/>
          <w:szCs w:val="17"/>
          <w:color w:val="auto"/>
        </w:rPr>
        <w:t xml:space="preserve"> intending to improve financial reporting of leases and to provide more transparency into off-balance sheet leasing obligations. The guidance requires virtually all leases, excluding mineral interest leases, to be recorded on the balance sheet and provides guidance on the recognition of lease expense and income. The new standard is effective January 1, 2019 and must be applied on a modified retrospective approach. The Company is currently assessing the impact of the updated standard on the Company’s financial statements. The Company believes the updated standard will have a material effect on its balance sheet but has not quantified the impact at this time.</w:t>
      </w:r>
    </w:p>
    <w:p>
      <w:pPr>
        <w:spacing w:after="0" w:line="145"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20"/>
          <w:szCs w:val="20"/>
          <w:b w:val="1"/>
          <w:bCs w:val="1"/>
          <w:color w:val="auto"/>
        </w:rPr>
        <w:t>Reclassifications</w:t>
      </w:r>
    </w:p>
    <w:p>
      <w:pPr>
        <w:spacing w:after="0" w:line="110" w:lineRule="exact"/>
        <w:rPr>
          <w:rFonts w:ascii="Arial" w:cs="Arial" w:eastAsia="Arial" w:hAnsi="Arial"/>
          <w:sz w:val="17"/>
          <w:szCs w:val="17"/>
          <w:b w:val="1"/>
          <w:bCs w:val="1"/>
          <w:color w:val="auto"/>
        </w:rPr>
      </w:pPr>
    </w:p>
    <w:p>
      <w:pPr>
        <w:ind w:left="380" w:right="20"/>
        <w:spacing w:after="0" w:line="257" w:lineRule="auto"/>
        <w:rPr>
          <w:rFonts w:ascii="Arial" w:cs="Arial" w:eastAsia="Arial" w:hAnsi="Arial"/>
          <w:sz w:val="17"/>
          <w:szCs w:val="17"/>
          <w:b w:val="1"/>
          <w:bCs w:val="1"/>
          <w:color w:val="auto"/>
        </w:rPr>
      </w:pPr>
      <w:r>
        <w:rPr>
          <w:rFonts w:ascii="Arial" w:cs="Arial" w:eastAsia="Arial" w:hAnsi="Arial"/>
          <w:sz w:val="20"/>
          <w:szCs w:val="20"/>
          <w:color w:val="auto"/>
        </w:rPr>
        <w:t>Prior-year information has been reclassified to conform to the presentation of the Company’s current reportable segments and for the adoption of the two accounting pronouncements aforementioned.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hanging="373"/>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4"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w:t>
      </w:r>
    </w:p>
    <w:p>
      <w:pPr>
        <w:spacing w:after="0" w:line="110" w:lineRule="exact"/>
        <w:rPr>
          <w:rFonts w:ascii="Arial" w:cs="Arial" w:eastAsia="Arial" w:hAnsi="Arial"/>
          <w:sz w:val="20"/>
          <w:szCs w:val="20"/>
          <w:b w:val="1"/>
          <w:bCs w:val="1"/>
          <w:color w:val="auto"/>
        </w:rPr>
      </w:pP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Consolidated comprehensive earnings/loss and accumulated other comprehensive loss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Company’s consolidated statements of earnings and comprehensive earnings.</w:t>
      </w:r>
    </w:p>
    <w:p>
      <w:pPr>
        <w:spacing w:after="0" w:line="85"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Comprehensive earnings attributable to Martin Marietta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jc w:val="right"/>
              <w:ind w:right="720"/>
              <w:spacing w:after="0"/>
              <w:rPr>
                <w:sz w:val="20"/>
                <w:szCs w:val="20"/>
                <w:color w:val="auto"/>
              </w:rPr>
            </w:pPr>
            <w:r>
              <w:rPr>
                <w:rFonts w:ascii="Arial" w:cs="Arial" w:eastAsia="Arial" w:hAnsi="Arial"/>
                <w:sz w:val="20"/>
                <w:szCs w:val="20"/>
                <w:color w:val="auto"/>
                <w:w w:val="98"/>
              </w:rPr>
              <w:t>Three Months Ended</w:t>
            </w:r>
          </w:p>
        </w:tc>
        <w:tc>
          <w:tcPr>
            <w:tcW w:w="240" w:type="dxa"/>
            <w:vAlign w:val="bottom"/>
          </w:tcPr>
          <w:p>
            <w:pPr>
              <w:spacing w:after="0"/>
              <w:rPr>
                <w:sz w:val="20"/>
                <w:szCs w:val="20"/>
                <w:color w:val="auto"/>
              </w:rPr>
            </w:pPr>
          </w:p>
        </w:tc>
        <w:tc>
          <w:tcPr>
            <w:tcW w:w="2440" w:type="dxa"/>
            <w:vAlign w:val="bottom"/>
            <w:gridSpan w:val="5"/>
          </w:tcPr>
          <w:p>
            <w:pPr>
              <w:jc w:val="right"/>
              <w:ind w:right="680"/>
              <w:spacing w:after="0"/>
              <w:rPr>
                <w:sz w:val="20"/>
                <w:szCs w:val="20"/>
                <w:color w:val="auto"/>
              </w:rPr>
            </w:pPr>
            <w:r>
              <w:rPr>
                <w:rFonts w:ascii="Arial" w:cs="Arial" w:eastAsia="Arial" w:hAnsi="Arial"/>
                <w:sz w:val="20"/>
                <w:szCs w:val="20"/>
                <w:color w:val="auto"/>
              </w:rPr>
              <w:t>Six Months Ended</w:t>
            </w:r>
          </w:p>
        </w:tc>
      </w:tr>
      <w:tr>
        <w:trPr>
          <w:trHeight w:val="244"/>
        </w:trPr>
        <w:tc>
          <w:tcPr>
            <w:tcW w:w="5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5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0"/>
                <w:szCs w:val="20"/>
                <w:color w:val="auto"/>
              </w:rPr>
            </w:pPr>
          </w:p>
        </w:tc>
      </w:tr>
      <w:tr>
        <w:trPr>
          <w:trHeight w:val="234"/>
        </w:trPr>
        <w:tc>
          <w:tcPr>
            <w:tcW w:w="5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5"/>
          </w:tcPr>
          <w:p>
            <w:pPr>
              <w:ind w:left="80"/>
              <w:spacing w:after="0"/>
              <w:rPr>
                <w:sz w:val="20"/>
                <w:szCs w:val="20"/>
                <w:color w:val="auto"/>
              </w:rPr>
            </w:pPr>
            <w:r>
              <w:rPr>
                <w:rFonts w:ascii="Arial" w:cs="Arial" w:eastAsia="Arial" w:hAnsi="Arial"/>
                <w:sz w:val="20"/>
                <w:szCs w:val="20"/>
                <w:i w:val="1"/>
                <w:iCs w:val="1"/>
                <w:color w:val="auto"/>
              </w:rPr>
              <w:t>(Dollars in Thousands)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28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142,279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122,052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184,613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167,047</w:t>
            </w:r>
          </w:p>
        </w:tc>
        <w:tc>
          <w:tcPr>
            <w:tcW w:w="100" w:type="dxa"/>
            <w:vAlign w:val="bottom"/>
            <w:shd w:val="clear" w:color="auto" w:fill="CFF0FC"/>
          </w:tcPr>
          <w:p>
            <w:pPr>
              <w:spacing w:after="0"/>
              <w:rPr>
                <w:sz w:val="20"/>
                <w:szCs w:val="20"/>
                <w:color w:val="auto"/>
              </w:rPr>
            </w:pPr>
          </w:p>
        </w:tc>
      </w:tr>
      <w:tr>
        <w:trPr>
          <w:trHeight w:val="241"/>
        </w:trPr>
        <w:tc>
          <w:tcPr>
            <w:tcW w:w="5280" w:type="dxa"/>
            <w:vAlign w:val="bottom"/>
          </w:tcPr>
          <w:p>
            <w:pPr>
              <w:spacing w:after="0"/>
              <w:rPr>
                <w:sz w:val="20"/>
                <w:szCs w:val="20"/>
                <w:color w:val="auto"/>
              </w:rPr>
            </w:pPr>
            <w:r>
              <w:rPr>
                <w:rFonts w:ascii="Arial" w:cs="Arial" w:eastAsia="Arial" w:hAnsi="Arial"/>
                <w:sz w:val="20"/>
                <w:szCs w:val="20"/>
                <w:color w:val="auto"/>
              </w:rPr>
              <w:t>Other comprehensive earnings (loss), net of tax</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2,519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20"/>
                <w:szCs w:val="20"/>
                <w:color w:val="auto"/>
              </w:rPr>
              <w:t>(2,235)</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4,781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20"/>
                <w:szCs w:val="20"/>
                <w:color w:val="auto"/>
              </w:rPr>
              <w:t>(446)</w:t>
            </w:r>
          </w:p>
        </w:tc>
      </w:tr>
      <w:tr>
        <w:trPr>
          <w:trHeight w:val="217"/>
        </w:trPr>
        <w:tc>
          <w:tcPr>
            <w:tcW w:w="5280" w:type="dxa"/>
            <w:vAlign w:val="bottom"/>
            <w:tcBorders>
              <w:top w:val="single" w:sz="8" w:color="CFF0FC"/>
            </w:tcBorders>
            <w:shd w:val="clear" w:color="auto" w:fill="CFF0FC"/>
          </w:tcPr>
          <w:p>
            <w:pPr>
              <w:spacing w:after="0" w:line="217" w:lineRule="exact"/>
              <w:rPr>
                <w:sz w:val="20"/>
                <w:szCs w:val="20"/>
                <w:color w:val="auto"/>
              </w:rPr>
            </w:pPr>
            <w:r>
              <w:rPr>
                <w:rFonts w:ascii="Arial" w:cs="Arial" w:eastAsia="Arial" w:hAnsi="Arial"/>
                <w:sz w:val="20"/>
                <w:szCs w:val="20"/>
                <w:color w:val="auto"/>
              </w:rPr>
              <w:t>Comprehensive earnings attributable to Martin Marietta</w:t>
            </w:r>
          </w:p>
        </w:tc>
        <w:tc>
          <w:tcPr>
            <w:tcW w:w="6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44"/>
        </w:trPr>
        <w:tc>
          <w:tcPr>
            <w:tcW w:w="52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Materials, Inc.</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144,798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119,817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189,394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166,601</w:t>
            </w:r>
          </w:p>
        </w:tc>
        <w:tc>
          <w:tcPr>
            <w:tcW w:w="100" w:type="dxa"/>
            <w:vAlign w:val="bottom"/>
            <w:shd w:val="clear" w:color="auto" w:fill="CFF0FC"/>
          </w:tcPr>
          <w:p>
            <w:pPr>
              <w:spacing w:after="0"/>
              <w:rPr>
                <w:sz w:val="21"/>
                <w:szCs w:val="2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7" w:lineRule="exact"/>
        <w:rPr>
          <w:sz w:val="20"/>
          <w:szCs w:val="20"/>
          <w:color w:val="auto"/>
        </w:rPr>
      </w:pPr>
    </w:p>
    <w:p>
      <w:pPr>
        <w:ind w:left="380" w:right="80"/>
        <w:spacing w:after="0" w:line="257" w:lineRule="auto"/>
        <w:rPr>
          <w:sz w:val="20"/>
          <w:szCs w:val="20"/>
          <w:color w:val="auto"/>
        </w:rPr>
      </w:pPr>
      <w:r>
        <w:rPr>
          <w:rFonts w:ascii="Arial" w:cs="Arial" w:eastAsia="Arial" w:hAnsi="Arial"/>
          <w:sz w:val="20"/>
          <w:szCs w:val="20"/>
          <w:color w:val="auto"/>
        </w:rPr>
        <w:t>Comprehensive earnings attributable to noncontrolling interests, consisting of net earnings and adjustments for the funded status of pension and postretirement benefit plans,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60" w:type="dxa"/>
            <w:vAlign w:val="bottom"/>
            <w:gridSpan w:val="4"/>
          </w:tcPr>
          <w:p>
            <w:pPr>
              <w:jc w:val="right"/>
              <w:ind w:right="62"/>
              <w:spacing w:after="0"/>
              <w:rPr>
                <w:sz w:val="20"/>
                <w:szCs w:val="20"/>
                <w:color w:val="auto"/>
              </w:rPr>
            </w:pPr>
            <w:r>
              <w:rPr>
                <w:rFonts w:ascii="Arial" w:cs="Arial" w:eastAsia="Arial" w:hAnsi="Arial"/>
                <w:sz w:val="20"/>
                <w:szCs w:val="20"/>
                <w:color w:val="auto"/>
              </w:rPr>
              <w:t>Three Months Ended</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ind w:left="300"/>
              <w:spacing w:after="0"/>
              <w:rPr>
                <w:sz w:val="20"/>
                <w:szCs w:val="20"/>
                <w:color w:val="auto"/>
              </w:rPr>
            </w:pPr>
            <w:r>
              <w:rPr>
                <w:rFonts w:ascii="Arial" w:cs="Arial" w:eastAsia="Arial" w:hAnsi="Arial"/>
                <w:sz w:val="20"/>
                <w:szCs w:val="20"/>
                <w:color w:val="auto"/>
              </w:rPr>
              <w:t>Six Months Ended</w:t>
            </w:r>
          </w:p>
        </w:tc>
      </w:tr>
      <w:tr>
        <w:trPr>
          <w:trHeight w:val="244"/>
        </w:trPr>
        <w:tc>
          <w:tcPr>
            <w:tcW w:w="5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20"/>
                <w:szCs w:val="20"/>
                <w:color w:val="auto"/>
                <w:w w:val="96"/>
              </w:rPr>
              <w:t>June 30,</w:t>
            </w:r>
          </w:p>
        </w:tc>
        <w:tc>
          <w:tcPr>
            <w:tcW w:w="3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5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2016</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0"/>
                <w:szCs w:val="20"/>
                <w:color w:val="auto"/>
              </w:rPr>
            </w:pPr>
          </w:p>
        </w:tc>
      </w:tr>
      <w:tr>
        <w:trPr>
          <w:trHeight w:val="234"/>
        </w:trPr>
        <w:tc>
          <w:tcPr>
            <w:tcW w:w="5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6"/>
          </w:tcPr>
          <w:p>
            <w:pPr>
              <w:jc w:val="right"/>
              <w:ind w:right="620"/>
              <w:spacing w:after="0"/>
              <w:rPr>
                <w:sz w:val="20"/>
                <w:szCs w:val="20"/>
                <w:color w:val="auto"/>
              </w:rPr>
            </w:pPr>
            <w:r>
              <w:rPr>
                <w:rFonts w:ascii="Arial" w:cs="Arial" w:eastAsia="Arial" w:hAnsi="Arial"/>
                <w:sz w:val="20"/>
                <w:szCs w:val="20"/>
                <w:i w:val="1"/>
                <w:iCs w:val="1"/>
                <w:color w:val="auto"/>
              </w:rPr>
              <w:t>(Dollars in Thousands)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220" w:type="dxa"/>
            <w:vAlign w:val="bottom"/>
            <w:shd w:val="clear" w:color="auto" w:fill="CFF0FC"/>
          </w:tcPr>
          <w:p>
            <w:pPr>
              <w:spacing w:after="0"/>
              <w:rPr>
                <w:sz w:val="20"/>
                <w:szCs w:val="20"/>
                <w:color w:val="auto"/>
              </w:rPr>
            </w:pPr>
            <w:r>
              <w:rPr>
                <w:rFonts w:ascii="Arial" w:cs="Arial" w:eastAsia="Arial" w:hAnsi="Arial"/>
                <w:sz w:val="20"/>
                <w:szCs w:val="20"/>
                <w:color w:val="auto"/>
              </w:rPr>
              <w:t>Net (loss) earnings attributable to noncontrolling interests</w:t>
            </w:r>
          </w:p>
        </w:tc>
        <w:tc>
          <w:tcPr>
            <w:tcW w:w="1540" w:type="dxa"/>
            <w:vAlign w:val="bottom"/>
            <w:gridSpan w:val="2"/>
            <w:shd w:val="clear" w:color="auto" w:fill="CFF0FC"/>
          </w:tcPr>
          <w:p>
            <w:pPr>
              <w:jc w:val="right"/>
              <w:ind w:right="642"/>
              <w:spacing w:after="0"/>
              <w:rPr>
                <w:sz w:val="20"/>
                <w:szCs w:val="20"/>
                <w:color w:val="auto"/>
              </w:rPr>
            </w:pPr>
            <w:r>
              <w:rPr>
                <w:rFonts w:ascii="Arial" w:cs="Arial" w:eastAsia="Arial" w:hAnsi="Arial"/>
                <w:sz w:val="20"/>
                <w:szCs w:val="20"/>
                <w:color w:val="auto"/>
              </w:rPr>
              <w:t>$</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(38)</w:t>
            </w:r>
          </w:p>
        </w:tc>
        <w:tc>
          <w:tcPr>
            <w:tcW w:w="860" w:type="dxa"/>
            <w:vAlign w:val="bottom"/>
            <w:shd w:val="clear" w:color="auto" w:fill="CFF0FC"/>
          </w:tcPr>
          <w:p>
            <w:pPr>
              <w:jc w:val="right"/>
              <w:ind w:right="662"/>
              <w:spacing w:after="0"/>
              <w:rPr>
                <w:sz w:val="20"/>
                <w:szCs w:val="20"/>
                <w:color w:val="auto"/>
              </w:rPr>
            </w:pPr>
            <w:r>
              <w:rPr>
                <w:rFonts w:ascii="Arial" w:cs="Arial" w:eastAsia="Arial" w:hAnsi="Arial"/>
                <w:sz w:val="20"/>
                <w:szCs w:val="2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(65)</w:t>
            </w:r>
          </w:p>
        </w:tc>
        <w:tc>
          <w:tcPr>
            <w:tcW w:w="30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w:t>
            </w:r>
          </w:p>
        </w:tc>
        <w:tc>
          <w:tcPr>
            <w:tcW w:w="100" w:type="dxa"/>
            <w:vAlign w:val="bottom"/>
            <w:shd w:val="clear" w:color="auto" w:fill="CFF0FC"/>
          </w:tcPr>
          <w:p>
            <w:pPr>
              <w:spacing w:after="0"/>
              <w:rPr>
                <w:sz w:val="20"/>
                <w:szCs w:val="20"/>
                <w:color w:val="auto"/>
              </w:rPr>
            </w:pPr>
          </w:p>
        </w:tc>
      </w:tr>
      <w:tr>
        <w:trPr>
          <w:trHeight w:val="241"/>
        </w:trPr>
        <w:tc>
          <w:tcPr>
            <w:tcW w:w="52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7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24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w:t>
            </w:r>
          </w:p>
        </w:tc>
        <w:tc>
          <w:tcPr>
            <w:tcW w:w="100" w:type="dxa"/>
            <w:vAlign w:val="bottom"/>
            <w:tcBorders>
              <w:bottom w:val="single" w:sz="8" w:color="CFF0FC"/>
            </w:tcBorders>
          </w:tcPr>
          <w:p>
            <w:pPr>
              <w:spacing w:after="0"/>
              <w:rPr>
                <w:sz w:val="20"/>
                <w:szCs w:val="20"/>
                <w:color w:val="auto"/>
              </w:rPr>
            </w:pPr>
          </w:p>
        </w:tc>
      </w:tr>
      <w:tr>
        <w:trPr>
          <w:trHeight w:val="217"/>
        </w:trPr>
        <w:tc>
          <w:tcPr>
            <w:tcW w:w="5220" w:type="dxa"/>
            <w:vAlign w:val="bottom"/>
            <w:shd w:val="clear" w:color="auto" w:fill="CFF0FC"/>
          </w:tcPr>
          <w:p>
            <w:pPr>
              <w:spacing w:after="0" w:line="217" w:lineRule="exact"/>
              <w:rPr>
                <w:sz w:val="20"/>
                <w:szCs w:val="20"/>
                <w:color w:val="auto"/>
              </w:rPr>
            </w:pPr>
            <w:r>
              <w:rPr>
                <w:rFonts w:ascii="Arial" w:cs="Arial" w:eastAsia="Arial" w:hAnsi="Arial"/>
                <w:sz w:val="20"/>
                <w:szCs w:val="20"/>
                <w:color w:val="auto"/>
              </w:rPr>
              <w:t>Comprehensive (loss) earnings attributable to</w:t>
            </w:r>
          </w:p>
        </w:tc>
        <w:tc>
          <w:tcPr>
            <w:tcW w:w="7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52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noncontrolling interests</w:t>
            </w:r>
          </w:p>
        </w:tc>
        <w:tc>
          <w:tcPr>
            <w:tcW w:w="1540" w:type="dxa"/>
            <w:vAlign w:val="bottom"/>
            <w:gridSpan w:val="2"/>
            <w:shd w:val="clear" w:color="auto" w:fill="CFF0FC"/>
          </w:tcPr>
          <w:p>
            <w:pPr>
              <w:jc w:val="right"/>
              <w:ind w:right="642"/>
              <w:spacing w:after="0"/>
              <w:rPr>
                <w:sz w:val="20"/>
                <w:szCs w:val="20"/>
                <w:color w:val="auto"/>
              </w:rPr>
            </w:pPr>
            <w:r>
              <w:rPr>
                <w:rFonts w:ascii="Arial" w:cs="Arial" w:eastAsia="Arial" w:hAnsi="Arial"/>
                <w:sz w:val="20"/>
                <w:szCs w:val="20"/>
                <w:color w:val="auto"/>
              </w:rPr>
              <w:t>$</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(37)</w:t>
            </w:r>
          </w:p>
        </w:tc>
        <w:tc>
          <w:tcPr>
            <w:tcW w:w="860" w:type="dxa"/>
            <w:vAlign w:val="bottom"/>
            <w:shd w:val="clear" w:color="auto" w:fill="CFF0FC"/>
          </w:tcPr>
          <w:p>
            <w:pPr>
              <w:jc w:val="right"/>
              <w:ind w:right="662"/>
              <w:spacing w:after="0"/>
              <w:rPr>
                <w:sz w:val="20"/>
                <w:szCs w:val="20"/>
                <w:color w:val="auto"/>
              </w:rPr>
            </w:pPr>
            <w:r>
              <w:rPr>
                <w:rFonts w:ascii="Arial" w:cs="Arial" w:eastAsia="Arial" w:hAnsi="Arial"/>
                <w:sz w:val="20"/>
                <w:szCs w:val="2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(63)</w:t>
            </w:r>
          </w:p>
        </w:tc>
        <w:tc>
          <w:tcPr>
            <w:tcW w:w="30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155</w:t>
            </w:r>
          </w:p>
        </w:tc>
        <w:tc>
          <w:tcPr>
            <w:tcW w:w="100" w:type="dxa"/>
            <w:vAlign w:val="bottom"/>
            <w:shd w:val="clear" w:color="auto" w:fill="CFF0FC"/>
          </w:tcPr>
          <w:p>
            <w:pPr>
              <w:spacing w:after="0"/>
              <w:rPr>
                <w:sz w:val="21"/>
                <w:szCs w:val="2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hanging="373"/>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4" w:lineRule="exact"/>
        <w:rPr>
          <w:rFonts w:ascii="Arial" w:cs="Arial" w:eastAsia="Arial" w:hAnsi="Arial"/>
          <w:sz w:val="20"/>
          <w:szCs w:val="20"/>
          <w:b w:val="1"/>
          <w:bCs w:val="1"/>
          <w:color w:val="auto"/>
        </w:rPr>
      </w:pPr>
    </w:p>
    <w:p>
      <w:pPr>
        <w:ind w:left="380" w:right="2460"/>
        <w:spacing w:after="0" w:line="407"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Consolidated Comprehensive Earnings/Loss and Accumulated Other Comprehensive Loss (continued) </w:t>
      </w:r>
      <w:r>
        <w:rPr>
          <w:rFonts w:ascii="Arial" w:cs="Arial" w:eastAsia="Arial" w:hAnsi="Arial"/>
          <w:sz w:val="19"/>
          <w:szCs w:val="19"/>
          <w:color w:val="auto"/>
        </w:rPr>
        <w:t>Changes in accumulated other comprehensive earnings (loss), net of tax,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20"/>
                <w:szCs w:val="20"/>
                <w:i w:val="1"/>
                <w:iCs w:val="1"/>
                <w:color w:val="auto"/>
                <w:w w:val="91"/>
              </w:rPr>
              <w:t>(Dollars in Thousands)</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1"/>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Unamortized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Value of</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Terminated</w:t>
            </w:r>
          </w:p>
        </w:tc>
        <w:tc>
          <w:tcPr>
            <w:tcW w:w="8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20"/>
                <w:szCs w:val="20"/>
                <w:color w:val="auto"/>
                <w:w w:val="91"/>
              </w:rPr>
              <w:t>Accumulated</w:t>
            </w:r>
          </w:p>
        </w:tc>
      </w:tr>
      <w:tr>
        <w:trPr>
          <w:trHeight w:val="241"/>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78"/>
              <w:spacing w:after="0"/>
              <w:rPr>
                <w:sz w:val="20"/>
                <w:szCs w:val="20"/>
                <w:color w:val="auto"/>
              </w:rPr>
            </w:pPr>
            <w:r>
              <w:rPr>
                <w:rFonts w:ascii="Arial" w:cs="Arial" w:eastAsia="Arial" w:hAnsi="Arial"/>
                <w:sz w:val="20"/>
                <w:szCs w:val="20"/>
                <w:color w:val="auto"/>
                <w:w w:val="84"/>
              </w:rPr>
              <w:t>Pension and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20"/>
                <w:szCs w:val="20"/>
                <w:color w:val="auto"/>
              </w:rPr>
              <w:t>Forward Starting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20"/>
                <w:szCs w:val="20"/>
                <w:color w:val="auto"/>
                <w:w w:val="91"/>
              </w:rPr>
              <w:t>Other</w:t>
            </w:r>
          </w:p>
        </w:tc>
      </w:tr>
      <w:tr>
        <w:trPr>
          <w:trHeight w:val="241"/>
        </w:trPr>
        <w:tc>
          <w:tcPr>
            <w:tcW w:w="570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20"/>
                <w:szCs w:val="20"/>
                <w:color w:val="auto"/>
                <w:w w:val="98"/>
              </w:rPr>
              <w:t>Postretirement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20"/>
                <w:szCs w:val="20"/>
                <w:color w:val="auto"/>
              </w:rPr>
              <w:t>Foreign</w:t>
            </w:r>
          </w:p>
        </w:tc>
        <w:tc>
          <w:tcPr>
            <w:tcW w:w="1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Interest Rate</w:t>
            </w:r>
          </w:p>
        </w:tc>
        <w:tc>
          <w:tcPr>
            <w:tcW w:w="1420" w:type="dxa"/>
            <w:vAlign w:val="bottom"/>
            <w:gridSpan w:val="4"/>
          </w:tcPr>
          <w:p>
            <w:pPr>
              <w:ind w:left="80"/>
              <w:spacing w:after="0"/>
              <w:rPr>
                <w:sz w:val="20"/>
                <w:szCs w:val="20"/>
                <w:color w:val="auto"/>
              </w:rPr>
            </w:pPr>
            <w:r>
              <w:rPr>
                <w:rFonts w:ascii="Arial" w:cs="Arial" w:eastAsia="Arial" w:hAnsi="Arial"/>
                <w:sz w:val="20"/>
                <w:szCs w:val="20"/>
                <w:color w:val="auto"/>
                <w:w w:val="94"/>
              </w:rPr>
              <w:t>Comprehensive</w:t>
            </w:r>
          </w:p>
        </w:tc>
      </w:tr>
      <w:tr>
        <w:trPr>
          <w:trHeight w:val="244"/>
        </w:trPr>
        <w:tc>
          <w:tcPr>
            <w:tcW w:w="5700" w:type="dxa"/>
            <w:vAlign w:val="bottom"/>
          </w:tcPr>
          <w:p>
            <w:pPr>
              <w:spacing w:after="0"/>
              <w:rPr>
                <w:sz w:val="21"/>
                <w:szCs w:val="21"/>
                <w:color w:val="auto"/>
              </w:rPr>
            </w:pPr>
          </w:p>
        </w:tc>
        <w:tc>
          <w:tcPr>
            <w:tcW w:w="1320" w:type="dxa"/>
            <w:vAlign w:val="bottom"/>
            <w:gridSpan w:val="3"/>
          </w:tcPr>
          <w:p>
            <w:pPr>
              <w:ind w:left="60"/>
              <w:spacing w:after="0"/>
              <w:rPr>
                <w:sz w:val="20"/>
                <w:szCs w:val="20"/>
                <w:color w:val="auto"/>
              </w:rPr>
            </w:pPr>
            <w:r>
              <w:rPr>
                <w:rFonts w:ascii="Arial" w:cs="Arial" w:eastAsia="Arial" w:hAnsi="Arial"/>
                <w:sz w:val="20"/>
                <w:szCs w:val="20"/>
                <w:color w:val="auto"/>
              </w:rPr>
              <w:t>Benefit Plans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20"/>
                <w:szCs w:val="20"/>
                <w:color w:val="auto"/>
                <w:w w:val="93"/>
              </w:rPr>
              <w:t>Currency</w:t>
            </w:r>
          </w:p>
        </w:tc>
        <w:tc>
          <w:tcPr>
            <w:tcW w:w="1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Swap</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20"/>
                <w:szCs w:val="20"/>
                <w:color w:val="auto"/>
                <w:w w:val="89"/>
              </w:rPr>
              <w:t>Loss</w:t>
            </w:r>
          </w:p>
        </w:tc>
      </w:tr>
      <w:tr>
        <w:trPr>
          <w:trHeight w:val="234"/>
        </w:trPr>
        <w:tc>
          <w:tcPr>
            <w:tcW w:w="570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980" w:type="dxa"/>
            <w:vAlign w:val="bottom"/>
            <w:tcBorders>
              <w:top w:val="single" w:sz="8" w:color="auto"/>
              <w:bottom w:val="single" w:sz="8" w:color="auto"/>
            </w:tcBorders>
            <w:gridSpan w:val="7"/>
          </w:tcPr>
          <w:p>
            <w:pPr>
              <w:jc w:val="center"/>
              <w:ind w:right="20"/>
              <w:spacing w:after="0"/>
              <w:rPr>
                <w:sz w:val="20"/>
                <w:szCs w:val="20"/>
                <w:color w:val="auto"/>
              </w:rPr>
            </w:pPr>
            <w:r>
              <w:rPr>
                <w:rFonts w:ascii="Arial" w:cs="Arial" w:eastAsia="Arial" w:hAnsi="Arial"/>
                <w:sz w:val="20"/>
                <w:szCs w:val="20"/>
                <w:color w:val="auto"/>
                <w:w w:val="87"/>
              </w:rPr>
              <w:t>Three Months Ended June 30, 2017</w:t>
            </w: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4"/>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00" w:type="dxa"/>
            <w:vAlign w:val="bottom"/>
            <w:shd w:val="clear" w:color="auto" w:fill="CFF0FC"/>
          </w:tcPr>
          <w:p>
            <w:pPr>
              <w:spacing w:after="0"/>
              <w:rPr>
                <w:sz w:val="20"/>
                <w:szCs w:val="20"/>
                <w:color w:val="auto"/>
              </w:rPr>
            </w:pPr>
            <w:r>
              <w:rPr>
                <w:rFonts w:ascii="Arial" w:cs="Arial" w:eastAsia="Arial" w:hAnsi="Arial"/>
                <w:sz w:val="20"/>
                <w:szCs w:val="20"/>
                <w:color w:val="auto"/>
                <w:w w:val="71"/>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(126,463)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(1,025)</w:t>
            </w:r>
          </w:p>
        </w:tc>
        <w:tc>
          <w:tcPr>
            <w:tcW w:w="120" w:type="dxa"/>
            <w:vAlign w:val="bottom"/>
            <w:shd w:val="clear" w:color="auto" w:fill="CFF0FC"/>
          </w:tcPr>
          <w:p>
            <w:pPr>
              <w:spacing w:after="0"/>
              <w:rPr>
                <w:sz w:val="20"/>
                <w:szCs w:val="20"/>
                <w:color w:val="auto"/>
              </w:rPr>
            </w:pPr>
            <w:r>
              <w:rPr>
                <w:rFonts w:ascii="Arial" w:cs="Arial" w:eastAsia="Arial" w:hAnsi="Arial"/>
                <w:sz w:val="20"/>
                <w:szCs w:val="20"/>
                <w:color w:val="auto"/>
                <w:w w:val="89"/>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(937)</w:t>
            </w: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(128,425)</w:t>
            </w:r>
          </w:p>
        </w:tc>
        <w:tc>
          <w:tcPr>
            <w:tcW w:w="100" w:type="dxa"/>
            <w:vAlign w:val="bottom"/>
            <w:shd w:val="clear" w:color="auto" w:fill="CFF0FC"/>
          </w:tcPr>
          <w:p>
            <w:pPr>
              <w:spacing w:after="0"/>
              <w:rPr>
                <w:sz w:val="20"/>
                <w:szCs w:val="20"/>
                <w:color w:val="auto"/>
              </w:rPr>
            </w:pPr>
          </w:p>
        </w:tc>
      </w:tr>
      <w:tr>
        <w:trPr>
          <w:trHeight w:val="217"/>
        </w:trPr>
        <w:tc>
          <w:tcPr>
            <w:tcW w:w="5700" w:type="dxa"/>
            <w:vAlign w:val="bottom"/>
          </w:tcPr>
          <w:p>
            <w:pPr>
              <w:spacing w:after="0" w:line="217" w:lineRule="exact"/>
              <w:rPr>
                <w:sz w:val="20"/>
                <w:szCs w:val="20"/>
                <w:color w:val="auto"/>
              </w:rPr>
            </w:pPr>
            <w:r>
              <w:rPr>
                <w:rFonts w:ascii="Arial" w:cs="Arial" w:eastAsia="Arial" w:hAnsi="Arial"/>
                <w:sz w:val="20"/>
                <w:szCs w:val="20"/>
                <w:color w:val="auto"/>
              </w:rPr>
              <w:t>Other comprehensive earnings before reclassifications,</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5700" w:type="dxa"/>
            <w:vAlign w:val="bottom"/>
          </w:tcPr>
          <w:p>
            <w:pPr>
              <w:ind w:left="160"/>
              <w:spacing w:after="0"/>
              <w:rPr>
                <w:sz w:val="20"/>
                <w:szCs w:val="20"/>
                <w:color w:val="auto"/>
              </w:rPr>
            </w:pPr>
            <w:r>
              <w:rPr>
                <w:rFonts w:ascii="Arial" w:cs="Arial" w:eastAsia="Arial" w:hAnsi="Arial"/>
                <w:sz w:val="20"/>
                <w:szCs w:val="20"/>
                <w:color w:val="auto"/>
              </w:rPr>
              <w:t>net of tax</w:t>
            </w:r>
          </w:p>
        </w:tc>
        <w:tc>
          <w:tcPr>
            <w:tcW w:w="100" w:type="dxa"/>
            <w:vAlign w:val="bottom"/>
          </w:tcPr>
          <w:p>
            <w:pPr>
              <w:spacing w:after="0"/>
              <w:rPr>
                <w:sz w:val="21"/>
                <w:szCs w:val="21"/>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389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389</w:t>
            </w:r>
          </w:p>
        </w:tc>
        <w:tc>
          <w:tcPr>
            <w:tcW w:w="100" w:type="dxa"/>
            <w:vAlign w:val="bottom"/>
          </w:tcPr>
          <w:p>
            <w:pPr>
              <w:spacing w:after="0"/>
              <w:rPr>
                <w:sz w:val="21"/>
                <w:szCs w:val="21"/>
                <w:color w:val="auto"/>
              </w:rPr>
            </w:pPr>
          </w:p>
        </w:tc>
      </w:tr>
      <w:tr>
        <w:trPr>
          <w:trHeight w:val="224"/>
        </w:trPr>
        <w:tc>
          <w:tcPr>
            <w:tcW w:w="570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Amounts reclassified from accumulated other</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57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comprehensive earnings, net of tax</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2,130</w:t>
            </w:r>
          </w:p>
        </w:tc>
        <w:tc>
          <w:tcPr>
            <w:tcW w:w="100" w:type="dxa"/>
            <w:vAlign w:val="bottom"/>
            <w:shd w:val="clear" w:color="auto" w:fill="CFF0FC"/>
          </w:tcPr>
          <w:p>
            <w:pPr>
              <w:spacing w:after="0"/>
              <w:rPr>
                <w:sz w:val="21"/>
                <w:szCs w:val="21"/>
                <w:color w:val="auto"/>
              </w:rPr>
            </w:pPr>
          </w:p>
        </w:tc>
      </w:tr>
      <w:tr>
        <w:trPr>
          <w:trHeight w:val="234"/>
        </w:trPr>
        <w:tc>
          <w:tcPr>
            <w:tcW w:w="57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1,910</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389</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2,519</w:t>
            </w:r>
          </w:p>
        </w:tc>
        <w:tc>
          <w:tcPr>
            <w:tcW w:w="100" w:type="dxa"/>
            <w:vAlign w:val="bottom"/>
            <w:tcBorders>
              <w:bottom w:val="single" w:sz="8" w:color="CFF0FC"/>
            </w:tcBorders>
          </w:tcPr>
          <w:p>
            <w:pPr>
              <w:spacing w:after="0"/>
              <w:rPr>
                <w:sz w:val="20"/>
                <w:szCs w:val="20"/>
                <w:color w:val="auto"/>
              </w:rPr>
            </w:pPr>
          </w:p>
        </w:tc>
      </w:tr>
      <w:tr>
        <w:trPr>
          <w:trHeight w:val="234"/>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(124,553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(717)</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(125,906)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2"/>
        </w:trPr>
        <w:tc>
          <w:tcPr>
            <w:tcW w:w="570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20"/>
                <w:szCs w:val="20"/>
                <w:color w:val="auto"/>
                <w:w w:val="87"/>
              </w:rPr>
              <w:t>Three Months Ended June 30, 2016</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FF2FA"/>
            </w:tcBorders>
          </w:tcPr>
          <w:p>
            <w:pPr>
              <w:spacing w:after="0"/>
              <w:rPr>
                <w:sz w:val="24"/>
                <w:szCs w:val="24"/>
                <w:color w:val="auto"/>
              </w:rPr>
            </w:pPr>
          </w:p>
        </w:tc>
      </w:tr>
      <w:tr>
        <w:trPr>
          <w:trHeight w:val="234"/>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00" w:type="dxa"/>
            <w:vAlign w:val="bottom"/>
            <w:shd w:val="clear" w:color="auto" w:fill="CFF2FA"/>
          </w:tcPr>
          <w:p>
            <w:pPr>
              <w:spacing w:after="0"/>
              <w:rPr>
                <w:sz w:val="20"/>
                <w:szCs w:val="20"/>
                <w:color w:val="auto"/>
              </w:rPr>
            </w:pPr>
            <w:r>
              <w:rPr>
                <w:rFonts w:ascii="Arial" w:cs="Arial" w:eastAsia="Arial" w:hAnsi="Arial"/>
                <w:sz w:val="20"/>
                <w:szCs w:val="20"/>
                <w:color w:val="auto"/>
                <w:w w:val="71"/>
              </w:rPr>
              <w:t>$</w:t>
            </w:r>
          </w:p>
        </w:tc>
        <w:tc>
          <w:tcPr>
            <w:tcW w:w="1220" w:type="dxa"/>
            <w:vAlign w:val="bottom"/>
            <w:gridSpan w:val="2"/>
            <w:shd w:val="clear" w:color="auto" w:fill="CFF2FA"/>
          </w:tcPr>
          <w:p>
            <w:pPr>
              <w:jc w:val="right"/>
              <w:spacing w:after="0"/>
              <w:rPr>
                <w:sz w:val="20"/>
                <w:szCs w:val="20"/>
                <w:color w:val="auto"/>
              </w:rPr>
            </w:pPr>
            <w:r>
              <w:rPr>
                <w:rFonts w:ascii="Arial" w:cs="Arial" w:eastAsia="Arial" w:hAnsi="Arial"/>
                <w:sz w:val="20"/>
                <w:szCs w:val="20"/>
                <w:color w:val="auto"/>
              </w:rPr>
              <w:t>(101,907)</w:t>
            </w:r>
          </w:p>
        </w:tc>
        <w:tc>
          <w:tcPr>
            <w:tcW w:w="240" w:type="dxa"/>
            <w:vAlign w:val="bottom"/>
            <w:gridSpan w:val="2"/>
            <w:shd w:val="clear" w:color="auto" w:fill="CFF2FA"/>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(149)</w:t>
            </w:r>
          </w:p>
        </w:tc>
        <w:tc>
          <w:tcPr>
            <w:tcW w:w="120" w:type="dxa"/>
            <w:vAlign w:val="bottom"/>
            <w:shd w:val="clear" w:color="auto" w:fill="CFF2FA"/>
          </w:tcPr>
          <w:p>
            <w:pPr>
              <w:spacing w:after="0"/>
              <w:rPr>
                <w:sz w:val="20"/>
                <w:szCs w:val="20"/>
                <w:color w:val="auto"/>
              </w:rPr>
            </w:pPr>
            <w:r>
              <w:rPr>
                <w:rFonts w:ascii="Arial" w:cs="Arial" w:eastAsia="Arial" w:hAnsi="Arial"/>
                <w:sz w:val="20"/>
                <w:szCs w:val="20"/>
                <w:color w:val="auto"/>
                <w:w w:val="89"/>
              </w:rPr>
              <w:t>$</w:t>
            </w:r>
          </w:p>
        </w:tc>
        <w:tc>
          <w:tcPr>
            <w:tcW w:w="1380" w:type="dxa"/>
            <w:vAlign w:val="bottom"/>
            <w:gridSpan w:val="2"/>
            <w:shd w:val="clear" w:color="auto" w:fill="CFF2FA"/>
          </w:tcPr>
          <w:p>
            <w:pPr>
              <w:jc w:val="right"/>
              <w:ind w:right="100"/>
              <w:spacing w:after="0"/>
              <w:rPr>
                <w:sz w:val="20"/>
                <w:szCs w:val="20"/>
                <w:color w:val="auto"/>
              </w:rPr>
            </w:pPr>
            <w:r>
              <w:rPr>
                <w:rFonts w:ascii="Arial" w:cs="Arial" w:eastAsia="Arial" w:hAnsi="Arial"/>
                <w:sz w:val="20"/>
                <w:szCs w:val="20"/>
                <w:color w:val="auto"/>
              </w:rPr>
              <w:t>(1,777)</w:t>
            </w:r>
          </w:p>
        </w:tc>
        <w:tc>
          <w:tcPr>
            <w:tcW w:w="320" w:type="dxa"/>
            <w:vAlign w:val="bottom"/>
            <w:gridSpan w:val="2"/>
            <w:shd w:val="clear" w:color="auto" w:fill="CFF2FA"/>
          </w:tcPr>
          <w:p>
            <w:pPr>
              <w:ind w:left="8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(103,833)</w:t>
            </w:r>
          </w:p>
        </w:tc>
        <w:tc>
          <w:tcPr>
            <w:tcW w:w="100" w:type="dxa"/>
            <w:vAlign w:val="bottom"/>
            <w:shd w:val="clear" w:color="auto" w:fill="CFF2FA"/>
          </w:tcPr>
          <w:p>
            <w:pPr>
              <w:spacing w:after="0"/>
              <w:rPr>
                <w:sz w:val="20"/>
                <w:szCs w:val="20"/>
                <w:color w:val="auto"/>
              </w:rPr>
            </w:pPr>
          </w:p>
        </w:tc>
      </w:tr>
      <w:tr>
        <w:trPr>
          <w:trHeight w:val="217"/>
        </w:trPr>
        <w:tc>
          <w:tcPr>
            <w:tcW w:w="5700" w:type="dxa"/>
            <w:vAlign w:val="bottom"/>
          </w:tcPr>
          <w:p>
            <w:pPr>
              <w:spacing w:after="0" w:line="217" w:lineRule="exact"/>
              <w:rPr>
                <w:sz w:val="20"/>
                <w:szCs w:val="20"/>
                <w:color w:val="auto"/>
              </w:rPr>
            </w:pPr>
            <w:r>
              <w:rPr>
                <w:rFonts w:ascii="Arial" w:cs="Arial" w:eastAsia="Arial" w:hAnsi="Arial"/>
                <w:sz w:val="20"/>
                <w:szCs w:val="20"/>
                <w:color w:val="auto"/>
              </w:rPr>
              <w:t>Other comprehensive loss before reclassifications,</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5700" w:type="dxa"/>
            <w:vAlign w:val="bottom"/>
          </w:tcPr>
          <w:p>
            <w:pPr>
              <w:ind w:left="160"/>
              <w:spacing w:after="0"/>
              <w:rPr>
                <w:sz w:val="20"/>
                <w:szCs w:val="20"/>
                <w:color w:val="auto"/>
              </w:rPr>
            </w:pPr>
            <w:r>
              <w:rPr>
                <w:rFonts w:ascii="Arial" w:cs="Arial" w:eastAsia="Arial" w:hAnsi="Arial"/>
                <w:sz w:val="20"/>
                <w:szCs w:val="20"/>
                <w:color w:val="auto"/>
              </w:rPr>
              <w:t>net of tax</w:t>
            </w:r>
          </w:p>
        </w:tc>
        <w:tc>
          <w:tcPr>
            <w:tcW w:w="1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(3,736)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20"/>
                <w:szCs w:val="20"/>
                <w:color w:val="auto"/>
              </w:rPr>
              <w:t>(232)</w:t>
            </w:r>
          </w:p>
        </w:tc>
        <w:tc>
          <w:tcPr>
            <w:tcW w:w="1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(3,968)</w:t>
            </w:r>
          </w:p>
        </w:tc>
      </w:tr>
      <w:tr>
        <w:trPr>
          <w:trHeight w:val="224"/>
        </w:trPr>
        <w:tc>
          <w:tcPr>
            <w:tcW w:w="570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Amounts reclassified from accumulated other</w:t>
            </w:r>
          </w:p>
        </w:tc>
        <w:tc>
          <w:tcPr>
            <w:tcW w:w="100" w:type="dxa"/>
            <w:vAlign w:val="bottom"/>
            <w:shd w:val="clear" w:color="auto" w:fill="CFF2FA"/>
          </w:tcPr>
          <w:p>
            <w:pPr>
              <w:spacing w:after="0"/>
              <w:rPr>
                <w:sz w:val="19"/>
                <w:szCs w:val="19"/>
                <w:color w:val="auto"/>
              </w:rPr>
            </w:pPr>
          </w:p>
        </w:tc>
        <w:tc>
          <w:tcPr>
            <w:tcW w:w="108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00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44"/>
        </w:trPr>
        <w:tc>
          <w:tcPr>
            <w:tcW w:w="57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comprehensive earnings, net of tax</w:t>
            </w:r>
          </w:p>
        </w:tc>
        <w:tc>
          <w:tcPr>
            <w:tcW w:w="100" w:type="dxa"/>
            <w:vAlign w:val="bottom"/>
            <w:shd w:val="clear" w:color="auto" w:fill="CFF2FA"/>
          </w:tcPr>
          <w:p>
            <w:pPr>
              <w:spacing w:after="0"/>
              <w:rPr>
                <w:sz w:val="21"/>
                <w:szCs w:val="21"/>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1,529</w:t>
            </w:r>
          </w:p>
        </w:tc>
        <w:tc>
          <w:tcPr>
            <w:tcW w:w="140" w:type="dxa"/>
            <w:vAlign w:val="bottom"/>
            <w:shd w:val="clear" w:color="auto" w:fill="CFF2FA"/>
          </w:tcPr>
          <w:p>
            <w:pPr>
              <w:spacing w:after="0"/>
              <w:rPr>
                <w:sz w:val="21"/>
                <w:szCs w:val="21"/>
                <w:color w:val="auto"/>
              </w:rPr>
            </w:pPr>
          </w:p>
        </w:tc>
        <w:tc>
          <w:tcPr>
            <w:tcW w:w="100" w:type="dxa"/>
            <w:vAlign w:val="bottom"/>
            <w:shd w:val="clear" w:color="auto" w:fill="CFF2FA"/>
          </w:tcPr>
          <w:p>
            <w:pPr>
              <w:spacing w:after="0"/>
              <w:rPr>
                <w:sz w:val="21"/>
                <w:szCs w:val="21"/>
                <w:color w:val="auto"/>
              </w:rPr>
            </w:pPr>
          </w:p>
        </w:tc>
        <w:tc>
          <w:tcPr>
            <w:tcW w:w="140" w:type="dxa"/>
            <w:vAlign w:val="bottom"/>
            <w:shd w:val="clear" w:color="auto" w:fill="CFF2FA"/>
          </w:tcPr>
          <w:p>
            <w:pPr>
              <w:spacing w:after="0"/>
              <w:rPr>
                <w:sz w:val="21"/>
                <w:szCs w:val="21"/>
                <w:color w:val="auto"/>
              </w:rPr>
            </w:pPr>
          </w:p>
        </w:tc>
        <w:tc>
          <w:tcPr>
            <w:tcW w:w="1240" w:type="dxa"/>
            <w:vAlign w:val="bottom"/>
            <w:gridSpan w:val="2"/>
            <w:shd w:val="clear" w:color="auto" w:fill="CFF2FA"/>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2FA"/>
          </w:tcPr>
          <w:p>
            <w:pPr>
              <w:spacing w:after="0"/>
              <w:rPr>
                <w:sz w:val="21"/>
                <w:szCs w:val="21"/>
                <w:color w:val="auto"/>
              </w:rPr>
            </w:pPr>
          </w:p>
        </w:tc>
        <w:tc>
          <w:tcPr>
            <w:tcW w:w="12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204</w:t>
            </w:r>
          </w:p>
        </w:tc>
        <w:tc>
          <w:tcPr>
            <w:tcW w:w="160" w:type="dxa"/>
            <w:vAlign w:val="bottom"/>
            <w:shd w:val="clear" w:color="auto" w:fill="CFF2FA"/>
          </w:tcPr>
          <w:p>
            <w:pPr>
              <w:spacing w:after="0"/>
              <w:rPr>
                <w:sz w:val="21"/>
                <w:szCs w:val="21"/>
                <w:color w:val="auto"/>
              </w:rPr>
            </w:pPr>
          </w:p>
        </w:tc>
        <w:tc>
          <w:tcPr>
            <w:tcW w:w="80" w:type="dxa"/>
            <w:vAlign w:val="bottom"/>
            <w:shd w:val="clear" w:color="auto" w:fill="CFF2FA"/>
          </w:tcPr>
          <w:p>
            <w:pPr>
              <w:spacing w:after="0"/>
              <w:rPr>
                <w:sz w:val="21"/>
                <w:szCs w:val="21"/>
                <w:color w:val="auto"/>
              </w:rPr>
            </w:pPr>
          </w:p>
        </w:tc>
        <w:tc>
          <w:tcPr>
            <w:tcW w:w="240" w:type="dxa"/>
            <w:vAlign w:val="bottom"/>
            <w:shd w:val="clear" w:color="auto" w:fill="CFF2FA"/>
          </w:tcPr>
          <w:p>
            <w:pPr>
              <w:spacing w:after="0"/>
              <w:rPr>
                <w:sz w:val="21"/>
                <w:szCs w:val="21"/>
                <w:color w:val="auto"/>
              </w:rPr>
            </w:pPr>
          </w:p>
        </w:tc>
        <w:tc>
          <w:tcPr>
            <w:tcW w:w="10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1,733</w:t>
            </w:r>
          </w:p>
        </w:tc>
        <w:tc>
          <w:tcPr>
            <w:tcW w:w="100" w:type="dxa"/>
            <w:vAlign w:val="bottom"/>
            <w:shd w:val="clear" w:color="auto" w:fill="CFF2FA"/>
          </w:tcPr>
          <w:p>
            <w:pPr>
              <w:spacing w:after="0"/>
              <w:rPr>
                <w:sz w:val="21"/>
                <w:szCs w:val="21"/>
                <w:color w:val="auto"/>
              </w:rPr>
            </w:pPr>
          </w:p>
        </w:tc>
      </w:tr>
      <w:tr>
        <w:trPr>
          <w:trHeight w:val="234"/>
        </w:trPr>
        <w:tc>
          <w:tcPr>
            <w:tcW w:w="57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(loss) earnings, net of tax</w:t>
            </w: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(2,207)</w:t>
            </w:r>
          </w:p>
        </w:tc>
        <w:tc>
          <w:tcPr>
            <w:tcW w:w="140" w:type="dxa"/>
            <w:vAlign w:val="bottom"/>
            <w:tcBorders>
              <w:bottom w:val="single" w:sz="8" w:color="CFF2FA"/>
            </w:tcBorders>
          </w:tcPr>
          <w:p>
            <w:pPr>
              <w:spacing w:after="0"/>
              <w:rPr>
                <w:sz w:val="20"/>
                <w:szCs w:val="20"/>
                <w:color w:val="auto"/>
              </w:rPr>
            </w:pPr>
          </w:p>
        </w:tc>
        <w:tc>
          <w:tcPr>
            <w:tcW w:w="100" w:type="dxa"/>
            <w:vAlign w:val="bottom"/>
            <w:tcBorders>
              <w:bottom w:val="single" w:sz="8" w:color="CFF2FA"/>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(232)</w:t>
            </w:r>
          </w:p>
        </w:tc>
        <w:tc>
          <w:tcPr>
            <w:tcW w:w="240" w:type="dxa"/>
            <w:vAlign w:val="bottom"/>
            <w:tcBorders>
              <w:bottom w:val="single" w:sz="8" w:color="CFF2FA"/>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204</w:t>
            </w:r>
          </w:p>
        </w:tc>
        <w:tc>
          <w:tcPr>
            <w:tcW w:w="160" w:type="dxa"/>
            <w:vAlign w:val="bottom"/>
            <w:tcBorders>
              <w:bottom w:val="single" w:sz="8" w:color="CFF2FA"/>
            </w:tcBorders>
          </w:tcPr>
          <w:p>
            <w:pPr>
              <w:spacing w:after="0"/>
              <w:rPr>
                <w:sz w:val="20"/>
                <w:szCs w:val="20"/>
                <w:color w:val="auto"/>
              </w:rPr>
            </w:pPr>
          </w:p>
        </w:tc>
        <w:tc>
          <w:tcPr>
            <w:tcW w:w="80" w:type="dxa"/>
            <w:vAlign w:val="bottom"/>
            <w:tcBorders>
              <w:bottom w:val="single" w:sz="8" w:color="CFF2FA"/>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(2,235)</w:t>
            </w:r>
          </w:p>
        </w:tc>
        <w:tc>
          <w:tcPr>
            <w:tcW w:w="100" w:type="dxa"/>
            <w:vAlign w:val="bottom"/>
            <w:tcBorders>
              <w:bottom w:val="single" w:sz="8" w:color="CFF2FA"/>
            </w:tcBorders>
          </w:tcPr>
          <w:p>
            <w:pPr>
              <w:spacing w:after="0"/>
              <w:rPr>
                <w:sz w:val="20"/>
                <w:szCs w:val="20"/>
                <w:color w:val="auto"/>
              </w:rPr>
            </w:pPr>
          </w:p>
        </w:tc>
      </w:tr>
      <w:tr>
        <w:trPr>
          <w:trHeight w:val="234"/>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0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(104,114)</w:t>
            </w:r>
          </w:p>
        </w:tc>
        <w:tc>
          <w:tcPr>
            <w:tcW w:w="140" w:type="dxa"/>
            <w:vAlign w:val="bottom"/>
            <w:tcBorders>
              <w:bottom w:val="single" w:sz="8" w:color="CFF2FA"/>
            </w:tcBorders>
            <w:shd w:val="clear" w:color="auto" w:fill="CFF2FA"/>
          </w:tcPr>
          <w:p>
            <w:pPr>
              <w:spacing w:after="0"/>
              <w:rPr>
                <w:sz w:val="20"/>
                <w:szCs w:val="20"/>
                <w:color w:val="auto"/>
              </w:rPr>
            </w:pPr>
          </w:p>
        </w:tc>
        <w:tc>
          <w:tcPr>
            <w:tcW w:w="100" w:type="dxa"/>
            <w:vAlign w:val="bottom"/>
            <w:tcBorders>
              <w:bottom w:val="single" w:sz="8" w:color="CFF2FA"/>
            </w:tcBorders>
            <w:shd w:val="clear" w:color="auto" w:fill="CFF2FA"/>
          </w:tcPr>
          <w:p>
            <w:pPr>
              <w:spacing w:after="0"/>
              <w:rPr>
                <w:sz w:val="20"/>
                <w:szCs w:val="20"/>
                <w:color w:val="auto"/>
              </w:rPr>
            </w:pPr>
          </w:p>
        </w:tc>
        <w:tc>
          <w:tcPr>
            <w:tcW w:w="1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(381)</w:t>
            </w:r>
          </w:p>
        </w:tc>
        <w:tc>
          <w:tcPr>
            <w:tcW w:w="24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(1,573)</w:t>
            </w:r>
          </w:p>
        </w:tc>
        <w:tc>
          <w:tcPr>
            <w:tcW w:w="160" w:type="dxa"/>
            <w:vAlign w:val="bottom"/>
            <w:tcBorders>
              <w:bottom w:val="single" w:sz="8" w:color="CFF2FA"/>
            </w:tcBorders>
            <w:shd w:val="clear" w:color="auto" w:fill="CFF2FA"/>
          </w:tcPr>
          <w:p>
            <w:pPr>
              <w:spacing w:after="0"/>
              <w:rPr>
                <w:sz w:val="20"/>
                <w:szCs w:val="20"/>
                <w:color w:val="auto"/>
              </w:rPr>
            </w:pPr>
          </w:p>
        </w:tc>
        <w:tc>
          <w:tcPr>
            <w:tcW w:w="80" w:type="dxa"/>
            <w:vAlign w:val="bottom"/>
            <w:tcBorders>
              <w:bottom w:val="single" w:sz="8" w:color="CFF2FA"/>
            </w:tcBorders>
            <w:shd w:val="clear" w:color="auto" w:fill="CFF2FA"/>
          </w:tcPr>
          <w:p>
            <w:pPr>
              <w:spacing w:after="0"/>
              <w:rPr>
                <w:sz w:val="20"/>
                <w:szCs w:val="20"/>
                <w:color w:val="auto"/>
              </w:rPr>
            </w:pPr>
          </w:p>
        </w:tc>
        <w:tc>
          <w:tcPr>
            <w:tcW w:w="24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(106,068)</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hanging="373"/>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4"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 (continued)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20"/>
                <w:szCs w:val="20"/>
                <w:i w:val="1"/>
                <w:iCs w:val="1"/>
                <w:color w:val="auto"/>
                <w:w w:val="91"/>
              </w:rPr>
              <w:t>(Dollars in Thousands)</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1"/>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Unamortized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Value of</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Terminated</w:t>
            </w:r>
          </w:p>
        </w:tc>
        <w:tc>
          <w:tcPr>
            <w:tcW w:w="8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20"/>
                <w:szCs w:val="20"/>
                <w:color w:val="auto"/>
                <w:w w:val="91"/>
              </w:rPr>
              <w:t>Accumulated</w:t>
            </w:r>
          </w:p>
        </w:tc>
      </w:tr>
      <w:tr>
        <w:trPr>
          <w:trHeight w:val="241"/>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78"/>
              <w:spacing w:after="0"/>
              <w:rPr>
                <w:sz w:val="20"/>
                <w:szCs w:val="20"/>
                <w:color w:val="auto"/>
              </w:rPr>
            </w:pPr>
            <w:r>
              <w:rPr>
                <w:rFonts w:ascii="Arial" w:cs="Arial" w:eastAsia="Arial" w:hAnsi="Arial"/>
                <w:sz w:val="20"/>
                <w:szCs w:val="20"/>
                <w:color w:val="auto"/>
                <w:w w:val="84"/>
              </w:rPr>
              <w:t>Pension and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20"/>
                <w:szCs w:val="20"/>
                <w:color w:val="auto"/>
              </w:rPr>
              <w:t>Forward Starting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20"/>
                <w:szCs w:val="20"/>
                <w:color w:val="auto"/>
                <w:w w:val="91"/>
              </w:rPr>
              <w:t>Other</w:t>
            </w:r>
          </w:p>
        </w:tc>
      </w:tr>
      <w:tr>
        <w:trPr>
          <w:trHeight w:val="241"/>
        </w:trPr>
        <w:tc>
          <w:tcPr>
            <w:tcW w:w="570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20"/>
                <w:szCs w:val="20"/>
                <w:color w:val="auto"/>
              </w:rPr>
              <w:t>Postretirement</w:t>
            </w:r>
          </w:p>
        </w:tc>
        <w:tc>
          <w:tcPr>
            <w:tcW w:w="14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20"/>
                <w:szCs w:val="20"/>
                <w:color w:val="auto"/>
              </w:rPr>
              <w:t>Foreign</w:t>
            </w:r>
          </w:p>
        </w:tc>
        <w:tc>
          <w:tcPr>
            <w:tcW w:w="1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Interest Rate</w:t>
            </w:r>
          </w:p>
        </w:tc>
        <w:tc>
          <w:tcPr>
            <w:tcW w:w="1420" w:type="dxa"/>
            <w:vAlign w:val="bottom"/>
            <w:gridSpan w:val="4"/>
          </w:tcPr>
          <w:p>
            <w:pPr>
              <w:ind w:left="80"/>
              <w:spacing w:after="0"/>
              <w:rPr>
                <w:sz w:val="20"/>
                <w:szCs w:val="20"/>
                <w:color w:val="auto"/>
              </w:rPr>
            </w:pPr>
            <w:r>
              <w:rPr>
                <w:rFonts w:ascii="Arial" w:cs="Arial" w:eastAsia="Arial" w:hAnsi="Arial"/>
                <w:sz w:val="20"/>
                <w:szCs w:val="20"/>
                <w:color w:val="auto"/>
                <w:w w:val="94"/>
              </w:rPr>
              <w:t>Comprehensive</w:t>
            </w:r>
          </w:p>
        </w:tc>
      </w:tr>
      <w:tr>
        <w:trPr>
          <w:trHeight w:val="244"/>
        </w:trPr>
        <w:tc>
          <w:tcPr>
            <w:tcW w:w="570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Arial" w:cs="Arial" w:eastAsia="Arial" w:hAnsi="Arial"/>
                <w:sz w:val="20"/>
                <w:szCs w:val="20"/>
                <w:color w:val="auto"/>
              </w:rPr>
              <w:t>Benefit Plans</w:t>
            </w:r>
          </w:p>
        </w:tc>
        <w:tc>
          <w:tcPr>
            <w:tcW w:w="14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20"/>
                <w:szCs w:val="20"/>
                <w:color w:val="auto"/>
                <w:w w:val="93"/>
              </w:rPr>
              <w:t>Currency</w:t>
            </w:r>
          </w:p>
        </w:tc>
        <w:tc>
          <w:tcPr>
            <w:tcW w:w="1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Swap</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20"/>
                <w:szCs w:val="20"/>
                <w:color w:val="auto"/>
                <w:w w:val="89"/>
              </w:rPr>
              <w:t>Loss</w:t>
            </w:r>
          </w:p>
        </w:tc>
      </w:tr>
      <w:tr>
        <w:trPr>
          <w:trHeight w:val="234"/>
        </w:trPr>
        <w:tc>
          <w:tcPr>
            <w:tcW w:w="570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gridSpan w:val="6"/>
          </w:tcPr>
          <w:p>
            <w:pPr>
              <w:jc w:val="center"/>
              <w:ind w:right="120"/>
              <w:spacing w:after="0"/>
              <w:rPr>
                <w:sz w:val="20"/>
                <w:szCs w:val="20"/>
                <w:color w:val="auto"/>
              </w:rPr>
            </w:pPr>
            <w:r>
              <w:rPr>
                <w:rFonts w:ascii="Arial" w:cs="Arial" w:eastAsia="Arial" w:hAnsi="Arial"/>
                <w:sz w:val="20"/>
                <w:szCs w:val="20"/>
                <w:color w:val="auto"/>
                <w:w w:val="88"/>
              </w:rPr>
              <w:t>Six Months Ended June 30, 2017</w:t>
            </w: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2FA"/>
            </w:tcBorders>
          </w:tcPr>
          <w:p>
            <w:pPr>
              <w:spacing w:after="0"/>
              <w:rPr>
                <w:sz w:val="20"/>
                <w:szCs w:val="20"/>
                <w:color w:val="auto"/>
              </w:rPr>
            </w:pPr>
          </w:p>
        </w:tc>
      </w:tr>
      <w:tr>
        <w:trPr>
          <w:trHeight w:val="234"/>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00" w:type="dxa"/>
            <w:vAlign w:val="bottom"/>
            <w:shd w:val="clear" w:color="auto" w:fill="CFF2FA"/>
          </w:tcPr>
          <w:p>
            <w:pPr>
              <w:spacing w:after="0"/>
              <w:rPr>
                <w:sz w:val="20"/>
                <w:szCs w:val="20"/>
                <w:color w:val="auto"/>
              </w:rPr>
            </w:pPr>
            <w:r>
              <w:rPr>
                <w:rFonts w:ascii="Arial" w:cs="Arial" w:eastAsia="Arial" w:hAnsi="Arial"/>
                <w:sz w:val="20"/>
                <w:szCs w:val="20"/>
                <w:color w:val="auto"/>
                <w:w w:val="71"/>
              </w:rPr>
              <w:t>$</w:t>
            </w:r>
          </w:p>
        </w:tc>
        <w:tc>
          <w:tcPr>
            <w:tcW w:w="1320" w:type="dxa"/>
            <w:vAlign w:val="bottom"/>
            <w:gridSpan w:val="2"/>
            <w:shd w:val="clear" w:color="auto" w:fill="CFF2FA"/>
          </w:tcPr>
          <w:p>
            <w:pPr>
              <w:jc w:val="right"/>
              <w:ind w:right="98"/>
              <w:spacing w:after="0"/>
              <w:rPr>
                <w:sz w:val="20"/>
                <w:szCs w:val="20"/>
                <w:color w:val="auto"/>
              </w:rPr>
            </w:pPr>
            <w:r>
              <w:rPr>
                <w:rFonts w:ascii="Arial" w:cs="Arial" w:eastAsia="Arial" w:hAnsi="Arial"/>
                <w:sz w:val="20"/>
                <w:szCs w:val="20"/>
                <w:color w:val="auto"/>
              </w:rPr>
              <w:t>(128,373)</w:t>
            </w:r>
          </w:p>
        </w:tc>
        <w:tc>
          <w:tcPr>
            <w:tcW w:w="140" w:type="dxa"/>
            <w:vAlign w:val="bottom"/>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(1,162)</w:t>
            </w:r>
          </w:p>
        </w:tc>
        <w:tc>
          <w:tcPr>
            <w:tcW w:w="120" w:type="dxa"/>
            <w:vAlign w:val="bottom"/>
            <w:shd w:val="clear" w:color="auto" w:fill="CFF2FA"/>
          </w:tcPr>
          <w:p>
            <w:pPr>
              <w:spacing w:after="0"/>
              <w:rPr>
                <w:sz w:val="20"/>
                <w:szCs w:val="20"/>
                <w:color w:val="auto"/>
              </w:rPr>
            </w:pPr>
            <w:r>
              <w:rPr>
                <w:rFonts w:ascii="Arial" w:cs="Arial" w:eastAsia="Arial" w:hAnsi="Arial"/>
                <w:sz w:val="20"/>
                <w:szCs w:val="20"/>
                <w:color w:val="auto"/>
                <w:w w:val="89"/>
              </w:rPr>
              <w:t>$</w:t>
            </w:r>
          </w:p>
        </w:tc>
        <w:tc>
          <w:tcPr>
            <w:tcW w:w="1380" w:type="dxa"/>
            <w:vAlign w:val="bottom"/>
            <w:gridSpan w:val="2"/>
            <w:shd w:val="clear" w:color="auto" w:fill="CFF2FA"/>
          </w:tcPr>
          <w:p>
            <w:pPr>
              <w:jc w:val="right"/>
              <w:ind w:right="100"/>
              <w:spacing w:after="0"/>
              <w:rPr>
                <w:sz w:val="20"/>
                <w:szCs w:val="20"/>
                <w:color w:val="auto"/>
              </w:rPr>
            </w:pPr>
            <w:r>
              <w:rPr>
                <w:rFonts w:ascii="Arial" w:cs="Arial" w:eastAsia="Arial" w:hAnsi="Arial"/>
                <w:sz w:val="20"/>
                <w:szCs w:val="20"/>
                <w:color w:val="auto"/>
              </w:rPr>
              <w:t>(1,152)</w:t>
            </w:r>
          </w:p>
        </w:tc>
        <w:tc>
          <w:tcPr>
            <w:tcW w:w="320" w:type="dxa"/>
            <w:vAlign w:val="bottom"/>
            <w:gridSpan w:val="2"/>
            <w:shd w:val="clear" w:color="auto" w:fill="CFF2FA"/>
          </w:tcPr>
          <w:p>
            <w:pPr>
              <w:ind w:left="8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(130,687)</w:t>
            </w:r>
          </w:p>
        </w:tc>
        <w:tc>
          <w:tcPr>
            <w:tcW w:w="100" w:type="dxa"/>
            <w:vAlign w:val="bottom"/>
            <w:shd w:val="clear" w:color="auto" w:fill="CFF2FA"/>
          </w:tcPr>
          <w:p>
            <w:pPr>
              <w:spacing w:after="0"/>
              <w:rPr>
                <w:sz w:val="20"/>
                <w:szCs w:val="20"/>
                <w:color w:val="auto"/>
              </w:rPr>
            </w:pPr>
          </w:p>
        </w:tc>
      </w:tr>
      <w:tr>
        <w:trPr>
          <w:trHeight w:val="217"/>
        </w:trPr>
        <w:tc>
          <w:tcPr>
            <w:tcW w:w="5700" w:type="dxa"/>
            <w:vAlign w:val="bottom"/>
          </w:tcPr>
          <w:p>
            <w:pPr>
              <w:spacing w:after="0" w:line="217" w:lineRule="exact"/>
              <w:rPr>
                <w:sz w:val="20"/>
                <w:szCs w:val="20"/>
                <w:color w:val="auto"/>
              </w:rPr>
            </w:pPr>
            <w:r>
              <w:rPr>
                <w:rFonts w:ascii="Arial" w:cs="Arial" w:eastAsia="Arial" w:hAnsi="Arial"/>
                <w:sz w:val="20"/>
                <w:szCs w:val="20"/>
                <w:color w:val="auto"/>
              </w:rPr>
              <w:t>Other comprehensive earnings before reclassifications,</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5700" w:type="dxa"/>
            <w:vAlign w:val="bottom"/>
          </w:tcPr>
          <w:p>
            <w:pPr>
              <w:ind w:left="160"/>
              <w:spacing w:after="0"/>
              <w:rPr>
                <w:sz w:val="20"/>
                <w:szCs w:val="20"/>
                <w:color w:val="auto"/>
              </w:rPr>
            </w:pPr>
            <w:r>
              <w:rPr>
                <w:rFonts w:ascii="Arial" w:cs="Arial" w:eastAsia="Arial" w:hAnsi="Arial"/>
                <w:sz w:val="20"/>
                <w:szCs w:val="20"/>
                <w:color w:val="auto"/>
              </w:rPr>
              <w:t>net of tax</w:t>
            </w:r>
          </w:p>
        </w:tc>
        <w:tc>
          <w:tcPr>
            <w:tcW w:w="100" w:type="dxa"/>
            <w:vAlign w:val="bottom"/>
          </w:tcPr>
          <w:p>
            <w:pPr>
              <w:spacing w:after="0"/>
              <w:rPr>
                <w:sz w:val="21"/>
                <w:szCs w:val="21"/>
                <w:color w:val="auto"/>
              </w:rPr>
            </w:pPr>
          </w:p>
        </w:tc>
        <w:tc>
          <w:tcPr>
            <w:tcW w:w="1320" w:type="dxa"/>
            <w:vAlign w:val="bottom"/>
            <w:gridSpan w:val="2"/>
          </w:tcPr>
          <w:p>
            <w:pPr>
              <w:jc w:val="right"/>
              <w:ind w:right="178"/>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526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526</w:t>
            </w:r>
          </w:p>
        </w:tc>
        <w:tc>
          <w:tcPr>
            <w:tcW w:w="100" w:type="dxa"/>
            <w:vAlign w:val="bottom"/>
          </w:tcPr>
          <w:p>
            <w:pPr>
              <w:spacing w:after="0"/>
              <w:rPr>
                <w:sz w:val="21"/>
                <w:szCs w:val="21"/>
                <w:color w:val="auto"/>
              </w:rPr>
            </w:pPr>
          </w:p>
        </w:tc>
      </w:tr>
      <w:tr>
        <w:trPr>
          <w:trHeight w:val="224"/>
        </w:trPr>
        <w:tc>
          <w:tcPr>
            <w:tcW w:w="570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Amounts reclassified from accumulated other</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44"/>
        </w:trPr>
        <w:tc>
          <w:tcPr>
            <w:tcW w:w="57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comprehensive earnings, net of tax</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3,820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2FA"/>
          </w:tcPr>
          <w:p>
            <w:pPr>
              <w:spacing w:after="0"/>
              <w:rPr>
                <w:sz w:val="21"/>
                <w:szCs w:val="21"/>
                <w:color w:val="auto"/>
              </w:rPr>
            </w:pPr>
          </w:p>
        </w:tc>
        <w:tc>
          <w:tcPr>
            <w:tcW w:w="10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4,255</w:t>
            </w:r>
          </w:p>
        </w:tc>
        <w:tc>
          <w:tcPr>
            <w:tcW w:w="100" w:type="dxa"/>
            <w:vAlign w:val="bottom"/>
            <w:shd w:val="clear" w:color="auto" w:fill="CFF2FA"/>
          </w:tcPr>
          <w:p>
            <w:pPr>
              <w:spacing w:after="0"/>
              <w:rPr>
                <w:sz w:val="21"/>
                <w:szCs w:val="21"/>
                <w:color w:val="auto"/>
              </w:rPr>
            </w:pPr>
          </w:p>
        </w:tc>
      </w:tr>
      <w:tr>
        <w:trPr>
          <w:trHeight w:val="234"/>
        </w:trPr>
        <w:tc>
          <w:tcPr>
            <w:tcW w:w="57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3,820</w:t>
            </w:r>
          </w:p>
        </w:tc>
        <w:tc>
          <w:tcPr>
            <w:tcW w:w="24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526</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435</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4,781</w:t>
            </w:r>
          </w:p>
        </w:tc>
        <w:tc>
          <w:tcPr>
            <w:tcW w:w="100" w:type="dxa"/>
            <w:vAlign w:val="bottom"/>
            <w:tcBorders>
              <w:bottom w:val="single" w:sz="8" w:color="CFF2FA"/>
            </w:tcBorders>
          </w:tcPr>
          <w:p>
            <w:pPr>
              <w:spacing w:after="0"/>
              <w:rPr>
                <w:sz w:val="20"/>
                <w:szCs w:val="20"/>
                <w:color w:val="auto"/>
              </w:rPr>
            </w:pPr>
          </w:p>
        </w:tc>
      </w:tr>
      <w:tr>
        <w:trPr>
          <w:trHeight w:val="234"/>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(124,553</w:t>
            </w:r>
          </w:p>
        </w:tc>
        <w:tc>
          <w:tcPr>
            <w:tcW w:w="240" w:type="dxa"/>
            <w:vAlign w:val="bottom"/>
            <w:tcBorders>
              <w:bottom w:val="single" w:sz="8" w:color="CFF0FC"/>
            </w:tcBorders>
            <w:shd w:val="clear" w:color="auto" w:fill="CFF0FC"/>
          </w:tcPr>
          <w:p>
            <w:pPr>
              <w:jc w:val="right"/>
              <w:ind w:right="98"/>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(717)</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(125,906)</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2"/>
        </w:trPr>
        <w:tc>
          <w:tcPr>
            <w:tcW w:w="570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20"/>
                <w:szCs w:val="20"/>
                <w:color w:val="auto"/>
                <w:w w:val="88"/>
              </w:rPr>
              <w:t>Six Months Ended June 30, 2016</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4"/>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00" w:type="dxa"/>
            <w:vAlign w:val="bottom"/>
            <w:shd w:val="clear" w:color="auto" w:fill="CFF0FC"/>
          </w:tcPr>
          <w:p>
            <w:pPr>
              <w:spacing w:after="0"/>
              <w:rPr>
                <w:sz w:val="20"/>
                <w:szCs w:val="20"/>
                <w:color w:val="auto"/>
              </w:rPr>
            </w:pPr>
            <w:r>
              <w:rPr>
                <w:rFonts w:ascii="Arial" w:cs="Arial" w:eastAsia="Arial" w:hAnsi="Arial"/>
                <w:sz w:val="20"/>
                <w:szCs w:val="20"/>
                <w:color w:val="auto"/>
                <w:w w:val="71"/>
              </w:rPr>
              <w:t>$</w:t>
            </w:r>
          </w:p>
        </w:tc>
        <w:tc>
          <w:tcPr>
            <w:tcW w:w="1320" w:type="dxa"/>
            <w:vAlign w:val="bottom"/>
            <w:gridSpan w:val="2"/>
            <w:shd w:val="clear" w:color="auto" w:fill="CFF0FC"/>
          </w:tcPr>
          <w:p>
            <w:pPr>
              <w:jc w:val="right"/>
              <w:ind w:right="98"/>
              <w:spacing w:after="0"/>
              <w:rPr>
                <w:sz w:val="20"/>
                <w:szCs w:val="20"/>
                <w:color w:val="auto"/>
              </w:rPr>
            </w:pPr>
            <w:r>
              <w:rPr>
                <w:rFonts w:ascii="Arial" w:cs="Arial" w:eastAsia="Arial" w:hAnsi="Arial"/>
                <w:sz w:val="20"/>
                <w:szCs w:val="20"/>
                <w:color w:val="auto"/>
              </w:rPr>
              <w:t>(103,380)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(264)</w:t>
            </w:r>
          </w:p>
        </w:tc>
        <w:tc>
          <w:tcPr>
            <w:tcW w:w="120" w:type="dxa"/>
            <w:vAlign w:val="bottom"/>
            <w:shd w:val="clear" w:color="auto" w:fill="CFF0FC"/>
          </w:tcPr>
          <w:p>
            <w:pPr>
              <w:spacing w:after="0"/>
              <w:rPr>
                <w:sz w:val="20"/>
                <w:szCs w:val="20"/>
                <w:color w:val="auto"/>
              </w:rPr>
            </w:pPr>
            <w:r>
              <w:rPr>
                <w:rFonts w:ascii="Arial" w:cs="Arial" w:eastAsia="Arial" w:hAnsi="Arial"/>
                <w:sz w:val="20"/>
                <w:szCs w:val="20"/>
                <w:color w:val="auto"/>
                <w:w w:val="89"/>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(1,978)</w:t>
            </w: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(105,622)</w:t>
            </w:r>
          </w:p>
        </w:tc>
        <w:tc>
          <w:tcPr>
            <w:tcW w:w="100" w:type="dxa"/>
            <w:vAlign w:val="bottom"/>
            <w:shd w:val="clear" w:color="auto" w:fill="CFF0FC"/>
          </w:tcPr>
          <w:p>
            <w:pPr>
              <w:spacing w:after="0"/>
              <w:rPr>
                <w:sz w:val="20"/>
                <w:szCs w:val="20"/>
                <w:color w:val="auto"/>
              </w:rPr>
            </w:pPr>
          </w:p>
        </w:tc>
      </w:tr>
      <w:tr>
        <w:trPr>
          <w:trHeight w:val="217"/>
        </w:trPr>
        <w:tc>
          <w:tcPr>
            <w:tcW w:w="5700" w:type="dxa"/>
            <w:vAlign w:val="bottom"/>
          </w:tcPr>
          <w:p>
            <w:pPr>
              <w:spacing w:after="0" w:line="217" w:lineRule="exact"/>
              <w:rPr>
                <w:sz w:val="20"/>
                <w:szCs w:val="20"/>
                <w:color w:val="auto"/>
              </w:rPr>
            </w:pPr>
            <w:r>
              <w:rPr>
                <w:rFonts w:ascii="Arial" w:cs="Arial" w:eastAsia="Arial" w:hAnsi="Arial"/>
                <w:sz w:val="20"/>
                <w:szCs w:val="20"/>
                <w:color w:val="auto"/>
              </w:rPr>
              <w:t>Other comprehensive loss before reclassifications,</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5700" w:type="dxa"/>
            <w:vAlign w:val="bottom"/>
          </w:tcPr>
          <w:p>
            <w:pPr>
              <w:ind w:left="160"/>
              <w:spacing w:after="0"/>
              <w:rPr>
                <w:sz w:val="20"/>
                <w:szCs w:val="20"/>
                <w:color w:val="auto"/>
              </w:rPr>
            </w:pPr>
            <w:r>
              <w:rPr>
                <w:rFonts w:ascii="Arial" w:cs="Arial" w:eastAsia="Arial" w:hAnsi="Arial"/>
                <w:sz w:val="20"/>
                <w:szCs w:val="20"/>
                <w:color w:val="auto"/>
              </w:rPr>
              <w:t>net of tax</w:t>
            </w:r>
          </w:p>
        </w:tc>
        <w:tc>
          <w:tcPr>
            <w:tcW w:w="100" w:type="dxa"/>
            <w:vAlign w:val="bottom"/>
          </w:tcPr>
          <w:p>
            <w:pPr>
              <w:spacing w:after="0"/>
              <w:rPr>
                <w:sz w:val="21"/>
                <w:szCs w:val="21"/>
                <w:color w:val="auto"/>
              </w:rPr>
            </w:pPr>
          </w:p>
        </w:tc>
        <w:tc>
          <w:tcPr>
            <w:tcW w:w="1320" w:type="dxa"/>
            <w:vAlign w:val="bottom"/>
            <w:gridSpan w:val="2"/>
          </w:tcPr>
          <w:p>
            <w:pPr>
              <w:jc w:val="right"/>
              <w:ind w:right="98"/>
              <w:spacing w:after="0"/>
              <w:rPr>
                <w:sz w:val="20"/>
                <w:szCs w:val="20"/>
                <w:color w:val="auto"/>
              </w:rPr>
            </w:pPr>
            <w:r>
              <w:rPr>
                <w:rFonts w:ascii="Arial" w:cs="Arial" w:eastAsia="Arial" w:hAnsi="Arial"/>
                <w:sz w:val="20"/>
                <w:szCs w:val="20"/>
                <w:color w:val="auto"/>
              </w:rPr>
              <w:t>(3,830)</w:t>
            </w: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20"/>
                <w:szCs w:val="20"/>
                <w:color w:val="auto"/>
              </w:rPr>
              <w:t>(117)</w:t>
            </w:r>
          </w:p>
        </w:tc>
        <w:tc>
          <w:tcPr>
            <w:tcW w:w="1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(3,947)</w:t>
            </w:r>
          </w:p>
        </w:tc>
      </w:tr>
      <w:tr>
        <w:trPr>
          <w:trHeight w:val="224"/>
        </w:trPr>
        <w:tc>
          <w:tcPr>
            <w:tcW w:w="570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Amounts reclassified from accumulated other</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57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comprehensive earnings, net of tax</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3,096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3,501</w:t>
            </w:r>
          </w:p>
        </w:tc>
        <w:tc>
          <w:tcPr>
            <w:tcW w:w="100" w:type="dxa"/>
            <w:vAlign w:val="bottom"/>
            <w:shd w:val="clear" w:color="auto" w:fill="CFF0FC"/>
          </w:tcPr>
          <w:p>
            <w:pPr>
              <w:spacing w:after="0"/>
              <w:rPr>
                <w:sz w:val="21"/>
                <w:szCs w:val="21"/>
                <w:color w:val="auto"/>
              </w:rPr>
            </w:pPr>
          </w:p>
        </w:tc>
      </w:tr>
      <w:tr>
        <w:trPr>
          <w:trHeight w:val="234"/>
        </w:trPr>
        <w:tc>
          <w:tcPr>
            <w:tcW w:w="57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(loss) earnings, net of tax</w:t>
            </w: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(734)</w:t>
            </w:r>
          </w:p>
        </w:tc>
        <w:tc>
          <w:tcPr>
            <w:tcW w:w="24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(117)</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405</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(446)</w:t>
            </w:r>
          </w:p>
        </w:tc>
        <w:tc>
          <w:tcPr>
            <w:tcW w:w="100" w:type="dxa"/>
            <w:vAlign w:val="bottom"/>
            <w:tcBorders>
              <w:bottom w:val="single" w:sz="8" w:color="CFF0FC"/>
            </w:tcBorders>
          </w:tcPr>
          <w:p>
            <w:pPr>
              <w:spacing w:after="0"/>
              <w:rPr>
                <w:sz w:val="20"/>
                <w:szCs w:val="20"/>
                <w:color w:val="auto"/>
              </w:rPr>
            </w:pPr>
          </w:p>
        </w:tc>
      </w:tr>
      <w:tr>
        <w:trPr>
          <w:trHeight w:val="234"/>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(104,114)</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(1,573)</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(106,068)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hanging="373"/>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4" w:lineRule="exact"/>
        <w:rPr>
          <w:rFonts w:ascii="Arial" w:cs="Arial" w:eastAsia="Arial" w:hAnsi="Arial"/>
          <w:sz w:val="20"/>
          <w:szCs w:val="20"/>
          <w:b w:val="1"/>
          <w:bCs w:val="1"/>
          <w:color w:val="auto"/>
        </w:rPr>
      </w:pPr>
    </w:p>
    <w:p>
      <w:pPr>
        <w:ind w:left="380" w:right="2260"/>
        <w:spacing w:after="0" w:line="483" w:lineRule="auto"/>
        <w:rPr>
          <w:rFonts w:ascii="Arial" w:cs="Arial" w:eastAsia="Arial" w:hAnsi="Arial"/>
          <w:sz w:val="20"/>
          <w:szCs w:val="20"/>
          <w:b w:val="1"/>
          <w:bCs w:val="1"/>
          <w:color w:val="auto"/>
        </w:rPr>
      </w:pPr>
      <w:r>
        <w:rPr>
          <w:rFonts w:ascii="Arial" w:cs="Arial" w:eastAsia="Arial" w:hAnsi="Arial"/>
          <w:sz w:val="17"/>
          <w:szCs w:val="17"/>
          <w:b w:val="1"/>
          <w:bCs w:val="1"/>
          <w:color w:val="auto"/>
        </w:rPr>
        <w:t xml:space="preserve">Consolidated Comprehensive Earnings/Loss and Accumulated Other Comprehensive Loss (continued) </w:t>
      </w:r>
      <w:r>
        <w:rPr>
          <w:rFonts w:ascii="Arial" w:cs="Arial" w:eastAsia="Arial" w:hAnsi="Arial"/>
          <w:sz w:val="17"/>
          <w:szCs w:val="17"/>
          <w:color w:val="auto"/>
        </w:rPr>
        <w:t>Changes in net noncurrent deferred tax assets recorded in accumulated other comprehensive loss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20"/>
                <w:szCs w:val="20"/>
                <w:i w:val="1"/>
                <w:iCs w:val="1"/>
                <w:color w:val="auto"/>
                <w:w w:val="91"/>
              </w:rPr>
              <w:t>(Dollars in Thousands)</w:t>
            </w: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7"/>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center"/>
              <w:ind w:right="460"/>
              <w:spacing w:after="0" w:line="217" w:lineRule="exact"/>
              <w:rPr>
                <w:sz w:val="20"/>
                <w:szCs w:val="20"/>
                <w:color w:val="auto"/>
              </w:rPr>
            </w:pPr>
            <w:r>
              <w:rPr>
                <w:rFonts w:ascii="Arial" w:cs="Arial" w:eastAsia="Arial" w:hAnsi="Arial"/>
                <w:sz w:val="20"/>
                <w:szCs w:val="20"/>
                <w:color w:val="auto"/>
                <w:w w:val="89"/>
              </w:rPr>
              <w:t>Unamortized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6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60"/>
              <w:spacing w:after="0" w:line="228" w:lineRule="exact"/>
              <w:rPr>
                <w:sz w:val="20"/>
                <w:szCs w:val="20"/>
                <w:color w:val="auto"/>
              </w:rPr>
            </w:pPr>
            <w:r>
              <w:rPr>
                <w:rFonts w:ascii="Arial" w:cs="Arial" w:eastAsia="Arial" w:hAnsi="Arial"/>
                <w:sz w:val="20"/>
                <w:szCs w:val="20"/>
                <w:color w:val="auto"/>
                <w:w w:val="89"/>
              </w:rPr>
              <w:t>Value of</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40"/>
              <w:spacing w:after="0" w:line="228" w:lineRule="exact"/>
              <w:rPr>
                <w:sz w:val="20"/>
                <w:szCs w:val="20"/>
                <w:color w:val="auto"/>
              </w:rPr>
            </w:pPr>
            <w:r>
              <w:rPr>
                <w:rFonts w:ascii="Arial" w:cs="Arial" w:eastAsia="Arial" w:hAnsi="Arial"/>
                <w:sz w:val="20"/>
                <w:szCs w:val="20"/>
                <w:color w:val="auto"/>
                <w:w w:val="86"/>
              </w:rPr>
              <w:t>Terminated</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300"/>
              <w:spacing w:after="0" w:line="228" w:lineRule="exact"/>
              <w:rPr>
                <w:sz w:val="20"/>
                <w:szCs w:val="20"/>
                <w:color w:val="auto"/>
              </w:rPr>
            </w:pPr>
            <w:r>
              <w:rPr>
                <w:rFonts w:ascii="Arial" w:cs="Arial" w:eastAsia="Arial" w:hAnsi="Arial"/>
                <w:sz w:val="20"/>
                <w:szCs w:val="20"/>
                <w:color w:val="auto"/>
                <w:w w:val="86"/>
              </w:rPr>
              <w:t>Pension and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40"/>
              <w:spacing w:after="0" w:line="228" w:lineRule="exact"/>
              <w:rPr>
                <w:sz w:val="20"/>
                <w:szCs w:val="20"/>
                <w:color w:val="auto"/>
              </w:rPr>
            </w:pPr>
            <w:r>
              <w:rPr>
                <w:rFonts w:ascii="Arial" w:cs="Arial" w:eastAsia="Arial" w:hAnsi="Arial"/>
                <w:sz w:val="20"/>
                <w:szCs w:val="20"/>
                <w:color w:val="auto"/>
                <w:w w:val="89"/>
              </w:rPr>
              <w:t>Forward Starting</w:t>
            </w:r>
          </w:p>
        </w:tc>
        <w:tc>
          <w:tcPr>
            <w:tcW w:w="100" w:type="dxa"/>
            <w:vAlign w:val="bottom"/>
          </w:tcPr>
          <w:p>
            <w:pPr>
              <w:spacing w:after="0"/>
              <w:rPr>
                <w:sz w:val="19"/>
                <w:szCs w:val="19"/>
                <w:color w:val="auto"/>
              </w:rPr>
            </w:pPr>
          </w:p>
        </w:tc>
        <w:tc>
          <w:tcPr>
            <w:tcW w:w="1440" w:type="dxa"/>
            <w:vAlign w:val="bottom"/>
            <w:gridSpan w:val="2"/>
          </w:tcPr>
          <w:p>
            <w:pPr>
              <w:jc w:val="center"/>
              <w:ind w:right="220"/>
              <w:spacing w:after="0" w:line="228" w:lineRule="exact"/>
              <w:rPr>
                <w:sz w:val="20"/>
                <w:szCs w:val="20"/>
                <w:color w:val="auto"/>
              </w:rPr>
            </w:pPr>
            <w:r>
              <w:rPr>
                <w:rFonts w:ascii="Arial" w:cs="Arial" w:eastAsia="Arial" w:hAnsi="Arial"/>
                <w:sz w:val="20"/>
                <w:szCs w:val="20"/>
                <w:color w:val="auto"/>
                <w:w w:val="89"/>
              </w:rPr>
              <w:t>Net Noncurrent</w:t>
            </w:r>
          </w:p>
        </w:tc>
      </w:tr>
      <w:tr>
        <w:trPr>
          <w:trHeight w:val="227"/>
        </w:trPr>
        <w:tc>
          <w:tcPr>
            <w:tcW w:w="6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80"/>
              <w:spacing w:after="0" w:line="228" w:lineRule="exact"/>
              <w:rPr>
                <w:sz w:val="20"/>
                <w:szCs w:val="20"/>
                <w:color w:val="auto"/>
              </w:rPr>
            </w:pPr>
            <w:r>
              <w:rPr>
                <w:rFonts w:ascii="Arial" w:cs="Arial" w:eastAsia="Arial" w:hAnsi="Arial"/>
                <w:sz w:val="20"/>
                <w:szCs w:val="20"/>
                <w:color w:val="auto"/>
                <w:w w:val="87"/>
              </w:rPr>
              <w:t>Postretirement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440"/>
              <w:spacing w:after="0" w:line="228" w:lineRule="exact"/>
              <w:rPr>
                <w:sz w:val="20"/>
                <w:szCs w:val="20"/>
                <w:color w:val="auto"/>
              </w:rPr>
            </w:pPr>
            <w:r>
              <w:rPr>
                <w:rFonts w:ascii="Arial" w:cs="Arial" w:eastAsia="Arial" w:hAnsi="Arial"/>
                <w:sz w:val="20"/>
                <w:szCs w:val="20"/>
                <w:color w:val="auto"/>
                <w:w w:val="87"/>
              </w:rPr>
              <w:t>Interest Rate</w:t>
            </w:r>
          </w:p>
        </w:tc>
        <w:tc>
          <w:tcPr>
            <w:tcW w:w="100" w:type="dxa"/>
            <w:vAlign w:val="bottom"/>
          </w:tcPr>
          <w:p>
            <w:pPr>
              <w:spacing w:after="0"/>
              <w:rPr>
                <w:sz w:val="19"/>
                <w:szCs w:val="19"/>
                <w:color w:val="auto"/>
              </w:rPr>
            </w:pPr>
          </w:p>
        </w:tc>
        <w:tc>
          <w:tcPr>
            <w:tcW w:w="1440" w:type="dxa"/>
            <w:vAlign w:val="bottom"/>
            <w:gridSpan w:val="2"/>
          </w:tcPr>
          <w:p>
            <w:pPr>
              <w:jc w:val="center"/>
              <w:ind w:right="220"/>
              <w:spacing w:after="0" w:line="228" w:lineRule="exact"/>
              <w:rPr>
                <w:sz w:val="20"/>
                <w:szCs w:val="20"/>
                <w:color w:val="auto"/>
              </w:rPr>
            </w:pPr>
            <w:r>
              <w:rPr>
                <w:rFonts w:ascii="Arial" w:cs="Arial" w:eastAsia="Arial" w:hAnsi="Arial"/>
                <w:sz w:val="20"/>
                <w:szCs w:val="20"/>
                <w:color w:val="auto"/>
                <w:w w:val="87"/>
              </w:rPr>
              <w:t>Deferred Tax</w:t>
            </w:r>
          </w:p>
        </w:tc>
      </w:tr>
      <w:tr>
        <w:trPr>
          <w:trHeight w:val="244"/>
        </w:trPr>
        <w:tc>
          <w:tcPr>
            <w:tcW w:w="6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42"/>
              <w:spacing w:after="0"/>
              <w:rPr>
                <w:sz w:val="20"/>
                <w:szCs w:val="20"/>
                <w:color w:val="auto"/>
              </w:rPr>
            </w:pPr>
            <w:r>
              <w:rPr>
                <w:rFonts w:ascii="Arial" w:cs="Arial" w:eastAsia="Arial" w:hAnsi="Arial"/>
                <w:sz w:val="20"/>
                <w:szCs w:val="20"/>
                <w:color w:val="auto"/>
                <w:w w:val="88"/>
              </w:rPr>
              <w:t>Benefit Plans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87"/>
              </w:rPr>
              <w:t>Swap</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22"/>
              <w:spacing w:after="0"/>
              <w:rPr>
                <w:sz w:val="20"/>
                <w:szCs w:val="20"/>
                <w:color w:val="auto"/>
              </w:rPr>
            </w:pPr>
            <w:r>
              <w:rPr>
                <w:rFonts w:ascii="Arial" w:cs="Arial" w:eastAsia="Arial" w:hAnsi="Arial"/>
                <w:sz w:val="20"/>
                <w:szCs w:val="20"/>
                <w:color w:val="auto"/>
                <w:w w:val="83"/>
              </w:rPr>
              <w:t>Assets</w:t>
            </w:r>
          </w:p>
        </w:tc>
        <w:tc>
          <w:tcPr>
            <w:tcW w:w="100" w:type="dxa"/>
            <w:vAlign w:val="bottom"/>
          </w:tcPr>
          <w:p>
            <w:pPr>
              <w:spacing w:after="0"/>
              <w:rPr>
                <w:sz w:val="21"/>
                <w:szCs w:val="21"/>
                <w:color w:val="auto"/>
              </w:rPr>
            </w:pPr>
          </w:p>
        </w:tc>
      </w:tr>
      <w:tr>
        <w:trPr>
          <w:trHeight w:val="475"/>
        </w:trPr>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9"/>
          </w:tcPr>
          <w:p>
            <w:pPr>
              <w:jc w:val="center"/>
              <w:ind w:right="240"/>
              <w:spacing w:after="0"/>
              <w:rPr>
                <w:sz w:val="20"/>
                <w:szCs w:val="20"/>
                <w:color w:val="auto"/>
              </w:rPr>
            </w:pPr>
            <w:r>
              <w:rPr>
                <w:rFonts w:ascii="Arial" w:cs="Arial" w:eastAsia="Arial" w:hAnsi="Arial"/>
                <w:sz w:val="20"/>
                <w:szCs w:val="20"/>
                <w:color w:val="auto"/>
                <w:w w:val="87"/>
              </w:rPr>
              <w:t>Three Months Ended June 30, 2017</w:t>
            </w:r>
          </w:p>
        </w:tc>
      </w:tr>
      <w:tr>
        <w:trPr>
          <w:trHeight w:val="234"/>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80,859</w:t>
            </w:r>
          </w:p>
        </w:tc>
        <w:tc>
          <w:tcPr>
            <w:tcW w:w="1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gridSpan w:val="2"/>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608</w:t>
            </w:r>
          </w:p>
        </w:tc>
        <w:tc>
          <w:tcPr>
            <w:tcW w:w="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81,467</w:t>
            </w:r>
          </w:p>
        </w:tc>
        <w:tc>
          <w:tcPr>
            <w:tcW w:w="100" w:type="dxa"/>
            <w:vAlign w:val="bottom"/>
            <w:tcBorders>
              <w:top w:val="single" w:sz="8" w:color="CFF0FC"/>
            </w:tcBorders>
            <w:shd w:val="clear" w:color="auto" w:fill="CFF0FC"/>
          </w:tcPr>
          <w:p>
            <w:pPr>
              <w:spacing w:after="0"/>
              <w:rPr>
                <w:sz w:val="20"/>
                <w:szCs w:val="20"/>
                <w:color w:val="auto"/>
              </w:rPr>
            </w:pPr>
          </w:p>
        </w:tc>
      </w:tr>
      <w:tr>
        <w:trPr>
          <w:trHeight w:val="241"/>
        </w:trPr>
        <w:tc>
          <w:tcPr>
            <w:tcW w:w="602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20"/>
                <w:szCs w:val="20"/>
                <w:color w:val="auto"/>
              </w:rPr>
              <w:t>(1,184)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20"/>
                <w:szCs w:val="20"/>
                <w:color w:val="auto"/>
              </w:rPr>
              <w:t>(144)</w:t>
            </w:r>
          </w:p>
        </w:tc>
        <w:tc>
          <w:tcPr>
            <w:tcW w:w="1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20"/>
                <w:szCs w:val="20"/>
                <w:color w:val="auto"/>
              </w:rPr>
              <w:t>(1,328)</w:t>
            </w:r>
          </w:p>
        </w:tc>
      </w:tr>
      <w:tr>
        <w:trPr>
          <w:trHeight w:val="234"/>
        </w:trPr>
        <w:tc>
          <w:tcPr>
            <w:tcW w:w="6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79,675</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80,139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2"/>
        </w:trPr>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9"/>
          </w:tcPr>
          <w:p>
            <w:pPr>
              <w:jc w:val="center"/>
              <w:ind w:right="240"/>
              <w:spacing w:after="0"/>
              <w:rPr>
                <w:sz w:val="20"/>
                <w:szCs w:val="20"/>
                <w:color w:val="auto"/>
              </w:rPr>
            </w:pPr>
            <w:r>
              <w:rPr>
                <w:rFonts w:ascii="Arial" w:cs="Arial" w:eastAsia="Arial" w:hAnsi="Arial"/>
                <w:sz w:val="20"/>
                <w:szCs w:val="20"/>
                <w:color w:val="auto"/>
                <w:w w:val="87"/>
              </w:rPr>
              <w:t>Three Months Ended June 30, 2016</w:t>
            </w:r>
          </w:p>
        </w:tc>
      </w:tr>
      <w:tr>
        <w:trPr>
          <w:trHeight w:val="234"/>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65,523</w:t>
            </w:r>
          </w:p>
        </w:tc>
        <w:tc>
          <w:tcPr>
            <w:tcW w:w="1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gridSpan w:val="2"/>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1,159</w:t>
            </w:r>
          </w:p>
        </w:tc>
        <w:tc>
          <w:tcPr>
            <w:tcW w:w="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66,682</w:t>
            </w:r>
          </w:p>
        </w:tc>
        <w:tc>
          <w:tcPr>
            <w:tcW w:w="100" w:type="dxa"/>
            <w:vAlign w:val="bottom"/>
            <w:tcBorders>
              <w:top w:val="single" w:sz="8" w:color="CFF0FC"/>
            </w:tcBorders>
            <w:shd w:val="clear" w:color="auto" w:fill="CFF0FC"/>
          </w:tcPr>
          <w:p>
            <w:pPr>
              <w:spacing w:after="0"/>
              <w:rPr>
                <w:sz w:val="20"/>
                <w:szCs w:val="20"/>
                <w:color w:val="auto"/>
              </w:rPr>
            </w:pPr>
          </w:p>
        </w:tc>
      </w:tr>
      <w:tr>
        <w:trPr>
          <w:trHeight w:val="241"/>
        </w:trPr>
        <w:tc>
          <w:tcPr>
            <w:tcW w:w="602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1,408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20"/>
                <w:szCs w:val="20"/>
                <w:color w:val="auto"/>
              </w:rPr>
              <w:t>(136)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1,272</w:t>
            </w:r>
          </w:p>
        </w:tc>
        <w:tc>
          <w:tcPr>
            <w:tcW w:w="100" w:type="dxa"/>
            <w:vAlign w:val="bottom"/>
          </w:tcPr>
          <w:p>
            <w:pPr>
              <w:spacing w:after="0"/>
              <w:rPr>
                <w:sz w:val="20"/>
                <w:szCs w:val="20"/>
                <w:color w:val="auto"/>
              </w:rPr>
            </w:pPr>
          </w:p>
        </w:tc>
      </w:tr>
      <w:tr>
        <w:trPr>
          <w:trHeight w:val="234"/>
        </w:trPr>
        <w:tc>
          <w:tcPr>
            <w:tcW w:w="6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66,931</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1,023</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67,954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2"/>
        </w:trPr>
        <w:tc>
          <w:tcPr>
            <w:tcW w:w="60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center"/>
              <w:ind w:left="1102"/>
              <w:spacing w:after="0"/>
              <w:rPr>
                <w:sz w:val="20"/>
                <w:szCs w:val="20"/>
                <w:color w:val="auto"/>
              </w:rPr>
            </w:pPr>
            <w:r>
              <w:rPr>
                <w:rFonts w:ascii="Arial" w:cs="Arial" w:eastAsia="Arial" w:hAnsi="Arial"/>
                <w:sz w:val="20"/>
                <w:szCs w:val="20"/>
                <w:color w:val="auto"/>
                <w:w w:val="88"/>
              </w:rPr>
              <w:t>Six Months Ended June 30, 2017</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4"/>
        </w:trPr>
        <w:tc>
          <w:tcPr>
            <w:tcW w:w="602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82,044</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82,793</w:t>
            </w:r>
          </w:p>
        </w:tc>
        <w:tc>
          <w:tcPr>
            <w:tcW w:w="100" w:type="dxa"/>
            <w:vAlign w:val="bottom"/>
            <w:shd w:val="clear" w:color="auto" w:fill="CFF0FC"/>
          </w:tcPr>
          <w:p>
            <w:pPr>
              <w:spacing w:after="0"/>
              <w:rPr>
                <w:sz w:val="20"/>
                <w:szCs w:val="20"/>
                <w:color w:val="auto"/>
              </w:rPr>
            </w:pPr>
          </w:p>
        </w:tc>
      </w:tr>
      <w:tr>
        <w:trPr>
          <w:trHeight w:val="241"/>
        </w:trPr>
        <w:tc>
          <w:tcPr>
            <w:tcW w:w="602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20"/>
                <w:szCs w:val="20"/>
                <w:color w:val="auto"/>
              </w:rPr>
              <w:t>(2,369)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20"/>
                <w:szCs w:val="20"/>
                <w:color w:val="auto"/>
              </w:rPr>
              <w:t>(285)</w:t>
            </w:r>
          </w:p>
        </w:tc>
        <w:tc>
          <w:tcPr>
            <w:tcW w:w="1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20"/>
                <w:szCs w:val="20"/>
                <w:color w:val="auto"/>
              </w:rPr>
              <w:t>(2,654)</w:t>
            </w:r>
          </w:p>
        </w:tc>
      </w:tr>
      <w:tr>
        <w:trPr>
          <w:trHeight w:val="234"/>
        </w:trPr>
        <w:tc>
          <w:tcPr>
            <w:tcW w:w="6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79,675</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80,139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2"/>
        </w:trPr>
        <w:tc>
          <w:tcPr>
            <w:tcW w:w="60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center"/>
              <w:ind w:left="1102"/>
              <w:spacing w:after="0"/>
              <w:rPr>
                <w:sz w:val="20"/>
                <w:szCs w:val="20"/>
                <w:color w:val="auto"/>
              </w:rPr>
            </w:pPr>
            <w:r>
              <w:rPr>
                <w:rFonts w:ascii="Arial" w:cs="Arial" w:eastAsia="Arial" w:hAnsi="Arial"/>
                <w:sz w:val="20"/>
                <w:szCs w:val="20"/>
                <w:color w:val="auto"/>
                <w:w w:val="88"/>
              </w:rPr>
              <w:t>Six Months Ended June 30, 2016</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4"/>
        </w:trPr>
        <w:tc>
          <w:tcPr>
            <w:tcW w:w="602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66,467</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67,757</w:t>
            </w:r>
          </w:p>
        </w:tc>
        <w:tc>
          <w:tcPr>
            <w:tcW w:w="100" w:type="dxa"/>
            <w:vAlign w:val="bottom"/>
            <w:shd w:val="clear" w:color="auto" w:fill="CFF0FC"/>
          </w:tcPr>
          <w:p>
            <w:pPr>
              <w:spacing w:after="0"/>
              <w:rPr>
                <w:sz w:val="20"/>
                <w:szCs w:val="20"/>
                <w:color w:val="auto"/>
              </w:rPr>
            </w:pPr>
          </w:p>
        </w:tc>
      </w:tr>
      <w:tr>
        <w:trPr>
          <w:trHeight w:val="241"/>
        </w:trPr>
        <w:tc>
          <w:tcPr>
            <w:tcW w:w="602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464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20"/>
                <w:szCs w:val="20"/>
                <w:color w:val="auto"/>
              </w:rPr>
              <w:t>(267)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197</w:t>
            </w:r>
          </w:p>
        </w:tc>
        <w:tc>
          <w:tcPr>
            <w:tcW w:w="100" w:type="dxa"/>
            <w:vAlign w:val="bottom"/>
          </w:tcPr>
          <w:p>
            <w:pPr>
              <w:spacing w:after="0"/>
              <w:rPr>
                <w:sz w:val="20"/>
                <w:szCs w:val="20"/>
                <w:color w:val="auto"/>
              </w:rPr>
            </w:pPr>
          </w:p>
        </w:tc>
      </w:tr>
      <w:tr>
        <w:trPr>
          <w:trHeight w:val="234"/>
        </w:trPr>
        <w:tc>
          <w:tcPr>
            <w:tcW w:w="6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66,931</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1,023</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67,954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hanging="373"/>
        <w:spacing w:after="0"/>
        <w:tabs>
          <w:tab w:leader="none" w:pos="3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4" w:lineRule="exact"/>
        <w:rPr>
          <w:rFonts w:ascii="Arial" w:cs="Arial" w:eastAsia="Arial" w:hAnsi="Arial"/>
          <w:sz w:val="20"/>
          <w:szCs w:val="20"/>
          <w:b w:val="1"/>
          <w:bCs w:val="1"/>
          <w:color w:val="auto"/>
        </w:rPr>
      </w:pPr>
    </w:p>
    <w:p>
      <w:pPr>
        <w:ind w:left="380" w:right="2460"/>
        <w:spacing w:after="0" w:line="374"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Consolidated Comprehensive Earnings/Loss and Accumulated Other Comprehensive Loss (continued) </w:t>
      </w:r>
      <w:r>
        <w:rPr>
          <w:rFonts w:ascii="Arial" w:cs="Arial" w:eastAsia="Arial" w:hAnsi="Arial"/>
          <w:sz w:val="20"/>
          <w:szCs w:val="20"/>
          <w:color w:val="auto"/>
        </w:rPr>
        <w:t>Reclassifications out of accumulated other comprehensive loss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6"/>
          </w:tcPr>
          <w:p>
            <w:pPr>
              <w:jc w:val="right"/>
              <w:ind w:right="520"/>
              <w:spacing w:after="0"/>
              <w:rPr>
                <w:sz w:val="20"/>
                <w:szCs w:val="20"/>
                <w:color w:val="auto"/>
              </w:rPr>
            </w:pPr>
            <w:r>
              <w:rPr>
                <w:rFonts w:ascii="Arial" w:cs="Arial" w:eastAsia="Arial" w:hAnsi="Arial"/>
                <w:sz w:val="19"/>
                <w:szCs w:val="19"/>
                <w:color w:val="auto"/>
                <w:w w:val="96"/>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jc w:val="right"/>
              <w:ind w:right="600"/>
              <w:spacing w:after="0"/>
              <w:rPr>
                <w:sz w:val="20"/>
                <w:szCs w:val="20"/>
                <w:color w:val="auto"/>
              </w:rPr>
            </w:pPr>
            <w:r>
              <w:rPr>
                <w:rFonts w:ascii="Arial" w:cs="Arial" w:eastAsia="Arial" w:hAnsi="Arial"/>
                <w:sz w:val="19"/>
                <w:szCs w:val="19"/>
                <w:color w:val="auto"/>
              </w:rPr>
              <w:t>Six Months Ended</w:t>
            </w:r>
          </w:p>
        </w:tc>
        <w:tc>
          <w:tcPr>
            <w:tcW w:w="3060" w:type="dxa"/>
            <w:vAlign w:val="bottom"/>
          </w:tcPr>
          <w:p>
            <w:pPr>
              <w:ind w:left="140"/>
              <w:spacing w:after="0"/>
              <w:rPr>
                <w:sz w:val="20"/>
                <w:szCs w:val="20"/>
                <w:color w:val="auto"/>
              </w:rPr>
            </w:pPr>
            <w:r>
              <w:rPr>
                <w:rFonts w:ascii="Arial" w:cs="Arial" w:eastAsia="Arial" w:hAnsi="Arial"/>
                <w:sz w:val="19"/>
                <w:szCs w:val="19"/>
                <w:color w:val="auto"/>
                <w:w w:val="90"/>
              </w:rPr>
              <w:t>Affected line items in the consolidated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rPr>
              <w:t>June 30,</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9"/>
                <w:szCs w:val="19"/>
                <w:color w:val="auto"/>
              </w:rPr>
              <w:t>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Pr>
          <w:p>
            <w:pPr>
              <w:ind w:left="580"/>
              <w:spacing w:after="0"/>
              <w:rPr>
                <w:sz w:val="20"/>
                <w:szCs w:val="20"/>
                <w:color w:val="auto"/>
              </w:rPr>
            </w:pPr>
            <w:r>
              <w:rPr>
                <w:rFonts w:ascii="Arial" w:cs="Arial" w:eastAsia="Arial" w:hAnsi="Arial"/>
                <w:sz w:val="19"/>
                <w:szCs w:val="19"/>
                <w:color w:val="auto"/>
              </w:rPr>
              <w:t>statements of earnings and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46"/>
              <w:spacing w:after="0"/>
              <w:rPr>
                <w:sz w:val="20"/>
                <w:szCs w:val="20"/>
                <w:color w:val="auto"/>
              </w:rPr>
            </w:pPr>
            <w:r>
              <w:rPr>
                <w:rFonts w:ascii="Arial" w:cs="Arial" w:eastAsia="Arial" w:hAnsi="Arial"/>
                <w:sz w:val="19"/>
                <w:szCs w:val="19"/>
                <w:color w:val="auto"/>
              </w:rPr>
              <w:t>2017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46"/>
              <w:spacing w:after="0"/>
              <w:rPr>
                <w:sz w:val="20"/>
                <w:szCs w:val="20"/>
                <w:color w:val="auto"/>
              </w:rPr>
            </w:pPr>
            <w:r>
              <w:rPr>
                <w:rFonts w:ascii="Arial" w:cs="Arial" w:eastAsia="Arial" w:hAnsi="Arial"/>
                <w:sz w:val="19"/>
                <w:szCs w:val="19"/>
                <w:color w:val="auto"/>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46"/>
              <w:spacing w:after="0"/>
              <w:rPr>
                <w:sz w:val="20"/>
                <w:szCs w:val="20"/>
                <w:color w:val="auto"/>
              </w:rPr>
            </w:pPr>
            <w:r>
              <w:rPr>
                <w:rFonts w:ascii="Arial" w:cs="Arial" w:eastAsia="Arial" w:hAnsi="Arial"/>
                <w:sz w:val="19"/>
                <w:szCs w:val="19"/>
                <w:color w:val="auto"/>
              </w:rPr>
              <w:t>2017</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6"/>
              <w:spacing w:after="0"/>
              <w:rPr>
                <w:sz w:val="20"/>
                <w:szCs w:val="20"/>
                <w:color w:val="auto"/>
              </w:rPr>
            </w:pPr>
            <w:r>
              <w:rPr>
                <w:rFonts w:ascii="Arial" w:cs="Arial" w:eastAsia="Arial" w:hAnsi="Arial"/>
                <w:sz w:val="19"/>
                <w:szCs w:val="19"/>
                <w:color w:val="auto"/>
                <w:w w:val="99"/>
              </w:rPr>
              <w:t>2016</w:t>
            </w:r>
          </w:p>
        </w:tc>
        <w:tc>
          <w:tcPr>
            <w:tcW w:w="120" w:type="dxa"/>
            <w:vAlign w:val="bottom"/>
          </w:tcPr>
          <w:p>
            <w:pPr>
              <w:spacing w:after="0"/>
              <w:rPr>
                <w:sz w:val="19"/>
                <w:szCs w:val="19"/>
                <w:color w:val="auto"/>
              </w:rPr>
            </w:pPr>
          </w:p>
        </w:tc>
        <w:tc>
          <w:tcPr>
            <w:tcW w:w="3060" w:type="dxa"/>
            <w:vAlign w:val="bottom"/>
            <w:tcBorders>
              <w:bottom w:val="single" w:sz="8" w:color="auto"/>
            </w:tcBorders>
          </w:tcPr>
          <w:p>
            <w:pPr>
              <w:ind w:left="680"/>
              <w:spacing w:after="0"/>
              <w:rPr>
                <w:sz w:val="20"/>
                <w:szCs w:val="20"/>
                <w:color w:val="auto"/>
              </w:rPr>
            </w:pPr>
            <w:r>
              <w:rPr>
                <w:rFonts w:ascii="Arial" w:cs="Arial" w:eastAsia="Arial" w:hAnsi="Arial"/>
                <w:sz w:val="19"/>
                <w:szCs w:val="19"/>
                <w:color w:val="auto"/>
              </w:rPr>
              <w:t>comprehensive earnings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6"/>
          </w:tcPr>
          <w:p>
            <w:pPr>
              <w:jc w:val="right"/>
              <w:ind w:right="540"/>
              <w:spacing w:after="0"/>
              <w:rPr>
                <w:sz w:val="20"/>
                <w:szCs w:val="20"/>
                <w:color w:val="auto"/>
              </w:rPr>
            </w:pPr>
            <w:r>
              <w:rPr>
                <w:rFonts w:ascii="Arial" w:cs="Arial" w:eastAsia="Arial" w:hAnsi="Arial"/>
                <w:sz w:val="19"/>
                <w:szCs w:val="19"/>
                <w:i w:val="1"/>
                <w:iCs w:val="1"/>
                <w:color w:val="auto"/>
                <w:w w:val="92"/>
              </w:rPr>
              <w:t>(Dollars in Thousands)</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00" w:type="dxa"/>
            <w:vAlign w:val="bottom"/>
            <w:shd w:val="clear" w:color="auto" w:fill="CFF0FC"/>
          </w:tcPr>
          <w:p>
            <w:pPr>
              <w:spacing w:after="0" w:line="205" w:lineRule="exact"/>
              <w:rPr>
                <w:sz w:val="20"/>
                <w:szCs w:val="20"/>
                <w:color w:val="auto"/>
              </w:rPr>
            </w:pPr>
            <w:r>
              <w:rPr>
                <w:rFonts w:ascii="Arial" w:cs="Arial" w:eastAsia="Arial" w:hAnsi="Arial"/>
                <w:sz w:val="19"/>
                <w:szCs w:val="19"/>
                <w:color w:val="auto"/>
              </w:rPr>
              <w:t>Pension and postretirement</w:t>
            </w: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00" w:type="dxa"/>
            <w:vAlign w:val="bottom"/>
            <w:shd w:val="clear" w:color="auto" w:fill="CFF0FC"/>
          </w:tcPr>
          <w:p>
            <w:pPr>
              <w:ind w:left="120"/>
              <w:spacing w:after="0"/>
              <w:rPr>
                <w:sz w:val="20"/>
                <w:szCs w:val="20"/>
                <w:color w:val="auto"/>
              </w:rPr>
            </w:pPr>
            <w:r>
              <w:rPr>
                <w:rFonts w:ascii="Arial" w:cs="Arial" w:eastAsia="Arial" w:hAnsi="Arial"/>
                <w:sz w:val="19"/>
                <w:szCs w:val="19"/>
                <w:color w:val="auto"/>
              </w:rPr>
              <w:t>benefit plans</w:t>
            </w: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00" w:type="dxa"/>
            <w:vAlign w:val="bottom"/>
          </w:tcPr>
          <w:p>
            <w:pPr>
              <w:ind w:left="240"/>
              <w:spacing w:after="0"/>
              <w:rPr>
                <w:sz w:val="20"/>
                <w:szCs w:val="20"/>
                <w:color w:val="auto"/>
              </w:rPr>
            </w:pPr>
            <w:r>
              <w:rPr>
                <w:rFonts w:ascii="Arial" w:cs="Arial" w:eastAsia="Arial" w:hAnsi="Arial"/>
                <w:sz w:val="19"/>
                <w:szCs w:val="19"/>
                <w:color w:val="auto"/>
              </w:rPr>
              <w:t>Settlement charge</w:t>
            </w:r>
          </w:p>
        </w:tc>
        <w:tc>
          <w:tcPr>
            <w:tcW w:w="640" w:type="dxa"/>
            <w:vAlign w:val="bottom"/>
            <w:gridSpan w:val="2"/>
          </w:tcPr>
          <w:p>
            <w:pPr>
              <w:jc w:val="right"/>
              <w:ind w:right="47"/>
              <w:spacing w:after="0"/>
              <w:rPr>
                <w:sz w:val="20"/>
                <w:szCs w:val="20"/>
                <w:color w:val="auto"/>
              </w:rPr>
            </w:pPr>
            <w:r>
              <w:rPr>
                <w:rFonts w:ascii="Arial" w:cs="Arial" w:eastAsia="Arial" w:hAnsi="Arial"/>
                <w:sz w:val="19"/>
                <w:szCs w:val="19"/>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340" w:type="dxa"/>
            <w:vAlign w:val="bottom"/>
            <w:gridSpan w:val="2"/>
          </w:tcPr>
          <w:p>
            <w:pPr>
              <w:jc w:val="right"/>
              <w:ind w:right="66"/>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300" w:type="dxa"/>
            <w:vAlign w:val="bottom"/>
            <w:gridSpan w:val="2"/>
          </w:tcPr>
          <w:p>
            <w:pPr>
              <w:jc w:val="right"/>
              <w:ind w:right="26"/>
              <w:spacing w:after="0"/>
              <w:rPr>
                <w:sz w:val="20"/>
                <w:szCs w:val="20"/>
                <w:color w:val="auto"/>
              </w:rPr>
            </w:pPr>
            <w:r>
              <w:rPr>
                <w:rFonts w:ascii="Arial" w:cs="Arial" w:eastAsia="Arial" w:hAnsi="Arial"/>
                <w:sz w:val="19"/>
                <w:szCs w:val="19"/>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59</w:t>
            </w:r>
          </w:p>
        </w:tc>
        <w:tc>
          <w:tcPr>
            <w:tcW w:w="1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Amortization of:</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00" w:type="dxa"/>
            <w:vAlign w:val="bottom"/>
          </w:tcPr>
          <w:p>
            <w:pPr>
              <w:ind w:left="480"/>
              <w:spacing w:after="0"/>
              <w:rPr>
                <w:sz w:val="20"/>
                <w:szCs w:val="20"/>
                <w:color w:val="auto"/>
              </w:rPr>
            </w:pPr>
            <w:r>
              <w:rPr>
                <w:rFonts w:ascii="Arial" w:cs="Arial" w:eastAsia="Arial" w:hAnsi="Arial"/>
                <w:sz w:val="19"/>
                <w:szCs w:val="19"/>
                <w:color w:val="auto"/>
              </w:rPr>
              <w:t>Prior service credit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9"/>
                <w:szCs w:val="19"/>
                <w:color w:val="auto"/>
              </w:rPr>
              <w:t>(358)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(518)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9"/>
                <w:szCs w:val="19"/>
                <w:color w:val="auto"/>
              </w:rPr>
              <w:t>(716)</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9"/>
                <w:szCs w:val="19"/>
                <w:color w:val="auto"/>
              </w:rPr>
              <w:t>(806)</w:t>
            </w: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00" w:type="dxa"/>
            <w:vAlign w:val="bottom"/>
            <w:shd w:val="clear" w:color="auto" w:fill="CFF0FC"/>
          </w:tcPr>
          <w:p>
            <w:pPr>
              <w:ind w:left="480"/>
              <w:spacing w:after="0"/>
              <w:rPr>
                <w:sz w:val="20"/>
                <w:szCs w:val="20"/>
                <w:color w:val="auto"/>
              </w:rPr>
            </w:pPr>
            <w:r>
              <w:rPr>
                <w:rFonts w:ascii="Arial" w:cs="Arial" w:eastAsia="Arial" w:hAnsi="Arial"/>
                <w:sz w:val="19"/>
                <w:szCs w:val="19"/>
                <w:color w:val="auto"/>
              </w:rPr>
              <w:t>Actuarial loss</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3,452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3,007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6,905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5,787</w:t>
            </w:r>
          </w:p>
        </w:tc>
        <w:tc>
          <w:tcPr>
            <w:tcW w:w="12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3,094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2,489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6,189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5,040</w:t>
            </w:r>
          </w:p>
        </w:tc>
        <w:tc>
          <w:tcPr>
            <w:tcW w:w="120" w:type="dxa"/>
            <w:vAlign w:val="bottom"/>
          </w:tcPr>
          <w:p>
            <w:pPr>
              <w:spacing w:after="0"/>
              <w:rPr>
                <w:sz w:val="19"/>
                <w:szCs w:val="19"/>
                <w:color w:val="auto"/>
              </w:rPr>
            </w:pPr>
          </w:p>
        </w:tc>
        <w:tc>
          <w:tcPr>
            <w:tcW w:w="3060" w:type="dxa"/>
            <w:vAlign w:val="bottom"/>
          </w:tcPr>
          <w:p>
            <w:pPr>
              <w:ind w:left="120"/>
              <w:spacing w:after="0"/>
              <w:rPr>
                <w:sz w:val="20"/>
                <w:szCs w:val="20"/>
                <w:color w:val="auto"/>
              </w:rPr>
            </w:pPr>
            <w:r>
              <w:rPr>
                <w:rFonts w:ascii="Arial" w:cs="Arial" w:eastAsia="Arial" w:hAnsi="Arial"/>
                <w:sz w:val="19"/>
                <w:szCs w:val="19"/>
                <w:color w:val="auto"/>
              </w:rPr>
              <w:t>Nonoperating expenses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Tax benefit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9"/>
                <w:szCs w:val="19"/>
                <w:color w:val="auto"/>
              </w:rPr>
              <w:t>(1,184)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9"/>
                <w:szCs w:val="19"/>
                <w:color w:val="auto"/>
              </w:rPr>
              <w:t>(960)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(2,369)</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9"/>
                <w:szCs w:val="19"/>
                <w:color w:val="auto"/>
              </w:rPr>
              <w:t>(1,944)</w:t>
            </w:r>
          </w:p>
        </w:tc>
        <w:tc>
          <w:tcPr>
            <w:tcW w:w="3060" w:type="dxa"/>
            <w:vAlign w:val="bottom"/>
            <w:shd w:val="clear" w:color="auto" w:fill="CFF0FC"/>
          </w:tcPr>
          <w:p>
            <w:pPr>
              <w:ind w:left="120"/>
              <w:spacing w:after="0"/>
              <w:rPr>
                <w:sz w:val="20"/>
                <w:szCs w:val="20"/>
                <w:color w:val="auto"/>
              </w:rPr>
            </w:pPr>
            <w:r>
              <w:rPr>
                <w:rFonts w:ascii="Arial" w:cs="Arial" w:eastAsia="Arial" w:hAnsi="Arial"/>
                <w:sz w:val="19"/>
                <w:szCs w:val="19"/>
                <w:color w:val="auto"/>
              </w:rPr>
              <w:t>Taxes on income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900" w:type="dxa"/>
            <w:vAlign w:val="bottom"/>
            <w:tcBorders>
              <w:bottom w:val="single" w:sz="8" w:color="CFF0FC"/>
            </w:tcBorders>
          </w:tcPr>
          <w:p>
            <w:pPr>
              <w:spacing w:after="0"/>
              <w:rPr>
                <w:sz w:val="22"/>
                <w:szCs w:val="22"/>
                <w:color w:val="auto"/>
              </w:rPr>
            </w:pPr>
          </w:p>
        </w:tc>
        <w:tc>
          <w:tcPr>
            <w:tcW w:w="4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1,910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1,529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9"/>
                <w:szCs w:val="19"/>
                <w:color w:val="auto"/>
                <w:w w:val="7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3,820</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3,096</w:t>
            </w:r>
          </w:p>
        </w:tc>
        <w:tc>
          <w:tcPr>
            <w:tcW w:w="120" w:type="dxa"/>
            <w:vAlign w:val="bottom"/>
            <w:tcBorders>
              <w:bottom w:val="single" w:sz="8" w:color="CFF0FC"/>
            </w:tcBorders>
          </w:tcPr>
          <w:p>
            <w:pPr>
              <w:spacing w:after="0"/>
              <w:rPr>
                <w:sz w:val="22"/>
                <w:szCs w:val="22"/>
                <w:color w:val="auto"/>
              </w:rPr>
            </w:pPr>
          </w:p>
        </w:tc>
        <w:tc>
          <w:tcPr>
            <w:tcW w:w="30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900" w:type="dxa"/>
            <w:vAlign w:val="bottom"/>
          </w:tcPr>
          <w:p>
            <w:pPr>
              <w:spacing w:after="0" w:line="205" w:lineRule="exact"/>
              <w:rPr>
                <w:sz w:val="20"/>
                <w:szCs w:val="20"/>
                <w:color w:val="auto"/>
              </w:rPr>
            </w:pPr>
            <w:r>
              <w:rPr>
                <w:rFonts w:ascii="Arial" w:cs="Arial" w:eastAsia="Arial" w:hAnsi="Arial"/>
                <w:sz w:val="19"/>
                <w:szCs w:val="19"/>
                <w:color w:val="auto"/>
              </w:rPr>
              <w:t>Unamortized value of terminated</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tcPr>
          <w:p>
            <w:pPr>
              <w:ind w:left="120"/>
              <w:spacing w:after="0" w:line="214" w:lineRule="exact"/>
              <w:rPr>
                <w:sz w:val="20"/>
                <w:szCs w:val="20"/>
                <w:color w:val="auto"/>
              </w:rPr>
            </w:pPr>
            <w:r>
              <w:rPr>
                <w:rFonts w:ascii="Arial" w:cs="Arial" w:eastAsia="Arial" w:hAnsi="Arial"/>
                <w:sz w:val="19"/>
                <w:szCs w:val="19"/>
                <w:color w:val="auto"/>
              </w:rPr>
              <w:t>forward starting interest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00" w:type="dxa"/>
            <w:vAlign w:val="bottom"/>
          </w:tcPr>
          <w:p>
            <w:pPr>
              <w:ind w:left="120"/>
              <w:spacing w:after="0"/>
              <w:rPr>
                <w:sz w:val="20"/>
                <w:szCs w:val="20"/>
                <w:color w:val="auto"/>
              </w:rPr>
            </w:pPr>
            <w:r>
              <w:rPr>
                <w:rFonts w:ascii="Arial" w:cs="Arial" w:eastAsia="Arial" w:hAnsi="Arial"/>
                <w:sz w:val="19"/>
                <w:szCs w:val="19"/>
                <w:color w:val="auto"/>
              </w:rPr>
              <w:t>rate swap</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Additional interest expense</w:t>
            </w:r>
          </w:p>
        </w:tc>
        <w:tc>
          <w:tcPr>
            <w:tcW w:w="640" w:type="dxa"/>
            <w:vAlign w:val="bottom"/>
            <w:gridSpan w:val="2"/>
            <w:shd w:val="clear" w:color="auto" w:fill="CFF0FC"/>
          </w:tcPr>
          <w:p>
            <w:pPr>
              <w:jc w:val="right"/>
              <w:ind w:right="47"/>
              <w:spacing w:after="0"/>
              <w:rPr>
                <w:sz w:val="20"/>
                <w:szCs w:val="20"/>
                <w:color w:val="auto"/>
              </w:rPr>
            </w:pPr>
            <w:r>
              <w:rPr>
                <w:rFonts w:ascii="Arial" w:cs="Arial" w:eastAsia="Arial" w:hAnsi="Arial"/>
                <w:sz w:val="19"/>
                <w:szCs w:val="19"/>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364</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6"/>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340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6"/>
              <w:spacing w:after="0"/>
              <w:rPr>
                <w:sz w:val="20"/>
                <w:szCs w:val="20"/>
                <w:color w:val="auto"/>
              </w:rPr>
            </w:pPr>
            <w:r>
              <w:rPr>
                <w:rFonts w:ascii="Arial" w:cs="Arial" w:eastAsia="Arial" w:hAnsi="Arial"/>
                <w:sz w:val="19"/>
                <w:szCs w:val="19"/>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720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672</w:t>
            </w:r>
          </w:p>
        </w:tc>
        <w:tc>
          <w:tcPr>
            <w:tcW w:w="120" w:type="dxa"/>
            <w:vAlign w:val="bottom"/>
            <w:shd w:val="clear" w:color="auto" w:fill="CFF0FC"/>
          </w:tcPr>
          <w:p>
            <w:pPr>
              <w:spacing w:after="0"/>
              <w:rPr>
                <w:sz w:val="19"/>
                <w:szCs w:val="19"/>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9"/>
                <w:szCs w:val="19"/>
                <w:color w:val="auto"/>
              </w:rPr>
              <w:t>Interest expense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00" w:type="dxa"/>
            <w:vAlign w:val="bottom"/>
          </w:tcPr>
          <w:p>
            <w:pPr>
              <w:ind w:left="240"/>
              <w:spacing w:after="0"/>
              <w:rPr>
                <w:sz w:val="20"/>
                <w:szCs w:val="20"/>
                <w:color w:val="auto"/>
              </w:rPr>
            </w:pPr>
            <w:r>
              <w:rPr>
                <w:rFonts w:ascii="Arial" w:cs="Arial" w:eastAsia="Arial" w:hAnsi="Arial"/>
                <w:sz w:val="19"/>
                <w:szCs w:val="19"/>
                <w:color w:val="auto"/>
              </w:rPr>
              <w:t>Tax benefit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9"/>
                <w:szCs w:val="19"/>
                <w:color w:val="auto"/>
              </w:rPr>
              <w:t>(144)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(136)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9"/>
                <w:szCs w:val="19"/>
                <w:color w:val="auto"/>
              </w:rPr>
              <w:t>(285)</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9"/>
                <w:szCs w:val="19"/>
                <w:color w:val="auto"/>
              </w:rPr>
              <w:t>(267)</w:t>
            </w:r>
          </w:p>
        </w:tc>
        <w:tc>
          <w:tcPr>
            <w:tcW w:w="3060" w:type="dxa"/>
            <w:vAlign w:val="bottom"/>
          </w:tcPr>
          <w:p>
            <w:pPr>
              <w:ind w:left="120"/>
              <w:spacing w:after="0"/>
              <w:rPr>
                <w:sz w:val="20"/>
                <w:szCs w:val="20"/>
                <w:color w:val="auto"/>
              </w:rPr>
            </w:pPr>
            <w:r>
              <w:rPr>
                <w:rFonts w:ascii="Arial" w:cs="Arial" w:eastAsia="Arial" w:hAnsi="Arial"/>
                <w:sz w:val="19"/>
                <w:szCs w:val="19"/>
                <w:color w:val="auto"/>
              </w:rPr>
              <w:t>Taxes on income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9"/>
                <w:szCs w:val="19"/>
                <w:color w:val="auto"/>
                <w:w w:val="75"/>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111" w:lineRule="exact"/>
        <w:rPr>
          <w:sz w:val="20"/>
          <w:szCs w:val="20"/>
          <w:color w:val="auto"/>
        </w:rPr>
      </w:pPr>
    </w:p>
    <w:p>
      <w:pPr>
        <w:jc w:val="both"/>
        <w:ind w:left="380"/>
        <w:spacing w:after="0" w:line="288" w:lineRule="auto"/>
        <w:rPr>
          <w:sz w:val="20"/>
          <w:szCs w:val="20"/>
          <w:color w:val="auto"/>
        </w:rPr>
      </w:pPr>
      <w:r>
        <w:rPr>
          <w:rFonts w:ascii="Arial" w:cs="Arial" w:eastAsia="Arial" w:hAnsi="Arial"/>
          <w:sz w:val="17"/>
          <w:szCs w:val="17"/>
          <w:color w:val="auto"/>
        </w:rPr>
        <w:t>The numerator for basic and diluted earnings per common share is net earnings attributable to Martin Marietta Materials, Inc.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and six months ended June 30, 2017 and 2016, the diluted per-share computations reflect a change in the number of common shares outstanding to include the number of additional shares that would have been outstanding if the potentially dilutive common shares had been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right="7440" w:hanging="373"/>
        <w:spacing w:after="0" w:line="414" w:lineRule="auto"/>
        <w:tabs>
          <w:tab w:leader="none" w:pos="375"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(continued) Earnings per Common Share</w:t>
      </w:r>
    </w:p>
    <w:p>
      <w:pPr>
        <w:ind w:left="380"/>
        <w:spacing w:after="0"/>
        <w:rPr>
          <w:rFonts w:ascii="Arial" w:cs="Arial" w:eastAsia="Arial" w:hAnsi="Arial"/>
          <w:sz w:val="17"/>
          <w:szCs w:val="17"/>
          <w:b w:val="1"/>
          <w:bCs w:val="1"/>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6"/>
          </w:tcPr>
          <w:p>
            <w:pPr>
              <w:jc w:val="right"/>
              <w:ind w:right="462"/>
              <w:spacing w:after="0"/>
              <w:rPr>
                <w:sz w:val="20"/>
                <w:szCs w:val="20"/>
                <w:color w:val="auto"/>
              </w:rPr>
            </w:pPr>
            <w:r>
              <w:rPr>
                <w:rFonts w:ascii="Arial" w:cs="Arial" w:eastAsia="Arial" w:hAnsi="Arial"/>
                <w:sz w:val="20"/>
                <w:szCs w:val="20"/>
                <w:color w:val="auto"/>
              </w:rPr>
              <w:t>Three Months Ended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8"/>
          </w:tcPr>
          <w:p>
            <w:pPr>
              <w:jc w:val="right"/>
              <w:ind w:right="78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20"/>
                <w:szCs w:val="20"/>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20"/>
                <w:szCs w:val="20"/>
                <w:color w:val="auto"/>
                <w:w w:val="89"/>
              </w:rPr>
              <w:t>2017</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2016</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2"/>
              <w:spacing w:after="0"/>
              <w:rPr>
                <w:sz w:val="20"/>
                <w:szCs w:val="20"/>
                <w:color w:val="auto"/>
              </w:rPr>
            </w:pPr>
            <w:r>
              <w:rPr>
                <w:rFonts w:ascii="Arial" w:cs="Arial" w:eastAsia="Arial" w:hAnsi="Arial"/>
                <w:sz w:val="20"/>
                <w:szCs w:val="20"/>
                <w:color w:val="auto"/>
                <w:w w:val="85"/>
              </w:rPr>
              <w:t>2017</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9"/>
          </w:tcPr>
          <w:p>
            <w:pPr>
              <w:jc w:val="center"/>
              <w:ind w:right="360"/>
              <w:spacing w:after="0"/>
              <w:rPr>
                <w:sz w:val="20"/>
                <w:szCs w:val="20"/>
                <w:color w:val="auto"/>
              </w:rPr>
            </w:pPr>
            <w:r>
              <w:rPr>
                <w:rFonts w:ascii="Arial" w:cs="Arial" w:eastAsia="Arial" w:hAnsi="Arial"/>
                <w:sz w:val="20"/>
                <w:szCs w:val="20"/>
                <w:i w:val="1"/>
                <w:iCs w:val="1"/>
                <w:color w:val="auto"/>
                <w:w w:val="89"/>
              </w:rPr>
              <w:t>(In Thousands)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line="224" w:lineRule="exact"/>
              <w:rPr>
                <w:sz w:val="20"/>
                <w:szCs w:val="20"/>
                <w:color w:val="auto"/>
              </w:rPr>
            </w:pPr>
            <w:r>
              <w:rPr>
                <w:rFonts w:ascii="Arial" w:cs="Arial" w:eastAsia="Arial" w:hAnsi="Arial"/>
                <w:sz w:val="20"/>
                <w:szCs w:val="20"/>
                <w:color w:val="auto"/>
              </w:rPr>
              <w:t>Net earnings attributable to Martin Marietta</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20"/>
                <w:szCs w:val="20"/>
                <w:color w:val="auto"/>
              </w:rPr>
              <w:t>Materials, Inc.</w:t>
            </w:r>
          </w:p>
        </w:tc>
        <w:tc>
          <w:tcPr>
            <w:tcW w:w="840" w:type="dxa"/>
            <w:vAlign w:val="bottom"/>
            <w:gridSpan w:val="2"/>
            <w:shd w:val="clear" w:color="auto" w:fill="CFF0FC"/>
          </w:tcPr>
          <w:p>
            <w:pPr>
              <w:jc w:val="right"/>
              <w:ind w:right="22"/>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142,279</w:t>
            </w:r>
          </w:p>
        </w:tc>
        <w:tc>
          <w:tcPr>
            <w:tcW w:w="440" w:type="dxa"/>
            <w:vAlign w:val="bottom"/>
            <w:gridSpan w:val="3"/>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122,052</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184,613</w:t>
            </w:r>
          </w:p>
        </w:tc>
        <w:tc>
          <w:tcPr>
            <w:tcW w:w="18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167,047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gridSpan w:val="2"/>
          </w:tcPr>
          <w:p>
            <w:pPr>
              <w:spacing w:after="0" w:line="224" w:lineRule="exact"/>
              <w:rPr>
                <w:sz w:val="20"/>
                <w:szCs w:val="20"/>
                <w:color w:val="auto"/>
              </w:rPr>
            </w:pPr>
            <w:r>
              <w:rPr>
                <w:rFonts w:ascii="Arial" w:cs="Arial" w:eastAsia="Arial" w:hAnsi="Arial"/>
                <w:sz w:val="20"/>
                <w:szCs w:val="20"/>
                <w:color w:val="auto"/>
              </w:rPr>
              <w:t>Less: Distributed and undistributed earnings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47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attributable to unvested awards</w:t>
            </w:r>
          </w:p>
        </w:tc>
        <w:tc>
          <w:tcPr>
            <w:tcW w:w="6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413</w:t>
            </w: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519</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553</w:t>
            </w:r>
          </w:p>
        </w:tc>
        <w:tc>
          <w:tcPr>
            <w:tcW w:w="1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gridSpan w:val="2"/>
            <w:shd w:val="clear" w:color="auto" w:fill="CFF0FC"/>
          </w:tcPr>
          <w:p>
            <w:pPr>
              <w:spacing w:after="0" w:line="217" w:lineRule="exact"/>
              <w:rPr>
                <w:sz w:val="20"/>
                <w:szCs w:val="20"/>
                <w:color w:val="auto"/>
              </w:rPr>
            </w:pPr>
            <w:r>
              <w:rPr>
                <w:rFonts w:ascii="Arial" w:cs="Arial" w:eastAsia="Arial" w:hAnsi="Arial"/>
                <w:sz w:val="20"/>
                <w:szCs w:val="20"/>
                <w:color w:val="auto"/>
              </w:rPr>
              <w:t>Basic and diluted net earnings available to common</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72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shareholders attributable to Martin Marietta</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20"/>
                <w:szCs w:val="20"/>
                <w:color w:val="auto"/>
              </w:rPr>
              <w:t>Materials, Inc.</w:t>
            </w:r>
          </w:p>
        </w:tc>
        <w:tc>
          <w:tcPr>
            <w:tcW w:w="840" w:type="dxa"/>
            <w:vAlign w:val="bottom"/>
            <w:gridSpan w:val="2"/>
            <w:shd w:val="clear" w:color="auto" w:fill="CFF0FC"/>
          </w:tcPr>
          <w:p>
            <w:pPr>
              <w:jc w:val="right"/>
              <w:ind w:right="22"/>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141,866</w:t>
            </w:r>
          </w:p>
        </w:tc>
        <w:tc>
          <w:tcPr>
            <w:tcW w:w="440" w:type="dxa"/>
            <w:vAlign w:val="bottom"/>
            <w:gridSpan w:val="3"/>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121,533</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184,060</w:t>
            </w:r>
          </w:p>
        </w:tc>
        <w:tc>
          <w:tcPr>
            <w:tcW w:w="18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166,317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FF0FC"/>
            </w:tcBorders>
            <w:gridSpan w:val="2"/>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Basic weighted-average common shares outstanding</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62,858</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63,532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62,961</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63,845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Effect of dilutive employee and director awards</w:t>
            </w:r>
          </w:p>
        </w:tc>
        <w:tc>
          <w:tcPr>
            <w:tcW w:w="6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w:t>
            </w: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270</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285</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Diluted weighted-average common shares outstanding</w:t>
            </w:r>
          </w:p>
        </w:tc>
        <w:tc>
          <w:tcPr>
            <w:tcW w:w="6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63,141</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63,802</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63,246</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64,091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spacing w:after="0"/>
              <w:rPr>
                <w:sz w:val="20"/>
                <w:szCs w:val="20"/>
                <w:color w:val="auto"/>
              </w:rPr>
            </w:pPr>
            <w:r>
              <w:rPr>
                <w:rFonts w:ascii="Arial" w:cs="Arial" w:eastAsia="Arial" w:hAnsi="Arial"/>
                <w:sz w:val="20"/>
                <w:szCs w:val="20"/>
                <w:b w:val="1"/>
                <w:bCs w:val="1"/>
                <w:color w:val="auto"/>
                <w:w w:val="83"/>
              </w:rPr>
              <w:t>2.</w:t>
            </w:r>
          </w:p>
        </w:tc>
        <w:tc>
          <w:tcPr>
            <w:tcW w:w="4720" w:type="dxa"/>
            <w:vAlign w:val="bottom"/>
            <w:vMerge w:val="restart"/>
          </w:tcPr>
          <w:p>
            <w:pPr>
              <w:ind w:left="220"/>
              <w:spacing w:after="0"/>
              <w:rPr>
                <w:sz w:val="20"/>
                <w:szCs w:val="20"/>
                <w:color w:val="auto"/>
              </w:rPr>
            </w:pPr>
            <w:r>
              <w:rPr>
                <w:rFonts w:ascii="Arial" w:cs="Arial" w:eastAsia="Arial" w:hAnsi="Arial"/>
                <w:sz w:val="20"/>
                <w:szCs w:val="20"/>
                <w:b w:val="1"/>
                <w:bCs w:val="1"/>
                <w:color w:val="auto"/>
              </w:rPr>
              <w:t>Goodwill</w:t>
            </w: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60" w:type="dxa"/>
            <w:vAlign w:val="bottom"/>
            <w:gridSpan w:val="2"/>
            <w:vMerge w:val="continue"/>
          </w:tcPr>
          <w:p>
            <w:pPr>
              <w:spacing w:after="0"/>
              <w:rPr>
                <w:sz w:val="24"/>
                <w:szCs w:val="24"/>
                <w:color w:val="auto"/>
              </w:rPr>
            </w:pPr>
          </w:p>
        </w:tc>
        <w:tc>
          <w:tcPr>
            <w:tcW w:w="47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20"/>
                <w:szCs w:val="20"/>
                <w:i w:val="1"/>
                <w:iCs w:val="1"/>
                <w:color w:val="auto"/>
                <w:w w:val="89"/>
              </w:rPr>
              <w:t>(In Thousands)</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gridSpan w:val="2"/>
          </w:tcPr>
          <w:p>
            <w:pPr>
              <w:jc w:val="center"/>
              <w:spacing w:after="0" w:line="225" w:lineRule="exact"/>
              <w:rPr>
                <w:sz w:val="20"/>
                <w:szCs w:val="20"/>
                <w:color w:val="auto"/>
              </w:rPr>
            </w:pPr>
            <w:r>
              <w:rPr>
                <w:rFonts w:ascii="Arial" w:cs="Arial" w:eastAsia="Arial" w:hAnsi="Arial"/>
                <w:sz w:val="20"/>
                <w:szCs w:val="20"/>
                <w:b w:val="1"/>
                <w:bCs w:val="1"/>
                <w:color w:val="auto"/>
                <w:w w:val="94"/>
              </w:rPr>
              <w:t>Mid-America</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102"/>
              <w:spacing w:after="0" w:line="225" w:lineRule="exact"/>
              <w:rPr>
                <w:sz w:val="20"/>
                <w:szCs w:val="20"/>
                <w:color w:val="auto"/>
              </w:rPr>
            </w:pPr>
            <w:r>
              <w:rPr>
                <w:rFonts w:ascii="Arial" w:cs="Arial" w:eastAsia="Arial" w:hAnsi="Arial"/>
                <w:sz w:val="20"/>
                <w:szCs w:val="20"/>
                <w:b w:val="1"/>
                <w:bCs w:val="1"/>
                <w:color w:val="auto"/>
                <w:w w:val="84"/>
              </w:rPr>
              <w:t>Southeast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center"/>
              <w:ind w:right="380"/>
              <w:spacing w:after="0" w:line="225" w:lineRule="exact"/>
              <w:rPr>
                <w:sz w:val="20"/>
                <w:szCs w:val="20"/>
                <w:color w:val="auto"/>
              </w:rPr>
            </w:pPr>
            <w:r>
              <w:rPr>
                <w:rFonts w:ascii="Arial" w:cs="Arial" w:eastAsia="Arial" w:hAnsi="Arial"/>
                <w:sz w:val="20"/>
                <w:szCs w:val="20"/>
                <w:b w:val="1"/>
                <w:bCs w:val="1"/>
                <w:color w:val="auto"/>
                <w:w w:val="87"/>
              </w:rPr>
              <w:t>West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center"/>
              <w:ind w:right="142"/>
              <w:spacing w:after="0"/>
              <w:rPr>
                <w:sz w:val="20"/>
                <w:szCs w:val="20"/>
                <w:color w:val="auto"/>
              </w:rPr>
            </w:pPr>
            <w:r>
              <w:rPr>
                <w:rFonts w:ascii="Arial" w:cs="Arial" w:eastAsia="Arial" w:hAnsi="Arial"/>
                <w:sz w:val="20"/>
                <w:szCs w:val="20"/>
                <w:b w:val="1"/>
                <w:bCs w:val="1"/>
                <w:color w:val="auto"/>
                <w:w w:val="93"/>
              </w:rPr>
              <w:t>Group</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center"/>
              <w:ind w:right="102"/>
              <w:spacing w:after="0"/>
              <w:rPr>
                <w:sz w:val="20"/>
                <w:szCs w:val="20"/>
                <w:color w:val="auto"/>
              </w:rPr>
            </w:pPr>
            <w:r>
              <w:rPr>
                <w:rFonts w:ascii="Arial" w:cs="Arial" w:eastAsia="Arial" w:hAnsi="Arial"/>
                <w:sz w:val="20"/>
                <w:szCs w:val="20"/>
                <w:b w:val="1"/>
                <w:bCs w:val="1"/>
                <w:color w:val="auto"/>
                <w:w w:val="89"/>
              </w:rPr>
              <w:t>Group</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89"/>
              </w:rPr>
              <w:t>Group</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ind w:left="160"/>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Balance at January 1, 2017</w:t>
            </w:r>
          </w:p>
        </w:tc>
        <w:tc>
          <w:tcPr>
            <w:tcW w:w="6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281,403</w:t>
            </w:r>
          </w:p>
        </w:tc>
        <w:tc>
          <w:tcPr>
            <w:tcW w:w="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50,346</w:t>
            </w:r>
          </w:p>
        </w:tc>
        <w:tc>
          <w:tcPr>
            <w:tcW w:w="1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1,827,588</w:t>
            </w:r>
          </w:p>
        </w:tc>
        <w:tc>
          <w:tcPr>
            <w:tcW w:w="1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2,159,337</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Adjustments to purchase price allocations</w:t>
            </w:r>
          </w:p>
        </w:tc>
        <w:tc>
          <w:tcPr>
            <w:tcW w:w="6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723</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Balance at June 30, 2017</w:t>
            </w:r>
          </w:p>
        </w:tc>
        <w:tc>
          <w:tcPr>
            <w:tcW w:w="6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281,403</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50,346</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1,828,311</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2,160,060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40" w:type="dxa"/>
            <w:vAlign w:val="bottom"/>
            <w:gridSpan w:val="19"/>
          </w:tcPr>
          <w:p>
            <w:pPr>
              <w:ind w:left="220"/>
              <w:spacing w:after="0"/>
              <w:rPr>
                <w:sz w:val="20"/>
                <w:szCs w:val="20"/>
                <w:color w:val="auto"/>
              </w:rPr>
            </w:pPr>
            <w:r>
              <w:rPr>
                <w:rFonts w:ascii="Arial" w:cs="Arial" w:eastAsia="Arial" w:hAnsi="Arial"/>
                <w:sz w:val="20"/>
                <w:szCs w:val="20"/>
                <w:color w:val="auto"/>
                <w:w w:val="88"/>
              </w:rPr>
              <w:t>The prior-year information has been reclassified to conform to the presentation of the Company’s current reportable segments.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60" w:type="dxa"/>
            <w:vAlign w:val="bottom"/>
            <w:gridSpan w:val="2"/>
          </w:tcPr>
          <w:p>
            <w:pPr>
              <w:spacing w:after="0"/>
              <w:rPr>
                <w:sz w:val="20"/>
                <w:szCs w:val="20"/>
                <w:color w:val="auto"/>
              </w:rPr>
            </w:pPr>
            <w:r>
              <w:rPr>
                <w:rFonts w:ascii="Arial" w:cs="Arial" w:eastAsia="Arial" w:hAnsi="Arial"/>
                <w:sz w:val="20"/>
                <w:szCs w:val="20"/>
                <w:b w:val="1"/>
                <w:bCs w:val="1"/>
                <w:color w:val="auto"/>
                <w:w w:val="83"/>
              </w:rPr>
              <w:t>3.</w:t>
            </w:r>
          </w:p>
        </w:tc>
        <w:tc>
          <w:tcPr>
            <w:tcW w:w="4720" w:type="dxa"/>
            <w:vAlign w:val="bottom"/>
          </w:tcPr>
          <w:p>
            <w:pPr>
              <w:ind w:left="220"/>
              <w:spacing w:after="0"/>
              <w:rPr>
                <w:sz w:val="20"/>
                <w:szCs w:val="20"/>
                <w:color w:val="auto"/>
              </w:rPr>
            </w:pPr>
            <w:r>
              <w:rPr>
                <w:rFonts w:ascii="Arial" w:cs="Arial" w:eastAsia="Arial" w:hAnsi="Arial"/>
                <w:sz w:val="20"/>
                <w:szCs w:val="20"/>
                <w:b w:val="1"/>
                <w:bCs w:val="1"/>
                <w:color w:val="auto"/>
              </w:rPr>
              <w:t>Inventories, Net</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402"/>
              <w:spacing w:after="0"/>
              <w:rPr>
                <w:sz w:val="20"/>
                <w:szCs w:val="20"/>
                <w:color w:val="auto"/>
              </w:rPr>
            </w:pPr>
            <w:r>
              <w:rPr>
                <w:rFonts w:ascii="Arial" w:cs="Arial" w:eastAsia="Arial" w:hAnsi="Arial"/>
                <w:sz w:val="20"/>
                <w:szCs w:val="20"/>
                <w:color w:val="auto"/>
                <w:w w:val="96"/>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5"/>
          </w:tcPr>
          <w:p>
            <w:pPr>
              <w:jc w:val="center"/>
              <w:ind w:right="360"/>
              <w:spacing w:after="0"/>
              <w:rPr>
                <w:sz w:val="20"/>
                <w:szCs w:val="20"/>
                <w:color w:val="auto"/>
              </w:rPr>
            </w:pPr>
            <w:r>
              <w:rPr>
                <w:rFonts w:ascii="Arial" w:cs="Arial" w:eastAsia="Arial" w:hAnsi="Arial"/>
                <w:sz w:val="20"/>
                <w:szCs w:val="20"/>
                <w:color w:val="auto"/>
                <w:w w:val="87"/>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20"/>
                <w:szCs w:val="20"/>
                <w:color w:val="auto"/>
              </w:rPr>
              <w:t>June 30,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color w:val="auto"/>
                <w:w w:val="89"/>
              </w:rPr>
              <w:t>2017</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282"/>
              <w:spacing w:after="0"/>
              <w:rPr>
                <w:sz w:val="20"/>
                <w:szCs w:val="20"/>
                <w:color w:val="auto"/>
              </w:rPr>
            </w:pPr>
            <w:r>
              <w:rPr>
                <w:rFonts w:ascii="Arial" w:cs="Arial" w:eastAsia="Arial" w:hAnsi="Arial"/>
                <w:sz w:val="20"/>
                <w:szCs w:val="20"/>
                <w:color w:val="auto"/>
                <w:w w:val="89"/>
              </w:rPr>
              <w:t>2016</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60" w:type="dxa"/>
            <w:vAlign w:val="bottom"/>
            <w:gridSpan w:val="8"/>
          </w:tcPr>
          <w:p>
            <w:pPr>
              <w:jc w:val="center"/>
              <w:spacing w:after="0"/>
              <w:rPr>
                <w:sz w:val="20"/>
                <w:szCs w:val="20"/>
                <w:color w:val="auto"/>
              </w:rPr>
            </w:pPr>
            <w:r>
              <w:rPr>
                <w:rFonts w:ascii="Arial" w:cs="Arial" w:eastAsia="Arial" w:hAnsi="Arial"/>
                <w:sz w:val="20"/>
                <w:szCs w:val="20"/>
                <w:i w:val="1"/>
                <w:iCs w:val="1"/>
                <w:color w:val="auto"/>
                <w:w w:val="90"/>
              </w:rPr>
              <w:t>(Dollars in Thousands)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4"/>
              <w:spacing w:after="0"/>
              <w:rPr>
                <w:sz w:val="20"/>
                <w:szCs w:val="20"/>
                <w:color w:val="auto"/>
              </w:rPr>
            </w:pPr>
            <w:r>
              <w:rPr>
                <w:rFonts w:ascii="Arial" w:cs="Arial" w:eastAsia="Arial" w:hAnsi="Arial"/>
                <w:sz w:val="20"/>
                <w:szCs w:val="20"/>
                <w:color w:val="auto"/>
                <w:w w:val="71"/>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508,144</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center"/>
              <w:ind w:left="2"/>
              <w:spacing w:after="0"/>
              <w:rPr>
                <w:sz w:val="20"/>
                <w:szCs w:val="20"/>
                <w:color w:val="auto"/>
              </w:rPr>
            </w:pPr>
            <w:r>
              <w:rPr>
                <w:rFonts w:ascii="Arial" w:cs="Arial" w:eastAsia="Arial" w:hAnsi="Arial"/>
                <w:sz w:val="20"/>
                <w:szCs w:val="20"/>
                <w:color w:val="auto"/>
                <w:w w:val="89"/>
              </w:rPr>
              <w:t>$</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479,291</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ind w:right="142"/>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463,807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20"/>
                <w:szCs w:val="20"/>
                <w:color w:val="auto"/>
              </w:rPr>
              <w:t>Products in process and raw materials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59,410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61,171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60,324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Supplies and expendable parts</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120,594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116,024</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113,110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688,148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656,486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637,241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Less: Allowances</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
              <w:spacing w:after="0"/>
              <w:rPr>
                <w:sz w:val="20"/>
                <w:szCs w:val="20"/>
                <w:color w:val="auto"/>
              </w:rPr>
            </w:pPr>
            <w:r>
              <w:rPr>
                <w:rFonts w:ascii="Arial" w:cs="Arial" w:eastAsia="Arial" w:hAnsi="Arial"/>
                <w:sz w:val="20"/>
                <w:szCs w:val="20"/>
                <w:color w:val="auto"/>
              </w:rPr>
              <w:t>(138,283)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(134,862)</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(132,364)</w:t>
            </w:r>
          </w:p>
        </w:tc>
        <w:tc>
          <w:tcPr>
            <w:tcW w:w="0" w:type="dxa"/>
            <w:vAlign w:val="bottom"/>
          </w:tcPr>
          <w:p>
            <w:pPr>
              <w:spacing w:after="0"/>
              <w:rPr>
                <w:sz w:val="1"/>
                <w:szCs w:val="1"/>
                <w:color w:val="auto"/>
              </w:rPr>
            </w:pPr>
          </w:p>
        </w:tc>
      </w:tr>
      <w:tr>
        <w:trPr>
          <w:trHeight w:val="234"/>
        </w:trPr>
        <w:tc>
          <w:tcPr>
            <w:tcW w:w="4880" w:type="dxa"/>
            <w:vAlign w:val="bottom"/>
            <w:gridSpan w:val="3"/>
          </w:tcPr>
          <w:p>
            <w:pPr>
              <w:spacing w:after="0"/>
              <w:rPr>
                <w:sz w:val="20"/>
                <w:szCs w:val="20"/>
                <w:color w:val="auto"/>
              </w:rPr>
            </w:pPr>
            <w:r>
              <w:rPr>
                <w:rFonts w:ascii="Arial" w:cs="Arial" w:eastAsia="Arial" w:hAnsi="Arial"/>
                <w:sz w:val="20"/>
                <w:szCs w:val="20"/>
                <w:color w:val="auto"/>
              </w:rPr>
              <w:t>Total</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549,865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521,624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gridSpan w:val="2"/>
          </w:tcPr>
          <w:p>
            <w:pPr>
              <w:jc w:val="right"/>
              <w:ind w:right="142"/>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504,877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hanging="373"/>
        <w:spacing w:after="0"/>
        <w:tabs>
          <w:tab w:leader="none" w:pos="3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20"/>
                <w:szCs w:val="20"/>
                <w:color w:val="auto"/>
              </w:rPr>
              <w:t>June 30,</w:t>
            </w:r>
          </w:p>
        </w:tc>
        <w:tc>
          <w:tcPr>
            <w:tcW w:w="10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20"/>
                <w:szCs w:val="20"/>
                <w:color w:val="auto"/>
                <w:w w:val="85"/>
              </w:rPr>
              <w:t>December 31,</w:t>
            </w:r>
          </w:p>
        </w:tc>
        <w:tc>
          <w:tcPr>
            <w:tcW w:w="18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20"/>
                <w:szCs w:val="20"/>
                <w:color w:val="auto"/>
                <w:w w:val="96"/>
              </w:rPr>
              <w:t>June 30,</w:t>
            </w:r>
          </w:p>
        </w:tc>
      </w:tr>
      <w:tr>
        <w:trPr>
          <w:trHeight w:val="244"/>
        </w:trPr>
        <w:tc>
          <w:tcPr>
            <w:tcW w:w="68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color w:val="auto"/>
              </w:rPr>
              <w:t>2016</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2016</w:t>
            </w:r>
          </w:p>
        </w:tc>
        <w:tc>
          <w:tcPr>
            <w:tcW w:w="120" w:type="dxa"/>
            <w:vAlign w:val="bottom"/>
          </w:tcPr>
          <w:p>
            <w:pPr>
              <w:spacing w:after="0"/>
              <w:rPr>
                <w:sz w:val="21"/>
                <w:szCs w:val="21"/>
                <w:color w:val="auto"/>
              </w:rPr>
            </w:pPr>
          </w:p>
        </w:tc>
      </w:tr>
      <w:tr>
        <w:trPr>
          <w:trHeight w:val="234"/>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5"/>
          </w:tcPr>
          <w:p>
            <w:pPr>
              <w:jc w:val="right"/>
              <w:ind w:right="100"/>
              <w:spacing w:after="0"/>
              <w:rPr>
                <w:sz w:val="20"/>
                <w:szCs w:val="20"/>
                <w:color w:val="auto"/>
              </w:rPr>
            </w:pPr>
            <w:r>
              <w:rPr>
                <w:rFonts w:ascii="Arial" w:cs="Arial" w:eastAsia="Arial" w:hAnsi="Arial"/>
                <w:sz w:val="20"/>
                <w:szCs w:val="20"/>
                <w:i w:val="1"/>
                <w:iCs w:val="1"/>
                <w:color w:val="auto"/>
              </w:rPr>
              <w:t>(Dollars in Thousands)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6800" w:type="dxa"/>
            <w:vAlign w:val="bottom"/>
            <w:shd w:val="clear" w:color="auto" w:fill="CFF0FC"/>
          </w:tcPr>
          <w:p>
            <w:pPr>
              <w:spacing w:after="0"/>
              <w:rPr>
                <w:sz w:val="20"/>
                <w:szCs w:val="20"/>
                <w:color w:val="auto"/>
              </w:rPr>
            </w:pPr>
            <w:r>
              <w:rPr>
                <w:rFonts w:ascii="Arial" w:cs="Arial" w:eastAsia="Arial" w:hAnsi="Arial"/>
                <w:sz w:val="20"/>
                <w:szCs w:val="20"/>
                <w:color w:val="auto"/>
              </w:rPr>
              <w:t>6.6% Senior Notes, due 2018</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299,676</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299,483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299,294</w:t>
            </w:r>
          </w:p>
        </w:tc>
        <w:tc>
          <w:tcPr>
            <w:tcW w:w="120" w:type="dxa"/>
            <w:vAlign w:val="bottom"/>
            <w:shd w:val="clear" w:color="auto" w:fill="CFF0FC"/>
          </w:tcPr>
          <w:p>
            <w:pPr>
              <w:spacing w:after="0"/>
              <w:rPr>
                <w:sz w:val="20"/>
                <w:szCs w:val="20"/>
                <w:color w:val="auto"/>
              </w:rPr>
            </w:pPr>
          </w:p>
        </w:tc>
      </w:tr>
      <w:tr>
        <w:trPr>
          <w:trHeight w:val="241"/>
        </w:trPr>
        <w:tc>
          <w:tcPr>
            <w:tcW w:w="6800" w:type="dxa"/>
            <w:vAlign w:val="bottom"/>
          </w:tcPr>
          <w:p>
            <w:pPr>
              <w:spacing w:after="0"/>
              <w:rPr>
                <w:sz w:val="20"/>
                <w:szCs w:val="20"/>
                <w:color w:val="auto"/>
              </w:rPr>
            </w:pPr>
            <w:r>
              <w:rPr>
                <w:rFonts w:ascii="Arial" w:cs="Arial" w:eastAsia="Arial" w:hAnsi="Arial"/>
                <w:sz w:val="20"/>
                <w:szCs w:val="20"/>
                <w:color w:val="auto"/>
              </w:rPr>
              <w:t>7% Debentures, due 2025</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124,134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124,090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124,046</w:t>
            </w:r>
          </w:p>
        </w:tc>
        <w:tc>
          <w:tcPr>
            <w:tcW w:w="120" w:type="dxa"/>
            <w:vAlign w:val="bottom"/>
          </w:tcPr>
          <w:p>
            <w:pPr>
              <w:spacing w:after="0"/>
              <w:rPr>
                <w:sz w:val="20"/>
                <w:szCs w:val="20"/>
                <w:color w:val="auto"/>
              </w:rPr>
            </w:pPr>
          </w:p>
        </w:tc>
      </w:tr>
      <w:tr>
        <w:trPr>
          <w:trHeight w:val="241"/>
        </w:trPr>
        <w:tc>
          <w:tcPr>
            <w:tcW w:w="6800" w:type="dxa"/>
            <w:vAlign w:val="bottom"/>
            <w:shd w:val="clear" w:color="auto" w:fill="CFF0FC"/>
          </w:tcPr>
          <w:p>
            <w:pPr>
              <w:spacing w:after="0"/>
              <w:rPr>
                <w:sz w:val="20"/>
                <w:szCs w:val="20"/>
                <w:color w:val="auto"/>
              </w:rPr>
            </w:pPr>
            <w:r>
              <w:rPr>
                <w:rFonts w:ascii="Arial" w:cs="Arial" w:eastAsia="Arial" w:hAnsi="Arial"/>
                <w:sz w:val="20"/>
                <w:szCs w:val="20"/>
                <w:color w:val="auto"/>
              </w:rPr>
              <w:t>6.25% Senior Notes, due 2037</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228,003</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227,975</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227,947</w:t>
            </w:r>
          </w:p>
        </w:tc>
        <w:tc>
          <w:tcPr>
            <w:tcW w:w="120" w:type="dxa"/>
            <w:vAlign w:val="bottom"/>
            <w:shd w:val="clear" w:color="auto" w:fill="CFF0FC"/>
          </w:tcPr>
          <w:p>
            <w:pPr>
              <w:spacing w:after="0"/>
              <w:rPr>
                <w:sz w:val="20"/>
                <w:szCs w:val="20"/>
                <w:color w:val="auto"/>
              </w:rPr>
            </w:pPr>
          </w:p>
        </w:tc>
      </w:tr>
      <w:tr>
        <w:trPr>
          <w:trHeight w:val="241"/>
        </w:trPr>
        <w:tc>
          <w:tcPr>
            <w:tcW w:w="6800" w:type="dxa"/>
            <w:vAlign w:val="bottom"/>
          </w:tcPr>
          <w:p>
            <w:pPr>
              <w:spacing w:after="0"/>
              <w:rPr>
                <w:sz w:val="20"/>
                <w:szCs w:val="20"/>
                <w:color w:val="auto"/>
              </w:rPr>
            </w:pPr>
            <w:r>
              <w:rPr>
                <w:rFonts w:ascii="Arial" w:cs="Arial" w:eastAsia="Arial" w:hAnsi="Arial"/>
                <w:sz w:val="20"/>
                <w:szCs w:val="20"/>
                <w:color w:val="auto"/>
              </w:rPr>
              <w:t>4.25% Senior Notes, due 2024</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395,532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395,252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394,977</w:t>
            </w:r>
          </w:p>
        </w:tc>
        <w:tc>
          <w:tcPr>
            <w:tcW w:w="120" w:type="dxa"/>
            <w:vAlign w:val="bottom"/>
          </w:tcPr>
          <w:p>
            <w:pPr>
              <w:spacing w:after="0"/>
              <w:rPr>
                <w:sz w:val="20"/>
                <w:szCs w:val="20"/>
                <w:color w:val="auto"/>
              </w:rPr>
            </w:pPr>
          </w:p>
        </w:tc>
      </w:tr>
      <w:tr>
        <w:trPr>
          <w:trHeight w:val="241"/>
        </w:trPr>
        <w:tc>
          <w:tcPr>
            <w:tcW w:w="6800" w:type="dxa"/>
            <w:vAlign w:val="bottom"/>
            <w:shd w:val="clear" w:color="auto" w:fill="CFF0FC"/>
          </w:tcPr>
          <w:p>
            <w:pPr>
              <w:spacing w:after="0"/>
              <w:rPr>
                <w:sz w:val="20"/>
                <w:szCs w:val="20"/>
                <w:color w:val="auto"/>
              </w:rPr>
            </w:pPr>
            <w:r>
              <w:rPr>
                <w:rFonts w:ascii="Arial" w:cs="Arial" w:eastAsia="Arial" w:hAnsi="Arial"/>
                <w:sz w:val="20"/>
                <w:szCs w:val="20"/>
                <w:color w:val="auto"/>
              </w:rPr>
              <w:t>3.45% Senior Notes, due 2027</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296,456</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24"/>
        </w:trPr>
        <w:tc>
          <w:tcPr>
            <w:tcW w:w="6800" w:type="dxa"/>
            <w:vAlign w:val="bottom"/>
          </w:tcPr>
          <w:p>
            <w:pPr>
              <w:spacing w:after="0" w:line="224" w:lineRule="exact"/>
              <w:rPr>
                <w:sz w:val="20"/>
                <w:szCs w:val="20"/>
                <w:color w:val="auto"/>
              </w:rPr>
            </w:pPr>
            <w:r>
              <w:rPr>
                <w:rFonts w:ascii="Arial" w:cs="Arial" w:eastAsia="Arial" w:hAnsi="Arial"/>
                <w:sz w:val="20"/>
                <w:szCs w:val="20"/>
                <w:color w:val="auto"/>
              </w:rPr>
              <w:t>Floating Rate Notes, due 2020, interest rate of 1.82% at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4"/>
        </w:trPr>
        <w:tc>
          <w:tcPr>
            <w:tcW w:w="6800" w:type="dxa"/>
            <w:vAlign w:val="bottom"/>
          </w:tcPr>
          <w:p>
            <w:pPr>
              <w:ind w:left="160"/>
              <w:spacing w:after="0"/>
              <w:rPr>
                <w:sz w:val="20"/>
                <w:szCs w:val="20"/>
                <w:color w:val="auto"/>
              </w:rPr>
            </w:pPr>
            <w:r>
              <w:rPr>
                <w:rFonts w:ascii="Arial" w:cs="Arial" w:eastAsia="Arial" w:hAnsi="Arial"/>
                <w:sz w:val="20"/>
                <w:szCs w:val="20"/>
                <w:color w:val="auto"/>
              </w:rPr>
              <w:t>June 30, 2017</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297,847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24"/>
        </w:trPr>
        <w:tc>
          <w:tcPr>
            <w:tcW w:w="680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Floating Rate Notes, due 2017, interest rate of 2.10% and 1.73% at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4"/>
        </w:trPr>
        <w:tc>
          <w:tcPr>
            <w:tcW w:w="68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December 31, 2016 and June 30, 2016, respectively</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299,033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298,793</w:t>
            </w:r>
          </w:p>
        </w:tc>
        <w:tc>
          <w:tcPr>
            <w:tcW w:w="120" w:type="dxa"/>
            <w:vAlign w:val="bottom"/>
            <w:shd w:val="clear" w:color="auto" w:fill="CFF0FC"/>
          </w:tcPr>
          <w:p>
            <w:pPr>
              <w:spacing w:after="0"/>
              <w:rPr>
                <w:sz w:val="21"/>
                <w:szCs w:val="21"/>
                <w:color w:val="auto"/>
              </w:rPr>
            </w:pPr>
          </w:p>
        </w:tc>
      </w:tr>
      <w:tr>
        <w:trPr>
          <w:trHeight w:val="241"/>
        </w:trPr>
        <w:tc>
          <w:tcPr>
            <w:tcW w:w="6800" w:type="dxa"/>
            <w:vAlign w:val="bottom"/>
          </w:tcPr>
          <w:p>
            <w:pPr>
              <w:spacing w:after="0"/>
              <w:rPr>
                <w:sz w:val="20"/>
                <w:szCs w:val="20"/>
                <w:color w:val="auto"/>
              </w:rPr>
            </w:pPr>
            <w:r>
              <w:rPr>
                <w:rFonts w:ascii="Arial" w:cs="Arial" w:eastAsia="Arial" w:hAnsi="Arial"/>
                <w:sz w:val="20"/>
                <w:szCs w:val="20"/>
                <w:color w:val="auto"/>
              </w:rPr>
              <w:t>Term Loan Facility, due 2018, interest rate of 1.96% at June 30, 2016</w:t>
            </w:r>
          </w:p>
        </w:tc>
        <w:tc>
          <w:tcPr>
            <w:tcW w:w="22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213,571</w:t>
            </w:r>
          </w:p>
        </w:tc>
        <w:tc>
          <w:tcPr>
            <w:tcW w:w="120" w:type="dxa"/>
            <w:vAlign w:val="bottom"/>
          </w:tcPr>
          <w:p>
            <w:pPr>
              <w:spacing w:after="0"/>
              <w:rPr>
                <w:sz w:val="20"/>
                <w:szCs w:val="20"/>
                <w:color w:val="auto"/>
              </w:rPr>
            </w:pPr>
          </w:p>
        </w:tc>
      </w:tr>
      <w:tr>
        <w:trPr>
          <w:trHeight w:val="224"/>
        </w:trPr>
        <w:tc>
          <w:tcPr>
            <w:tcW w:w="680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Revolving Facility, due 2021, interest rate of 1.86%</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4"/>
        </w:trPr>
        <w:tc>
          <w:tcPr>
            <w:tcW w:w="68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at December 31, 2016</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160,000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24"/>
        </w:trPr>
        <w:tc>
          <w:tcPr>
            <w:tcW w:w="6800" w:type="dxa"/>
            <w:vAlign w:val="bottom"/>
          </w:tcPr>
          <w:p>
            <w:pPr>
              <w:spacing w:after="0" w:line="224" w:lineRule="exact"/>
              <w:rPr>
                <w:sz w:val="20"/>
                <w:szCs w:val="20"/>
                <w:color w:val="auto"/>
              </w:rPr>
            </w:pPr>
            <w:r>
              <w:rPr>
                <w:rFonts w:ascii="Arial" w:cs="Arial" w:eastAsia="Arial" w:hAnsi="Arial"/>
                <w:sz w:val="20"/>
                <w:szCs w:val="20"/>
                <w:color w:val="auto"/>
              </w:rPr>
              <w:t>Trade Receivable Facility, interest rate of 1.78%, 1.34% and 1.16% at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800" w:type="dxa"/>
            <w:vAlign w:val="bottom"/>
          </w:tcPr>
          <w:p>
            <w:pPr>
              <w:ind w:left="160"/>
              <w:spacing w:after="0" w:line="228" w:lineRule="exact"/>
              <w:rPr>
                <w:sz w:val="20"/>
                <w:szCs w:val="20"/>
                <w:color w:val="auto"/>
              </w:rPr>
            </w:pPr>
            <w:r>
              <w:rPr>
                <w:rFonts w:ascii="Arial" w:cs="Arial" w:eastAsia="Arial" w:hAnsi="Arial"/>
                <w:sz w:val="20"/>
                <w:szCs w:val="20"/>
                <w:color w:val="auto"/>
              </w:rPr>
              <w:t>June 30, 2017, December 31, 2016 and June 30, 2016,</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4"/>
        </w:trPr>
        <w:tc>
          <w:tcPr>
            <w:tcW w:w="6800" w:type="dxa"/>
            <w:vAlign w:val="bottom"/>
          </w:tcPr>
          <w:p>
            <w:pPr>
              <w:ind w:left="160"/>
              <w:spacing w:after="0"/>
              <w:rPr>
                <w:sz w:val="20"/>
                <w:szCs w:val="20"/>
                <w:color w:val="auto"/>
              </w:rPr>
            </w:pPr>
            <w:r>
              <w:rPr>
                <w:rFonts w:ascii="Arial" w:cs="Arial" w:eastAsia="Arial" w:hAnsi="Arial"/>
                <w:sz w:val="20"/>
                <w:szCs w:val="20"/>
                <w:color w:val="auto"/>
              </w:rPr>
              <w:t>respectively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140,000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180,000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220,000</w:t>
            </w:r>
          </w:p>
        </w:tc>
        <w:tc>
          <w:tcPr>
            <w:tcW w:w="120" w:type="dxa"/>
            <w:vAlign w:val="bottom"/>
          </w:tcPr>
          <w:p>
            <w:pPr>
              <w:spacing w:after="0"/>
              <w:rPr>
                <w:sz w:val="21"/>
                <w:szCs w:val="21"/>
                <w:color w:val="auto"/>
              </w:rPr>
            </w:pPr>
          </w:p>
        </w:tc>
      </w:tr>
      <w:tr>
        <w:trPr>
          <w:trHeight w:val="241"/>
        </w:trPr>
        <w:tc>
          <w:tcPr>
            <w:tcW w:w="6800" w:type="dxa"/>
            <w:vAlign w:val="bottom"/>
            <w:shd w:val="clear" w:color="auto" w:fill="CFF0FC"/>
          </w:tcPr>
          <w:p>
            <w:pPr>
              <w:spacing w:after="0"/>
              <w:rPr>
                <w:sz w:val="20"/>
                <w:szCs w:val="20"/>
                <w:color w:val="auto"/>
              </w:rPr>
            </w:pPr>
            <w:r>
              <w:rPr>
                <w:rFonts w:ascii="Arial" w:cs="Arial" w:eastAsia="Arial" w:hAnsi="Arial"/>
                <w:sz w:val="20"/>
                <w:szCs w:val="20"/>
                <w:color w:val="auto"/>
              </w:rPr>
              <w:t>Other notes</w:t>
            </w:r>
          </w:p>
        </w:tc>
        <w:tc>
          <w:tcPr>
            <w:tcW w:w="2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333</w:t>
            </w:r>
          </w:p>
        </w:tc>
        <w:tc>
          <w:tcPr>
            <w:tcW w:w="2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356</w:t>
            </w:r>
          </w:p>
        </w:tc>
        <w:tc>
          <w:tcPr>
            <w:tcW w:w="2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589</w:t>
            </w:r>
          </w:p>
        </w:tc>
        <w:tc>
          <w:tcPr>
            <w:tcW w:w="120" w:type="dxa"/>
            <w:vAlign w:val="bottom"/>
            <w:shd w:val="clear" w:color="auto" w:fill="CFF0FC"/>
          </w:tcPr>
          <w:p>
            <w:pPr>
              <w:spacing w:after="0"/>
              <w:rPr>
                <w:sz w:val="20"/>
                <w:szCs w:val="20"/>
                <w:color w:val="auto"/>
              </w:rPr>
            </w:pPr>
          </w:p>
        </w:tc>
      </w:tr>
      <w:tr>
        <w:trPr>
          <w:trHeight w:val="234"/>
        </w:trPr>
        <w:tc>
          <w:tcPr>
            <w:tcW w:w="6800" w:type="dxa"/>
            <w:vAlign w:val="bottom"/>
          </w:tcPr>
          <w:p>
            <w:pPr>
              <w:spacing w:after="0"/>
              <w:rPr>
                <w:sz w:val="20"/>
                <w:szCs w:val="20"/>
                <w:color w:val="auto"/>
              </w:rPr>
            </w:pPr>
            <w:r>
              <w:rPr>
                <w:rFonts w:ascii="Arial" w:cs="Arial" w:eastAsia="Arial" w:hAnsi="Arial"/>
                <w:sz w:val="20"/>
                <w:szCs w:val="20"/>
                <w:color w:val="auto"/>
              </w:rPr>
              <w:t>Total debt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1,781,981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1,686,189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1,779,217</w:t>
            </w:r>
          </w:p>
        </w:tc>
        <w:tc>
          <w:tcPr>
            <w:tcW w:w="120" w:type="dxa"/>
            <w:vAlign w:val="bottom"/>
          </w:tcPr>
          <w:p>
            <w:pPr>
              <w:spacing w:after="0"/>
              <w:rPr>
                <w:sz w:val="20"/>
                <w:szCs w:val="20"/>
                <w:color w:val="auto"/>
              </w:rPr>
            </w:pPr>
          </w:p>
        </w:tc>
      </w:tr>
      <w:tr>
        <w:trPr>
          <w:trHeight w:val="241"/>
        </w:trPr>
        <w:tc>
          <w:tcPr>
            <w:tcW w:w="6800" w:type="dxa"/>
            <w:vAlign w:val="bottom"/>
            <w:shd w:val="clear" w:color="auto" w:fill="CFF0FC"/>
          </w:tcPr>
          <w:p>
            <w:pPr>
              <w:spacing w:after="0"/>
              <w:rPr>
                <w:sz w:val="20"/>
                <w:szCs w:val="20"/>
                <w:color w:val="auto"/>
              </w:rPr>
            </w:pPr>
            <w:r>
              <w:rPr>
                <w:rFonts w:ascii="Arial" w:cs="Arial" w:eastAsia="Arial" w:hAnsi="Arial"/>
                <w:sz w:val="20"/>
                <w:szCs w:val="20"/>
                <w:color w:val="auto"/>
              </w:rPr>
              <w:t>Less: Current maturities of long-term debt and short-term facilities</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(140,037)</w:t>
            </w:r>
          </w:p>
        </w:tc>
        <w:tc>
          <w:tcPr>
            <w:tcW w:w="1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(180,036)</w:t>
            </w: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(238,155)</w:t>
            </w:r>
          </w:p>
        </w:tc>
      </w:tr>
      <w:tr>
        <w:trPr>
          <w:trHeight w:val="234"/>
        </w:trPr>
        <w:tc>
          <w:tcPr>
            <w:tcW w:w="6800" w:type="dxa"/>
            <w:vAlign w:val="bottom"/>
          </w:tcPr>
          <w:p>
            <w:pPr>
              <w:spacing w:after="0"/>
              <w:rPr>
                <w:sz w:val="20"/>
                <w:szCs w:val="20"/>
                <w:color w:val="auto"/>
              </w:rPr>
            </w:pPr>
            <w:r>
              <w:rPr>
                <w:rFonts w:ascii="Arial" w:cs="Arial" w:eastAsia="Arial" w:hAnsi="Arial"/>
                <w:sz w:val="20"/>
                <w:szCs w:val="20"/>
                <w:color w:val="auto"/>
              </w:rPr>
              <w:t>Long-term debt</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1,641,944</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1,506,153</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1,541,062</w:t>
            </w:r>
          </w:p>
        </w:tc>
        <w:tc>
          <w:tcPr>
            <w:tcW w:w="120" w:type="dxa"/>
            <w:vAlign w:val="bottom"/>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left="380"/>
        <w:spacing w:after="0" w:line="253" w:lineRule="auto"/>
        <w:rPr>
          <w:sz w:val="20"/>
          <w:szCs w:val="20"/>
          <w:color w:val="auto"/>
        </w:rPr>
      </w:pPr>
      <w:r>
        <w:rPr>
          <w:rFonts w:ascii="Arial" w:cs="Arial" w:eastAsia="Arial" w:hAnsi="Arial"/>
          <w:sz w:val="19"/>
          <w:szCs w:val="19"/>
          <w:color w:val="auto"/>
        </w:rPr>
        <w:t>On May 22, 2017, the Company issued $300,000,000 aggregate principal amount of Floating Rate Senior Notes due in 2020 (the Floating Rate Notes) and $300,000,000 principal amount of 3.450% Senior Notes due in 2027 (the 3.450% Senior Notes, and together with the Floating Rate Notes, the Senior Notes). The Senior Notes are senior unsecured obligations of the Company. The 3.450% Senior Notes may be redeemed in whole or in part prior to March 1, 2027 at a make-whole redemption price, or on or after March 1, 2027 at a redemption price equal to 100% of the principal amount of the notes to be redeemed, in either case plus unpaid interest, if any, accrued thereon to, but excluding, the date of redemption. The Floating Rate Notes may not be redeemed prior to their stated maturity date of May 22, 2020. The Floating Rate Notes bear interest at a rate, reset quarterly, equal to the three-month LIBOR for U.S. dollars plus 0.65% (or 65 basis points). If a change of control repurchase event, as defined, occurs, the Company will be required to make an irrevocable offer to repurchase all or, at the election of each holder, any part of the Senior Notes at a repurchase price equal to 101% of their principal amount, plus unpaid interest, if any, accrued thereon to, but excluding, the date of repurchase, unless, in the case of the 3.450% Senior Notes, the Company has exercised its right to redeem such notes in full.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hanging="373"/>
        <w:spacing w:after="0"/>
        <w:tabs>
          <w:tab w:leader="none" w:pos="3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 (continued)</w:t>
      </w:r>
    </w:p>
    <w:p>
      <w:pPr>
        <w:spacing w:after="0" w:line="110" w:lineRule="exact"/>
        <w:rPr>
          <w:rFonts w:ascii="Arial" w:cs="Arial" w:eastAsia="Arial" w:hAnsi="Arial"/>
          <w:sz w:val="20"/>
          <w:szCs w:val="20"/>
          <w:b w:val="1"/>
          <w:bCs w:val="1"/>
          <w:color w:val="auto"/>
        </w:rPr>
      </w:pPr>
    </w:p>
    <w:p>
      <w:pPr>
        <w:jc w:val="both"/>
        <w:ind w:left="380"/>
        <w:spacing w:after="0" w:line="286" w:lineRule="auto"/>
        <w:rPr>
          <w:rFonts w:ascii="Arial" w:cs="Arial" w:eastAsia="Arial" w:hAnsi="Arial"/>
          <w:sz w:val="20"/>
          <w:szCs w:val="20"/>
          <w:b w:val="1"/>
          <w:bCs w:val="1"/>
          <w:color w:val="auto"/>
        </w:rPr>
      </w:pPr>
      <w:r>
        <w:rPr>
          <w:rFonts w:ascii="Arial" w:cs="Arial" w:eastAsia="Arial" w:hAnsi="Arial"/>
          <w:sz w:val="17"/>
          <w:szCs w:val="17"/>
          <w:color w:val="auto"/>
        </w:rPr>
        <w:t>The Company, through a wholly-owned special-purpose subsidiary, has a $300,000,000 trade receivable securitization facility (the Trade Receivable Facility), which matures on September 27, 2017. Management intends to renew the Trade Receivable Facility beyond September 27, 2017. The Trade Receivable Facility, with SunTrust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of $422,624,000, $333,302,000 and $391,600,000 at June 30, 2017, December 31, 2016 and June 30, 2016, respectively. These receivables are originated by the Company and then sold to the wholly-owned special-purpose subsidiary by the Company. The Company continues to be responsible for the servicing and administration of the receivables purchased by the wholly-owned special-purpose subsidiary. Borrowings under the Trade Receivable Facility bear interest at a rate equal to one-month LIBOR plus 0.725%, subject to change in the event that this rate no longer reflects the lender’s cost of lending. The Trade Receivable Facility contains a cross-default provision to the Company’s other debt agreements.</w:t>
      </w:r>
    </w:p>
    <w:p>
      <w:pPr>
        <w:spacing w:after="0" w:line="52" w:lineRule="exact"/>
        <w:rPr>
          <w:rFonts w:ascii="Arial" w:cs="Arial" w:eastAsia="Arial" w:hAnsi="Arial"/>
          <w:sz w:val="20"/>
          <w:szCs w:val="20"/>
          <w:b w:val="1"/>
          <w:bCs w:val="1"/>
          <w:color w:val="auto"/>
        </w:rPr>
      </w:pPr>
    </w:p>
    <w:p>
      <w:pPr>
        <w:jc w:val="both"/>
        <w:ind w:left="380"/>
        <w:spacing w:after="0" w:line="286" w:lineRule="auto"/>
        <w:rPr>
          <w:rFonts w:ascii="Arial" w:cs="Arial" w:eastAsia="Arial" w:hAnsi="Arial"/>
          <w:sz w:val="20"/>
          <w:szCs w:val="20"/>
          <w:b w:val="1"/>
          <w:bCs w:val="1"/>
          <w:color w:val="auto"/>
        </w:rPr>
      </w:pPr>
      <w:r>
        <w:rPr>
          <w:rFonts w:ascii="Arial" w:cs="Arial" w:eastAsia="Arial" w:hAnsi="Arial"/>
          <w:sz w:val="17"/>
          <w:szCs w:val="17"/>
          <w:color w:val="auto"/>
        </w:rPr>
        <w:t>The Company has a $700,000,000 five-year senior unsecured revolving facility (the Revolving Facility) with JPMorgan Chase Bank, N.A., as Administrative Agent, Branch Banking and Trust Company (BB&amp;T), Deutsche Bank Securities, Inc., SunTrust Bank and Wells Fargo Bank, N.A., as Co-Syndication Agents, and the lenders party thereto. The Revolving Facility requires the Company’s ratio of consolidated debt-to-consolidated earnings before interest, taxes, depreciation, depletion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no amounts are outstanding under both the Revolving Facility and the Trade Receivable Facility, consolidated debt, including debt for which the Company is a co-borrower, may be reduced by the Company’s unrestricted cash and cash equivalents in excess of $50,000,000, such reduction not to exceed $200,000,000, for purposes of the covenant calculation. The Company was in compliance with this Ratio at June 30, 2017.</w:t>
      </w:r>
    </w:p>
    <w:p>
      <w:pPr>
        <w:spacing w:after="0" w:line="52" w:lineRule="exact"/>
        <w:rPr>
          <w:rFonts w:ascii="Arial" w:cs="Arial" w:eastAsia="Arial" w:hAnsi="Arial"/>
          <w:sz w:val="20"/>
          <w:szCs w:val="20"/>
          <w:b w:val="1"/>
          <w:bCs w:val="1"/>
          <w:color w:val="auto"/>
        </w:rPr>
      </w:pPr>
    </w:p>
    <w:p>
      <w:pPr>
        <w:jc w:val="both"/>
        <w:ind w:left="38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Available borrowings under the Revolving Facility are reduced by any outstanding letters of credit issued by the Company under the Revolving Facility. At June 30, 2017, December 31, 2016 and June 30, 2016, the Company had $2,507,000 of outstanding letters of credit issued under the Revolving Facility.</w:t>
      </w:r>
    </w:p>
    <w:p>
      <w:pPr>
        <w:spacing w:after="0" w:line="79" w:lineRule="exact"/>
        <w:rPr>
          <w:rFonts w:ascii="Arial" w:cs="Arial" w:eastAsia="Arial" w:hAnsi="Arial"/>
          <w:sz w:val="20"/>
          <w:szCs w:val="20"/>
          <w:b w:val="1"/>
          <w:bCs w:val="1"/>
          <w:color w:val="auto"/>
        </w:rPr>
      </w:pPr>
    </w:p>
    <w:p>
      <w:pPr>
        <w:jc w:val="both"/>
        <w:ind w:left="38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Current maturities of long-term debt and short-term facilities consist of borrowings under the Trade Receivable Facility as well as the current portions of the other notes. The 6.65% Senior Notes, due 2018, have been classified as a noncurrent liability as the Company has the intent and ability to refinance on a long-term basis before or at its maturity on April 15, 2018.</w:t>
      </w:r>
    </w:p>
    <w:p>
      <w:pPr>
        <w:spacing w:after="0" w:line="79" w:lineRule="exact"/>
        <w:rPr>
          <w:rFonts w:ascii="Arial" w:cs="Arial" w:eastAsia="Arial" w:hAnsi="Arial"/>
          <w:sz w:val="20"/>
          <w:szCs w:val="20"/>
          <w:b w:val="1"/>
          <w:bCs w:val="1"/>
          <w:color w:val="auto"/>
        </w:rPr>
      </w:pPr>
    </w:p>
    <w:p>
      <w:pPr>
        <w:jc w:val="both"/>
        <w:ind w:left="380"/>
        <w:spacing w:after="0" w:line="295" w:lineRule="auto"/>
        <w:rPr>
          <w:rFonts w:ascii="Arial" w:cs="Arial" w:eastAsia="Arial" w:hAnsi="Arial"/>
          <w:sz w:val="20"/>
          <w:szCs w:val="20"/>
          <w:b w:val="1"/>
          <w:bCs w:val="1"/>
          <w:color w:val="auto"/>
        </w:rPr>
      </w:pPr>
      <w:r>
        <w:rPr>
          <w:rFonts w:ascii="Arial" w:cs="Arial" w:eastAsia="Arial" w:hAnsi="Arial"/>
          <w:sz w:val="17"/>
          <w:szCs w:val="17"/>
          <w:color w:val="auto"/>
        </w:rPr>
        <w:t>Accumulated other comprehensive loss includes the unamortized value of terminated forward starting interest rate swap agreements. For the three and six months ended June 30, 2017, the Company recognized $364,000 and $720,000, respectively, as additional interest expense. For the three and six months ended June 30, 2016, the Company recognized $340,000 and $672,000, respectively, as additional interest expense. The ongoing amortization of the terminated value of the forward starting interest rate swap agreements will increase annual interest expense by approximately $1,400,000 until the maturity of the 6.6% Senior Notes in 2018.</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hanging="373"/>
        <w:spacing w:after="0"/>
        <w:tabs>
          <w:tab w:leader="none" w:pos="3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0" w:lineRule="exact"/>
        <w:rPr>
          <w:rFonts w:ascii="Arial" w:cs="Arial" w:eastAsia="Arial" w:hAnsi="Arial"/>
          <w:sz w:val="20"/>
          <w:szCs w:val="20"/>
          <w:b w:val="1"/>
          <w:bCs w:val="1"/>
          <w:color w:val="auto"/>
        </w:rPr>
      </w:pPr>
    </w:p>
    <w:p>
      <w:pPr>
        <w:ind w:left="38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cash equivalents, accounts receivable, notes receivable, bank overdraft, accounts payable, publicly-registered long-term notes, debentures and other long-term debt.</w:t>
      </w:r>
    </w:p>
    <w:p>
      <w:pPr>
        <w:spacing w:after="0" w:line="69" w:lineRule="exact"/>
        <w:rPr>
          <w:rFonts w:ascii="Arial" w:cs="Arial" w:eastAsia="Arial" w:hAnsi="Arial"/>
          <w:sz w:val="20"/>
          <w:szCs w:val="20"/>
          <w:b w:val="1"/>
          <w:bCs w:val="1"/>
          <w:color w:val="auto"/>
        </w:rPr>
      </w:pPr>
    </w:p>
    <w:p>
      <w:pPr>
        <w:jc w:val="both"/>
        <w:ind w:left="38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Cash equivalents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79" w:lineRule="exact"/>
        <w:rPr>
          <w:rFonts w:ascii="Arial" w:cs="Arial" w:eastAsia="Arial" w:hAnsi="Arial"/>
          <w:sz w:val="20"/>
          <w:szCs w:val="20"/>
          <w:b w:val="1"/>
          <w:bCs w:val="1"/>
          <w:color w:val="auto"/>
        </w:rPr>
      </w:pP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 due to the short-term nature of the receivables.</w:t>
      </w:r>
    </w:p>
    <w:p>
      <w:pPr>
        <w:spacing w:after="0" w:line="85" w:lineRule="exact"/>
        <w:rPr>
          <w:rFonts w:ascii="Arial" w:cs="Arial" w:eastAsia="Arial" w:hAnsi="Arial"/>
          <w:sz w:val="20"/>
          <w:szCs w:val="20"/>
          <w:b w:val="1"/>
          <w:bCs w:val="1"/>
          <w:color w:val="auto"/>
        </w:rPr>
      </w:pPr>
    </w:p>
    <w:p>
      <w:pPr>
        <w:ind w:left="38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Notes receivable are not publicly traded. Management estimates that the fair value of notes receivable approximates the carrying amount due to the short-term nature of the receivables.</w:t>
      </w:r>
    </w:p>
    <w:p>
      <w:pPr>
        <w:spacing w:after="0" w:line="69" w:lineRule="exact"/>
        <w:rPr>
          <w:rFonts w:ascii="Arial" w:cs="Arial" w:eastAsia="Arial" w:hAnsi="Arial"/>
          <w:sz w:val="20"/>
          <w:szCs w:val="20"/>
          <w:b w:val="1"/>
          <w:bCs w:val="1"/>
          <w:color w:val="auto"/>
        </w:rPr>
      </w:pPr>
    </w:p>
    <w:p>
      <w:pPr>
        <w:ind w:left="380" w:right="2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The bank overdraft represents amounts to be funded to financial institutions for checks that have cleared the bank. The estimated fair value of the bank overdraft approximates its carrying value due to the short-term nature of the overdraft.</w:t>
      </w:r>
    </w:p>
    <w:p>
      <w:pPr>
        <w:spacing w:after="0" w:line="69" w:lineRule="exact"/>
        <w:rPr>
          <w:rFonts w:ascii="Arial" w:cs="Arial" w:eastAsia="Arial" w:hAnsi="Arial"/>
          <w:sz w:val="20"/>
          <w:szCs w:val="20"/>
          <w:b w:val="1"/>
          <w:bCs w:val="1"/>
          <w:color w:val="auto"/>
        </w:rPr>
      </w:pPr>
    </w:p>
    <w:p>
      <w:pPr>
        <w:ind w:left="38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its carrying amount due to the short-term nature of the payables.</w:t>
      </w:r>
    </w:p>
    <w:p>
      <w:pPr>
        <w:spacing w:after="0" w:line="69" w:lineRule="exact"/>
        <w:rPr>
          <w:rFonts w:ascii="Arial" w:cs="Arial" w:eastAsia="Arial" w:hAnsi="Arial"/>
          <w:sz w:val="20"/>
          <w:szCs w:val="20"/>
          <w:b w:val="1"/>
          <w:bCs w:val="1"/>
          <w:color w:val="auto"/>
        </w:rPr>
      </w:pPr>
    </w:p>
    <w:p>
      <w:pPr>
        <w:jc w:val="both"/>
        <w:ind w:left="380"/>
        <w:spacing w:after="0" w:line="256" w:lineRule="auto"/>
        <w:rPr>
          <w:rFonts w:ascii="Arial" w:cs="Arial" w:eastAsia="Arial" w:hAnsi="Arial"/>
          <w:sz w:val="20"/>
          <w:szCs w:val="20"/>
          <w:b w:val="1"/>
          <w:bCs w:val="1"/>
          <w:color w:val="auto"/>
        </w:rPr>
      </w:pPr>
      <w:r>
        <w:rPr>
          <w:rFonts w:ascii="Arial" w:cs="Arial" w:eastAsia="Arial" w:hAnsi="Arial"/>
          <w:sz w:val="19"/>
          <w:szCs w:val="19"/>
          <w:color w:val="auto"/>
        </w:rPr>
        <w:t>The carrying values and fair values of the Company’s long-term debt were $1,781,981,000 and $1,885,231,000, respectively, at June 30, 2017; $1,686,189,000 and $1,752,338,000, respectively, at December 31, 2016; and $1,779,217,000 and $1,890,319,000, respectively, at June 30, 2016. The estimated fair value of the publicly-registered long-term notes was estimated based on Level 1 of the fair value hierarchy using quoted market prices. The estimated fair value of other borrowings, which primarily represents variable-rate debt, was based on Level 2 of the fair value hierarchy using quoted market prices for similar debt instruments, and approximates their carrying amounts as the interest rates reset periodically.</w:t>
      </w:r>
    </w:p>
    <w:p>
      <w:pPr>
        <w:spacing w:after="0" w:line="174" w:lineRule="exact"/>
        <w:rPr>
          <w:rFonts w:ascii="Arial" w:cs="Arial" w:eastAsia="Arial" w:hAnsi="Arial"/>
          <w:sz w:val="20"/>
          <w:szCs w:val="20"/>
          <w:b w:val="1"/>
          <w:bCs w:val="1"/>
          <w:color w:val="auto"/>
        </w:rPr>
      </w:pPr>
    </w:p>
    <w:p>
      <w:pPr>
        <w:ind w:left="380" w:hanging="373"/>
        <w:spacing w:after="0"/>
        <w:tabs>
          <w:tab w:leader="none" w:pos="3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0" w:lineRule="exact"/>
        <w:rPr>
          <w:rFonts w:ascii="Arial" w:cs="Arial" w:eastAsia="Arial" w:hAnsi="Arial"/>
          <w:sz w:val="20"/>
          <w:szCs w:val="20"/>
          <w:b w:val="1"/>
          <w:bCs w:val="1"/>
          <w:color w:val="auto"/>
        </w:rPr>
      </w:pPr>
    </w:p>
    <w:p>
      <w:pPr>
        <w:jc w:val="both"/>
        <w:ind w:left="380"/>
        <w:spacing w:after="0" w:line="255" w:lineRule="auto"/>
        <w:rPr>
          <w:rFonts w:ascii="Arial" w:cs="Arial" w:eastAsia="Arial" w:hAnsi="Arial"/>
          <w:sz w:val="20"/>
          <w:szCs w:val="20"/>
          <w:b w:val="1"/>
          <w:bCs w:val="1"/>
          <w:color w:val="auto"/>
        </w:rPr>
      </w:pPr>
      <w:r>
        <w:rPr>
          <w:rFonts w:ascii="Arial" w:cs="Arial" w:eastAsia="Arial" w:hAnsi="Arial"/>
          <w:sz w:val="19"/>
          <w:szCs w:val="19"/>
          <w:color w:val="auto"/>
        </w:rPr>
        <w:t>The Company’s effective income tax rate for the six months ended June 30, 2017 was 26.5%. The effective income tax rate reflects the effect of federal and state income taxes and the impact of differences in book and tax accounting arising from the net permanent benefits associated with the statutory depletion deduction for mineral reserves and the domestic production deduction. For the six months ended June 30, 2017, as a result of the adoption of ASU 2016-09 (see Note 1), the effective income tax rate reflects the excess tax benefit related to the vesting and exercise of stock-based compensation awards, which are treated as discrete events, and had a favorable impact of 210 basis points on the tax rate. As previously stated in Note 1, this requirement of the ASU is prospective and therefore, the prior-year effective income tax rate of 30.4% is not comparable.</w:t>
      </w:r>
    </w:p>
    <w:p>
      <w:pPr>
        <w:spacing w:after="0" w:line="74" w:lineRule="exact"/>
        <w:rPr>
          <w:rFonts w:ascii="Arial" w:cs="Arial" w:eastAsia="Arial" w:hAnsi="Arial"/>
          <w:sz w:val="20"/>
          <w:szCs w:val="20"/>
          <w:b w:val="1"/>
          <w:bCs w:val="1"/>
          <w:color w:val="auto"/>
        </w:rPr>
      </w:pPr>
    </w:p>
    <w:p>
      <w:pPr>
        <w:ind w:left="38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7" w:lineRule="exact"/>
        <w:rPr>
          <w:sz w:val="20"/>
          <w:szCs w:val="20"/>
          <w:color w:val="auto"/>
        </w:rPr>
      </w:pPr>
    </w:p>
    <w:p>
      <w:pPr>
        <w:ind w:left="380" w:hanging="373"/>
        <w:spacing w:after="0"/>
        <w:tabs>
          <w:tab w:leader="none" w:pos="38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0"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20"/>
                <w:szCs w:val="20"/>
                <w:color w:val="auto"/>
                <w:w w:val="87"/>
              </w:rPr>
              <w:t>Three Months Ended June 30,</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20"/>
                <w:szCs w:val="20"/>
                <w:color w:val="auto"/>
              </w:rPr>
              <w:t>Pension</w:t>
            </w:r>
          </w:p>
        </w:tc>
        <w:tc>
          <w:tcPr>
            <w:tcW w:w="1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762"/>
              <w:spacing w:after="0"/>
              <w:rPr>
                <w:sz w:val="20"/>
                <w:szCs w:val="20"/>
                <w:color w:val="auto"/>
              </w:rPr>
            </w:pPr>
            <w:r>
              <w:rPr>
                <w:rFonts w:ascii="Arial" w:cs="Arial" w:eastAsia="Arial" w:hAnsi="Arial"/>
                <w:sz w:val="20"/>
                <w:szCs w:val="20"/>
                <w:color w:val="auto"/>
              </w:rPr>
              <w:t>Postretirement Benefits</w:t>
            </w:r>
          </w:p>
        </w:tc>
        <w:tc>
          <w:tcPr>
            <w:tcW w:w="100" w:type="dxa"/>
            <w:vAlign w:val="bottom"/>
          </w:tcPr>
          <w:p>
            <w:pPr>
              <w:spacing w:after="0"/>
              <w:rPr>
                <w:sz w:val="20"/>
                <w:szCs w:val="20"/>
                <w:color w:val="auto"/>
              </w:rPr>
            </w:pPr>
          </w:p>
        </w:tc>
      </w:tr>
      <w:tr>
        <w:trPr>
          <w:trHeight w:val="234"/>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2016</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0"/>
                <w:szCs w:val="20"/>
                <w:color w:val="auto"/>
              </w:rPr>
            </w:pPr>
          </w:p>
        </w:tc>
      </w:tr>
      <w:tr>
        <w:trPr>
          <w:trHeight w:val="234"/>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20" w:type="dxa"/>
            <w:vAlign w:val="bottom"/>
            <w:gridSpan w:val="5"/>
          </w:tcPr>
          <w:p>
            <w:pPr>
              <w:jc w:val="center"/>
              <w:ind w:right="560"/>
              <w:spacing w:after="0"/>
              <w:rPr>
                <w:sz w:val="20"/>
                <w:szCs w:val="20"/>
                <w:color w:val="auto"/>
              </w:rPr>
            </w:pPr>
            <w:r>
              <w:rPr>
                <w:rFonts w:ascii="Arial" w:cs="Arial" w:eastAsia="Arial" w:hAnsi="Arial"/>
                <w:sz w:val="20"/>
                <w:szCs w:val="20"/>
                <w:i w:val="1"/>
                <w:iCs w:val="1"/>
                <w:color w:val="auto"/>
                <w:w w:val="91"/>
              </w:rPr>
              <w:t>(Dollars in Thousands)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3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6,548</w:t>
            </w:r>
          </w:p>
        </w:tc>
        <w:tc>
          <w:tcPr>
            <w:tcW w:w="1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82"/>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5,776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1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w:t>
            </w:r>
          </w:p>
        </w:tc>
        <w:tc>
          <w:tcPr>
            <w:tcW w:w="100" w:type="dxa"/>
            <w:vAlign w:val="bottom"/>
            <w:shd w:val="clear" w:color="auto" w:fill="CFF0FC"/>
          </w:tcPr>
          <w:p>
            <w:pPr>
              <w:spacing w:after="0"/>
              <w:rPr>
                <w:sz w:val="20"/>
                <w:szCs w:val="20"/>
                <w:color w:val="auto"/>
              </w:rPr>
            </w:pPr>
          </w:p>
        </w:tc>
      </w:tr>
      <w:tr>
        <w:trPr>
          <w:trHeight w:val="241"/>
        </w:trPr>
        <w:tc>
          <w:tcPr>
            <w:tcW w:w="3980" w:type="dxa"/>
            <w:vAlign w:val="bottom"/>
          </w:tcPr>
          <w:p>
            <w:pPr>
              <w:spacing w:after="0"/>
              <w:rPr>
                <w:sz w:val="20"/>
                <w:szCs w:val="20"/>
                <w:color w:val="auto"/>
              </w:rPr>
            </w:pPr>
            <w:r>
              <w:rPr>
                <w:rFonts w:ascii="Arial" w:cs="Arial" w:eastAsia="Arial" w:hAnsi="Arial"/>
                <w:sz w:val="20"/>
                <w:szCs w:val="20"/>
                <w:color w:val="auto"/>
              </w:rPr>
              <w:t>Interest cost</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8,673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9,331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198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259</w:t>
            </w:r>
          </w:p>
        </w:tc>
        <w:tc>
          <w:tcPr>
            <w:tcW w:w="100" w:type="dxa"/>
            <w:vAlign w:val="bottom"/>
          </w:tcPr>
          <w:p>
            <w:pPr>
              <w:spacing w:after="0"/>
              <w:rPr>
                <w:sz w:val="20"/>
                <w:szCs w:val="20"/>
                <w:color w:val="auto"/>
              </w:rPr>
            </w:pPr>
          </w:p>
        </w:tc>
      </w:tr>
      <w:tr>
        <w:trPr>
          <w:trHeight w:val="241"/>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assets</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(10,071)</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(9,822)</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41"/>
        </w:trPr>
        <w:tc>
          <w:tcPr>
            <w:tcW w:w="3980" w:type="dxa"/>
            <w:vAlign w:val="bottom"/>
          </w:tcPr>
          <w:p>
            <w:pPr>
              <w:spacing w:after="0"/>
              <w:rPr>
                <w:sz w:val="20"/>
                <w:szCs w:val="20"/>
                <w:color w:val="auto"/>
              </w:rPr>
            </w:pPr>
            <w:r>
              <w:rPr>
                <w:rFonts w:ascii="Arial" w:cs="Arial" w:eastAsia="Arial" w:hAnsi="Arial"/>
                <w:sz w:val="20"/>
                <w:szCs w:val="20"/>
                <w:color w:val="auto"/>
              </w:rPr>
              <w:t>Amortization of:</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3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Prior service cost (credit)</w:t>
            </w: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(471)</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(609)</w:t>
            </w:r>
          </w:p>
        </w:tc>
      </w:tr>
      <w:tr>
        <w:trPr>
          <w:trHeight w:val="241"/>
        </w:trPr>
        <w:tc>
          <w:tcPr>
            <w:tcW w:w="3980" w:type="dxa"/>
            <w:vAlign w:val="bottom"/>
          </w:tcPr>
          <w:p>
            <w:pPr>
              <w:ind w:left="260"/>
              <w:spacing w:after="0"/>
              <w:rPr>
                <w:sz w:val="20"/>
                <w:szCs w:val="20"/>
                <w:color w:val="auto"/>
              </w:rPr>
            </w:pPr>
            <w:r>
              <w:rPr>
                <w:rFonts w:ascii="Arial" w:cs="Arial" w:eastAsia="Arial" w:hAnsi="Arial"/>
                <w:sz w:val="20"/>
                <w:szCs w:val="20"/>
                <w:color w:val="auto"/>
              </w:rPr>
              <w:t>Actuarial loss (gain)</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3,551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3,146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20"/>
                <w:szCs w:val="20"/>
                <w:color w:val="auto"/>
              </w:rPr>
              <w:t>(99)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(139)</w:t>
            </w:r>
          </w:p>
        </w:tc>
      </w:tr>
      <w:tr>
        <w:trPr>
          <w:trHeight w:val="241"/>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Special termination benefit</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(8)</w:t>
            </w:r>
          </w:p>
        </w:tc>
      </w:tr>
      <w:tr>
        <w:trPr>
          <w:trHeight w:val="234"/>
        </w:trPr>
        <w:tc>
          <w:tcPr>
            <w:tcW w:w="3980" w:type="dxa"/>
            <w:vAlign w:val="bottom"/>
          </w:tcPr>
          <w:p>
            <w:pPr>
              <w:spacing w:after="0"/>
              <w:rPr>
                <w:sz w:val="20"/>
                <w:szCs w:val="20"/>
                <w:color w:val="auto"/>
              </w:rPr>
            </w:pPr>
            <w:r>
              <w:rPr>
                <w:rFonts w:ascii="Arial" w:cs="Arial" w:eastAsia="Arial" w:hAnsi="Arial"/>
                <w:sz w:val="20"/>
                <w:szCs w:val="20"/>
                <w:color w:val="auto"/>
              </w:rPr>
              <w:t>Net periodic benefit cost (credit)</w:t>
            </w:r>
          </w:p>
        </w:tc>
        <w:tc>
          <w:tcPr>
            <w:tcW w:w="3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8,814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9,160</w:t>
            </w:r>
          </w:p>
        </w:tc>
        <w:tc>
          <w:tcPr>
            <w:tcW w:w="2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(473)</w:t>
            </w:r>
          </w:p>
        </w:tc>
        <w:tc>
          <w:tcPr>
            <w:tcW w:w="100" w:type="dxa"/>
            <w:vAlign w:val="bottom"/>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5"/>
        </w:trPr>
        <w:tc>
          <w:tcPr>
            <w:tcW w:w="3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20"/>
                <w:szCs w:val="20"/>
                <w:color w:val="auto"/>
                <w:w w:val="88"/>
              </w:rPr>
              <w:t>Six Months Ended June 30,</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20"/>
                <w:szCs w:val="20"/>
                <w:color w:val="auto"/>
              </w:rPr>
              <w:t>Pension</w:t>
            </w:r>
          </w:p>
        </w:tc>
        <w:tc>
          <w:tcPr>
            <w:tcW w:w="1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762"/>
              <w:spacing w:after="0"/>
              <w:rPr>
                <w:sz w:val="20"/>
                <w:szCs w:val="20"/>
                <w:color w:val="auto"/>
              </w:rPr>
            </w:pPr>
            <w:r>
              <w:rPr>
                <w:rFonts w:ascii="Arial" w:cs="Arial" w:eastAsia="Arial" w:hAnsi="Arial"/>
                <w:sz w:val="20"/>
                <w:szCs w:val="20"/>
                <w:color w:val="auto"/>
              </w:rPr>
              <w:t>Postretirement Benefits</w:t>
            </w:r>
          </w:p>
        </w:tc>
        <w:tc>
          <w:tcPr>
            <w:tcW w:w="100" w:type="dxa"/>
            <w:vAlign w:val="bottom"/>
          </w:tcPr>
          <w:p>
            <w:pPr>
              <w:spacing w:after="0"/>
              <w:rPr>
                <w:sz w:val="20"/>
                <w:szCs w:val="20"/>
                <w:color w:val="auto"/>
              </w:rPr>
            </w:pPr>
          </w:p>
        </w:tc>
      </w:tr>
      <w:tr>
        <w:trPr>
          <w:trHeight w:val="234"/>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2016</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0"/>
                <w:szCs w:val="20"/>
                <w:color w:val="auto"/>
              </w:rPr>
            </w:pPr>
          </w:p>
        </w:tc>
      </w:tr>
      <w:tr>
        <w:trPr>
          <w:trHeight w:val="234"/>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20" w:type="dxa"/>
            <w:vAlign w:val="bottom"/>
            <w:gridSpan w:val="5"/>
          </w:tcPr>
          <w:p>
            <w:pPr>
              <w:jc w:val="center"/>
              <w:ind w:right="560"/>
              <w:spacing w:after="0"/>
              <w:rPr>
                <w:sz w:val="20"/>
                <w:szCs w:val="20"/>
                <w:color w:val="auto"/>
              </w:rPr>
            </w:pPr>
            <w:r>
              <w:rPr>
                <w:rFonts w:ascii="Arial" w:cs="Arial" w:eastAsia="Arial" w:hAnsi="Arial"/>
                <w:sz w:val="20"/>
                <w:szCs w:val="20"/>
                <w:i w:val="1"/>
                <w:iCs w:val="1"/>
                <w:color w:val="auto"/>
                <w:w w:val="91"/>
              </w:rPr>
              <w:t>(Dollars in Thousands)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3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13,402</w:t>
            </w:r>
          </w:p>
        </w:tc>
        <w:tc>
          <w:tcPr>
            <w:tcW w:w="1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82"/>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11,082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w:t>
            </w:r>
          </w:p>
        </w:tc>
        <w:tc>
          <w:tcPr>
            <w:tcW w:w="1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w:t>
            </w:r>
          </w:p>
        </w:tc>
        <w:tc>
          <w:tcPr>
            <w:tcW w:w="100" w:type="dxa"/>
            <w:vAlign w:val="bottom"/>
            <w:shd w:val="clear" w:color="auto" w:fill="CFF0FC"/>
          </w:tcPr>
          <w:p>
            <w:pPr>
              <w:spacing w:after="0"/>
              <w:rPr>
                <w:sz w:val="20"/>
                <w:szCs w:val="20"/>
                <w:color w:val="auto"/>
              </w:rPr>
            </w:pPr>
          </w:p>
        </w:tc>
      </w:tr>
      <w:tr>
        <w:trPr>
          <w:trHeight w:val="241"/>
        </w:trPr>
        <w:tc>
          <w:tcPr>
            <w:tcW w:w="3980" w:type="dxa"/>
            <w:vAlign w:val="bottom"/>
          </w:tcPr>
          <w:p>
            <w:pPr>
              <w:spacing w:after="0"/>
              <w:rPr>
                <w:sz w:val="20"/>
                <w:szCs w:val="20"/>
                <w:color w:val="auto"/>
              </w:rPr>
            </w:pPr>
            <w:r>
              <w:rPr>
                <w:rFonts w:ascii="Arial" w:cs="Arial" w:eastAsia="Arial" w:hAnsi="Arial"/>
                <w:sz w:val="20"/>
                <w:szCs w:val="20"/>
                <w:color w:val="auto"/>
              </w:rPr>
              <w:t>Interest cost</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18,030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17,938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365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432</w:t>
            </w:r>
          </w:p>
        </w:tc>
        <w:tc>
          <w:tcPr>
            <w:tcW w:w="100" w:type="dxa"/>
            <w:vAlign w:val="bottom"/>
          </w:tcPr>
          <w:p>
            <w:pPr>
              <w:spacing w:after="0"/>
              <w:rPr>
                <w:sz w:val="20"/>
                <w:szCs w:val="20"/>
                <w:color w:val="auto"/>
              </w:rPr>
            </w:pPr>
          </w:p>
        </w:tc>
      </w:tr>
      <w:tr>
        <w:trPr>
          <w:trHeight w:val="241"/>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assets</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(20,613)</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(18,848)</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41"/>
        </w:trPr>
        <w:tc>
          <w:tcPr>
            <w:tcW w:w="3980" w:type="dxa"/>
            <w:vAlign w:val="bottom"/>
          </w:tcPr>
          <w:p>
            <w:pPr>
              <w:spacing w:after="0"/>
              <w:rPr>
                <w:sz w:val="20"/>
                <w:szCs w:val="20"/>
                <w:color w:val="auto"/>
              </w:rPr>
            </w:pPr>
            <w:r>
              <w:rPr>
                <w:rFonts w:ascii="Arial" w:cs="Arial" w:eastAsia="Arial" w:hAnsi="Arial"/>
                <w:sz w:val="20"/>
                <w:szCs w:val="20"/>
                <w:color w:val="auto"/>
              </w:rPr>
              <w:t>Amortization of:</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3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Prior service cost (credit)</w:t>
            </w: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(871)</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(981)</w:t>
            </w:r>
          </w:p>
        </w:tc>
      </w:tr>
      <w:tr>
        <w:trPr>
          <w:trHeight w:val="241"/>
        </w:trPr>
        <w:tc>
          <w:tcPr>
            <w:tcW w:w="3980" w:type="dxa"/>
            <w:vAlign w:val="bottom"/>
          </w:tcPr>
          <w:p>
            <w:pPr>
              <w:ind w:left="260"/>
              <w:spacing w:after="0"/>
              <w:rPr>
                <w:sz w:val="20"/>
                <w:szCs w:val="20"/>
                <w:color w:val="auto"/>
              </w:rPr>
            </w:pPr>
            <w:r>
              <w:rPr>
                <w:rFonts w:ascii="Arial" w:cs="Arial" w:eastAsia="Arial" w:hAnsi="Arial"/>
                <w:sz w:val="20"/>
                <w:szCs w:val="20"/>
                <w:color w:val="auto"/>
              </w:rPr>
              <w:t>Actuarial loss (gain)</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7,087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6,036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20"/>
                <w:szCs w:val="20"/>
                <w:color w:val="auto"/>
              </w:rPr>
              <w:t>(182)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(249)</w:t>
            </w:r>
          </w:p>
        </w:tc>
      </w:tr>
      <w:tr>
        <w:trPr>
          <w:trHeight w:val="241"/>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Settlement charge</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41"/>
        </w:trPr>
        <w:tc>
          <w:tcPr>
            <w:tcW w:w="3980" w:type="dxa"/>
            <w:vAlign w:val="bottom"/>
          </w:tcPr>
          <w:p>
            <w:pPr>
              <w:spacing w:after="0"/>
              <w:rPr>
                <w:sz w:val="20"/>
                <w:szCs w:val="20"/>
                <w:color w:val="auto"/>
              </w:rPr>
            </w:pPr>
            <w:r>
              <w:rPr>
                <w:rFonts w:ascii="Arial" w:cs="Arial" w:eastAsia="Arial" w:hAnsi="Arial"/>
                <w:sz w:val="20"/>
                <w:szCs w:val="20"/>
                <w:color w:val="auto"/>
              </w:rPr>
              <w:t>Special termination benefit</w:t>
            </w:r>
          </w:p>
        </w:tc>
        <w:tc>
          <w:tcPr>
            <w:tcW w:w="3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764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(8)</w:t>
            </w:r>
          </w:p>
        </w:tc>
      </w:tr>
      <w:tr>
        <w:trPr>
          <w:trHeight w:val="234"/>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18,061</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82"/>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17,206</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(648)</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components of net periodic benefit cost (credit), other than the service cost component, are included in other nonoperating income, net, in the consolidated statements of earnings and comprehensive earnings.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right="8020" w:hanging="373"/>
        <w:spacing w:after="0" w:line="414" w:lineRule="auto"/>
        <w:tabs>
          <w:tab w:leader="none" w:pos="375"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u w:val="single" w:color="auto"/>
          <w:color w:val="auto"/>
        </w:rPr>
        <w:t>Legal and Administrative Proceedings</w:t>
      </w:r>
    </w:p>
    <w:p>
      <w:pPr>
        <w:jc w:val="both"/>
        <w:ind w:left="380"/>
        <w:spacing w:after="0" w:line="260" w:lineRule="auto"/>
        <w:rPr>
          <w:rFonts w:ascii="Arial" w:cs="Arial" w:eastAsia="Arial" w:hAnsi="Arial"/>
          <w:sz w:val="17"/>
          <w:szCs w:val="17"/>
          <w:b w:val="1"/>
          <w:bCs w:val="1"/>
          <w:color w:val="auto"/>
        </w:rPr>
      </w:pPr>
      <w:r>
        <w:rPr>
          <w:rFonts w:ascii="Arial" w:cs="Arial" w:eastAsia="Arial" w:hAnsi="Arial"/>
          <w:sz w:val="19"/>
          <w:szCs w:val="19"/>
          <w:color w:val="auto"/>
        </w:rPr>
        <w:t>The Company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Company and its subsidiaries, will have a material adverse effect on the overall results of the Company’s operations, its cash flows or its financial position.</w:t>
      </w:r>
    </w:p>
    <w:p>
      <w:pPr>
        <w:spacing w:after="0" w:line="177"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20"/>
          <w:szCs w:val="20"/>
          <w:u w:val="single" w:color="auto"/>
          <w:color w:val="auto"/>
        </w:rPr>
        <w:t>Borrowing Arrangements with Affiliate</w:t>
      </w:r>
    </w:p>
    <w:p>
      <w:pPr>
        <w:spacing w:after="0" w:line="104" w:lineRule="exact"/>
        <w:rPr>
          <w:rFonts w:ascii="Arial" w:cs="Arial" w:eastAsia="Arial" w:hAnsi="Arial"/>
          <w:sz w:val="17"/>
          <w:szCs w:val="17"/>
          <w:b w:val="1"/>
          <w:bCs w:val="1"/>
          <w:color w:val="auto"/>
        </w:rPr>
      </w:pPr>
    </w:p>
    <w:p>
      <w:pPr>
        <w:jc w:val="both"/>
        <w:ind w:left="380"/>
        <w:spacing w:after="0" w:line="243" w:lineRule="auto"/>
        <w:rPr>
          <w:rFonts w:ascii="Arial" w:cs="Arial" w:eastAsia="Arial" w:hAnsi="Arial"/>
          <w:sz w:val="17"/>
          <w:szCs w:val="17"/>
          <w:b w:val="1"/>
          <w:bCs w:val="1"/>
          <w:color w:val="auto"/>
        </w:rPr>
      </w:pPr>
      <w:r>
        <w:rPr>
          <w:rFonts w:ascii="Arial" w:cs="Arial" w:eastAsia="Arial" w:hAnsi="Arial"/>
          <w:sz w:val="20"/>
          <w:szCs w:val="20"/>
          <w:color w:val="auto"/>
        </w:rPr>
        <w:t>The Company is a co-borrower with an unconsolidated affiliate for a $25,000,000 revolving line of credit agreement with BB&amp;T Bank.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85" w:lineRule="exact"/>
        <w:rPr>
          <w:rFonts w:ascii="Arial" w:cs="Arial" w:eastAsia="Arial" w:hAnsi="Arial"/>
          <w:sz w:val="17"/>
          <w:szCs w:val="17"/>
          <w:b w:val="1"/>
          <w:bCs w:val="1"/>
          <w:color w:val="auto"/>
        </w:rPr>
      </w:pPr>
    </w:p>
    <w:p>
      <w:pPr>
        <w:ind w:left="380"/>
        <w:spacing w:after="0" w:line="257" w:lineRule="auto"/>
        <w:rPr>
          <w:rFonts w:ascii="Arial" w:cs="Arial" w:eastAsia="Arial" w:hAnsi="Arial"/>
          <w:sz w:val="17"/>
          <w:szCs w:val="17"/>
          <w:b w:val="1"/>
          <w:bCs w:val="1"/>
          <w:color w:val="auto"/>
        </w:rPr>
      </w:pPr>
      <w:r>
        <w:rPr>
          <w:rFonts w:ascii="Arial" w:cs="Arial" w:eastAsia="Arial" w:hAnsi="Arial"/>
          <w:sz w:val="20"/>
          <w:szCs w:val="20"/>
          <w:color w:val="auto"/>
        </w:rPr>
        <w:t>In addition, the Company has a $6,000,000 interest-only loan, due December 31, 2019, outstanding from this unconsolidated affiliate as of June 30, 2017, December 31, 2016 and June 30, 2016. The interest rate is one-month LIBOR plus 1.75%.</w:t>
      </w:r>
    </w:p>
    <w:p>
      <w:pPr>
        <w:spacing w:after="0" w:line="277" w:lineRule="exact"/>
        <w:rPr>
          <w:rFonts w:ascii="Arial" w:cs="Arial" w:eastAsia="Arial" w:hAnsi="Arial"/>
          <w:sz w:val="17"/>
          <w:szCs w:val="17"/>
          <w:b w:val="1"/>
          <w:bCs w:val="1"/>
          <w:color w:val="auto"/>
        </w:rPr>
      </w:pPr>
    </w:p>
    <w:p>
      <w:pPr>
        <w:ind w:left="380" w:hanging="373"/>
        <w:spacing w:after="0"/>
        <w:tabs>
          <w:tab w:leader="none" w:pos="38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110" w:lineRule="exact"/>
        <w:rPr>
          <w:rFonts w:ascii="Arial" w:cs="Arial" w:eastAsia="Arial" w:hAnsi="Arial"/>
          <w:sz w:val="20"/>
          <w:szCs w:val="20"/>
          <w:b w:val="1"/>
          <w:bCs w:val="1"/>
          <w:color w:val="auto"/>
        </w:rPr>
      </w:pPr>
    </w:p>
    <w:p>
      <w:pPr>
        <w:jc w:val="both"/>
        <w:ind w:left="380"/>
        <w:spacing w:after="0" w:line="254" w:lineRule="auto"/>
        <w:rPr>
          <w:rFonts w:ascii="Arial" w:cs="Arial" w:eastAsia="Arial" w:hAnsi="Arial"/>
          <w:sz w:val="20"/>
          <w:szCs w:val="20"/>
          <w:b w:val="1"/>
          <w:bCs w:val="1"/>
          <w:color w:val="auto"/>
        </w:rPr>
      </w:pPr>
      <w:r>
        <w:rPr>
          <w:rFonts w:ascii="Arial" w:cs="Arial" w:eastAsia="Arial" w:hAnsi="Arial"/>
          <w:sz w:val="19"/>
          <w:szCs w:val="19"/>
          <w:color w:val="auto"/>
        </w:rPr>
        <w:t>The Building Materials business contains three reportable business segments: Mid-America Group, Southeast Group and West Group. The Company also has a Magnesia Specialties segment. The Company’s evaluation of performance and allocation of resources are based primarily on earnings from operations. Consolidated earnings from operations include net sales less cost of sales, selling, general and administrative expenses, acquisition-related expenses, net, other operating income and expenses, net, and exclude interest expense, other nonoperating income and expenses, net, and taxes on income. Corporate consolidated loss from operations primarily includes depreciation on capitalized interest, expenses for corporate administrative functions, acquisition-related expenses, net, and other nonrecurring and/or non-operational income and expenses excluded from the Company’s evaluation of business segment performance and resource allocation. All debt and related interest expense is held at Corporate.</w:t>
      </w:r>
    </w:p>
    <w:p>
      <w:pPr>
        <w:spacing w:after="0" w:line="76" w:lineRule="exact"/>
        <w:rPr>
          <w:rFonts w:ascii="Arial" w:cs="Arial" w:eastAsia="Arial" w:hAnsi="Arial"/>
          <w:sz w:val="20"/>
          <w:szCs w:val="20"/>
          <w:b w:val="1"/>
          <w:bCs w:val="1"/>
          <w:color w:val="auto"/>
        </w:rPr>
      </w:pPr>
    </w:p>
    <w:p>
      <w:pPr>
        <w:jc w:val="both"/>
        <w:ind w:left="380"/>
        <w:spacing w:after="0" w:line="266" w:lineRule="auto"/>
        <w:rPr>
          <w:rFonts w:ascii="Arial" w:cs="Arial" w:eastAsia="Arial" w:hAnsi="Arial"/>
          <w:sz w:val="20"/>
          <w:szCs w:val="20"/>
          <w:b w:val="1"/>
          <w:bCs w:val="1"/>
          <w:color w:val="auto"/>
        </w:rPr>
      </w:pPr>
      <w:r>
        <w:rPr>
          <w:rFonts w:ascii="Arial" w:cs="Arial" w:eastAsia="Arial" w:hAnsi="Arial"/>
          <w:sz w:val="19"/>
          <w:szCs w:val="19"/>
          <w:color w:val="auto"/>
        </w:rPr>
        <w:t>The following table displays selected financial data for continuing operations for the Company’s reportable business segments. Total revenues and net sales in the table below, as well as the consolidated statements of earnings and comprehensive earnings, exclude intersegment sales which represent net sales from one segment to another segment which are eliminated.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hanging="373"/>
        <w:spacing w:after="0"/>
        <w:tabs>
          <w:tab w:leader="none" w:pos="38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 (continued)</w:t>
      </w:r>
    </w:p>
    <w:p>
      <w:pPr>
        <w:spacing w:after="0" w:line="110" w:lineRule="exact"/>
        <w:rPr>
          <w:rFonts w:ascii="Arial" w:cs="Arial" w:eastAsia="Arial" w:hAnsi="Arial"/>
          <w:sz w:val="20"/>
          <w:szCs w:val="20"/>
          <w:b w:val="1"/>
          <w:bCs w:val="1"/>
          <w:color w:val="auto"/>
        </w:rPr>
      </w:pPr>
    </w:p>
    <w:p>
      <w:pPr>
        <w:jc w:val="both"/>
        <w:ind w:left="38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Effective with a management change previously discussed in Note 1, the cement product line is reported in the West Group. Prior-year segment information has been reclassified to conform to the presentation of the Company’s current reportable segments and for the adoption of ASU 2017-07.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jc w:val="right"/>
              <w:ind w:right="720"/>
              <w:spacing w:after="0"/>
              <w:rPr>
                <w:sz w:val="20"/>
                <w:szCs w:val="20"/>
                <w:color w:val="auto"/>
              </w:rPr>
            </w:pPr>
            <w:r>
              <w:rPr>
                <w:rFonts w:ascii="Arial" w:cs="Arial" w:eastAsia="Arial" w:hAnsi="Arial"/>
                <w:sz w:val="20"/>
                <w:szCs w:val="20"/>
                <w:color w:val="auto"/>
                <w:w w:val="98"/>
              </w:rPr>
              <w:t>Three Months Ended</w:t>
            </w:r>
          </w:p>
        </w:tc>
        <w:tc>
          <w:tcPr>
            <w:tcW w:w="220" w:type="dxa"/>
            <w:vAlign w:val="bottom"/>
          </w:tcPr>
          <w:p>
            <w:pPr>
              <w:spacing w:after="0"/>
              <w:rPr>
                <w:sz w:val="20"/>
                <w:szCs w:val="20"/>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20"/>
                <w:szCs w:val="20"/>
                <w:i w:val="1"/>
                <w:iCs w:val="1"/>
                <w:color w:val="auto"/>
                <w:w w:val="93"/>
              </w:rPr>
              <w:t>(Dollars in Thousands)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gridSpan w:val="4"/>
            <w:shd w:val="clear" w:color="auto" w:fill="CFF0FC"/>
          </w:tcPr>
          <w:p>
            <w:pPr>
              <w:spacing w:after="0" w:line="201" w:lineRule="exact"/>
              <w:rPr>
                <w:sz w:val="20"/>
                <w:szCs w:val="20"/>
                <w:color w:val="auto"/>
              </w:rPr>
            </w:pPr>
            <w:r>
              <w:rPr>
                <w:rFonts w:ascii="Arial" w:cs="Arial" w:eastAsia="Arial" w:hAnsi="Arial"/>
                <w:sz w:val="20"/>
                <w:szCs w:val="20"/>
                <w:color w:val="auto"/>
              </w:rPr>
              <w:t>Total revenues:</w:t>
            </w:r>
          </w:p>
        </w:tc>
        <w:tc>
          <w:tcPr>
            <w:tcW w:w="1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vMerge w:val="continue"/>
          </w:tcPr>
          <w:p>
            <w:pPr>
              <w:spacing w:after="0"/>
              <w:rPr>
                <w:sz w:val="20"/>
                <w:szCs w:val="20"/>
                <w:color w:val="auto"/>
              </w:rPr>
            </w:pPr>
          </w:p>
        </w:tc>
        <w:tc>
          <w:tcPr>
            <w:tcW w:w="4280" w:type="dxa"/>
            <w:vAlign w:val="bottom"/>
            <w:gridSpan w:val="4"/>
          </w:tcPr>
          <w:p>
            <w:pPr>
              <w:spacing w:after="0"/>
              <w:rPr>
                <w:sz w:val="20"/>
                <w:szCs w:val="20"/>
                <w:color w:val="auto"/>
              </w:rPr>
            </w:pPr>
            <w:r>
              <w:rPr>
                <w:rFonts w:ascii="Arial" w:cs="Arial" w:eastAsia="Arial" w:hAnsi="Arial"/>
                <w:sz w:val="20"/>
                <w:szCs w:val="20"/>
                <w:color w:val="auto"/>
              </w:rPr>
              <w:t>Mid-America Group</w:t>
            </w:r>
          </w:p>
        </w:tc>
        <w:tc>
          <w:tcPr>
            <w:tcW w:w="18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290,899</w:t>
            </w:r>
          </w:p>
        </w:tc>
        <w:tc>
          <w:tcPr>
            <w:tcW w:w="240" w:type="dxa"/>
            <w:vAlign w:val="bottom"/>
          </w:tcPr>
          <w:p>
            <w:pPr>
              <w:spacing w:after="0"/>
              <w:rPr>
                <w:sz w:val="20"/>
                <w:szCs w:val="20"/>
                <w:color w:val="auto"/>
              </w:rPr>
            </w:pPr>
          </w:p>
        </w:tc>
        <w:tc>
          <w:tcPr>
            <w:tcW w:w="300" w:type="dxa"/>
            <w:vAlign w:val="bottom"/>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278,676</w:t>
            </w:r>
          </w:p>
        </w:tc>
        <w:tc>
          <w:tcPr>
            <w:tcW w:w="24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479,918</w:t>
            </w:r>
          </w:p>
        </w:tc>
        <w:tc>
          <w:tcPr>
            <w:tcW w:w="240" w:type="dxa"/>
            <w:vAlign w:val="bottom"/>
          </w:tcPr>
          <w:p>
            <w:pPr>
              <w:spacing w:after="0"/>
              <w:rPr>
                <w:sz w:val="20"/>
                <w:szCs w:val="20"/>
                <w:color w:val="auto"/>
              </w:rPr>
            </w:pPr>
          </w:p>
        </w:tc>
        <w:tc>
          <w:tcPr>
            <w:tcW w:w="280" w:type="dxa"/>
            <w:vAlign w:val="bottom"/>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465,023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92,348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87,600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182,630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159,271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16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610,248</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547,386</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1,106,230</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1,013,932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993,495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913,662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1,768,778</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1,638,226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Magnesia Specialties</w:t>
            </w:r>
          </w:p>
        </w:tc>
        <w:tc>
          <w:tcPr>
            <w:tcW w:w="16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70,029</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63,636</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138,605</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127,806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16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1,063,524</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977,298</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1,907,383</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1,766,032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80" w:type="dxa"/>
            <w:vAlign w:val="bottom"/>
            <w:gridSpan w:val="4"/>
            <w:shd w:val="clear" w:color="auto" w:fill="CFF0FC"/>
          </w:tcPr>
          <w:p>
            <w:pPr>
              <w:spacing w:after="0" w:line="201" w:lineRule="exact"/>
              <w:rPr>
                <w:sz w:val="20"/>
                <w:szCs w:val="20"/>
                <w:color w:val="auto"/>
              </w:rPr>
            </w:pPr>
            <w:r>
              <w:rPr>
                <w:rFonts w:ascii="Arial" w:cs="Arial" w:eastAsia="Arial" w:hAnsi="Arial"/>
                <w:sz w:val="20"/>
                <w:szCs w:val="20"/>
                <w:color w:val="auto"/>
              </w:rPr>
              <w:t>Net sales:</w:t>
            </w:r>
          </w:p>
        </w:tc>
        <w:tc>
          <w:tcPr>
            <w:tcW w:w="1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vMerge w:val="continue"/>
          </w:tcPr>
          <w:p>
            <w:pPr>
              <w:spacing w:after="0"/>
              <w:rPr>
                <w:sz w:val="20"/>
                <w:szCs w:val="20"/>
                <w:color w:val="auto"/>
              </w:rPr>
            </w:pPr>
          </w:p>
        </w:tc>
        <w:tc>
          <w:tcPr>
            <w:tcW w:w="4280" w:type="dxa"/>
            <w:vAlign w:val="bottom"/>
            <w:gridSpan w:val="4"/>
          </w:tcPr>
          <w:p>
            <w:pPr>
              <w:spacing w:after="0"/>
              <w:rPr>
                <w:sz w:val="20"/>
                <w:szCs w:val="20"/>
                <w:color w:val="auto"/>
              </w:rPr>
            </w:pPr>
            <w:r>
              <w:rPr>
                <w:rFonts w:ascii="Arial" w:cs="Arial" w:eastAsia="Arial" w:hAnsi="Arial"/>
                <w:sz w:val="20"/>
                <w:szCs w:val="20"/>
                <w:color w:val="auto"/>
              </w:rPr>
              <w:t>Mid-America Group</w:t>
            </w:r>
          </w:p>
        </w:tc>
        <w:tc>
          <w:tcPr>
            <w:tcW w:w="18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269,844</w:t>
            </w:r>
          </w:p>
        </w:tc>
        <w:tc>
          <w:tcPr>
            <w:tcW w:w="240" w:type="dxa"/>
            <w:vAlign w:val="bottom"/>
          </w:tcPr>
          <w:p>
            <w:pPr>
              <w:spacing w:after="0"/>
              <w:rPr>
                <w:sz w:val="20"/>
                <w:szCs w:val="20"/>
                <w:color w:val="auto"/>
              </w:rPr>
            </w:pPr>
          </w:p>
        </w:tc>
        <w:tc>
          <w:tcPr>
            <w:tcW w:w="300" w:type="dxa"/>
            <w:vAlign w:val="bottom"/>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258,988</w:t>
            </w:r>
          </w:p>
        </w:tc>
        <w:tc>
          <w:tcPr>
            <w:tcW w:w="24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447,181</w:t>
            </w:r>
          </w:p>
        </w:tc>
        <w:tc>
          <w:tcPr>
            <w:tcW w:w="240" w:type="dxa"/>
            <w:vAlign w:val="bottom"/>
          </w:tcPr>
          <w:p>
            <w:pPr>
              <w:spacing w:after="0"/>
              <w:rPr>
                <w:sz w:val="20"/>
                <w:szCs w:val="20"/>
                <w:color w:val="auto"/>
              </w:rPr>
            </w:pPr>
          </w:p>
        </w:tc>
        <w:tc>
          <w:tcPr>
            <w:tcW w:w="280" w:type="dxa"/>
            <w:vAlign w:val="bottom"/>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432,360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88,489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82,676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175,148</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149,961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16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573,402</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514,906</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1,037,828</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948,704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931,735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856,570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1,660,157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1,531,025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Magnesia Specialties</w:t>
            </w:r>
          </w:p>
        </w:tc>
        <w:tc>
          <w:tcPr>
            <w:tcW w:w="16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64,554</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58,866</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127,816</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118,371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16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996,289</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915,436</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1,787,973</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1,649,396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4280" w:type="dxa"/>
            <w:vAlign w:val="bottom"/>
            <w:gridSpan w:val="4"/>
            <w:shd w:val="clear" w:color="auto" w:fill="CFF0FC"/>
          </w:tcPr>
          <w:p>
            <w:pPr>
              <w:spacing w:after="0" w:line="201" w:lineRule="exact"/>
              <w:rPr>
                <w:sz w:val="20"/>
                <w:szCs w:val="20"/>
                <w:color w:val="auto"/>
              </w:rPr>
            </w:pPr>
            <w:r>
              <w:rPr>
                <w:rFonts w:ascii="Arial" w:cs="Arial" w:eastAsia="Arial" w:hAnsi="Arial"/>
                <w:sz w:val="20"/>
                <w:szCs w:val="20"/>
                <w:color w:val="auto"/>
              </w:rPr>
              <w:t>Earnings (Loss) from operations:</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Mid-America Group</w:t>
            </w:r>
          </w:p>
        </w:tc>
        <w:tc>
          <w:tcPr>
            <w:tcW w:w="1740" w:type="dxa"/>
            <w:vAlign w:val="bottom"/>
            <w:tcBorders>
              <w:top w:val="single" w:sz="8" w:color="CFF0FC"/>
            </w:tcBorders>
          </w:tcPr>
          <w:p>
            <w:pPr>
              <w:spacing w:after="0"/>
              <w:rPr>
                <w:sz w:val="20"/>
                <w:szCs w:val="20"/>
                <w:color w:val="auto"/>
              </w:rPr>
            </w:pPr>
          </w:p>
        </w:tc>
        <w:tc>
          <w:tcPr>
            <w:tcW w:w="1860" w:type="dxa"/>
            <w:vAlign w:val="bottom"/>
            <w:tcBorders>
              <w:top w:val="single" w:sz="8" w:color="CFF0FC"/>
            </w:tcBorders>
            <w:gridSpan w:val="2"/>
          </w:tcPr>
          <w:p>
            <w:pPr>
              <w:jc w:val="right"/>
              <w:ind w:right="42"/>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85,363</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80,792</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98,705</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95,486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14,334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11,614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24,449</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16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112,491</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99,357</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173,724</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165,163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212,188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191,763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296,878</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279,291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4"/>
          </w:tcPr>
          <w:p>
            <w:pPr>
              <w:spacing w:after="0"/>
              <w:rPr>
                <w:sz w:val="20"/>
                <w:szCs w:val="20"/>
                <w:color w:val="auto"/>
              </w:rPr>
            </w:pPr>
            <w:r>
              <w:rPr>
                <w:rFonts w:ascii="Arial" w:cs="Arial" w:eastAsia="Arial" w:hAnsi="Arial"/>
                <w:sz w:val="20"/>
                <w:szCs w:val="20"/>
                <w:color w:val="auto"/>
              </w:rPr>
              <w:t>Magnesia Specialties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21,118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19,277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40,999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39,887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Corporate</w:t>
            </w: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(20,454)</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(20,192)</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(47,875)</w:t>
            </w: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(42,306)</w:t>
            </w:r>
          </w:p>
        </w:tc>
        <w:tc>
          <w:tcPr>
            <w:tcW w:w="0" w:type="dxa"/>
            <w:vAlign w:val="bottom"/>
          </w:tcPr>
          <w:p>
            <w:pPr>
              <w:spacing w:after="0"/>
              <w:rPr>
                <w:sz w:val="1"/>
                <w:szCs w:val="1"/>
                <w:color w:val="auto"/>
              </w:rPr>
            </w:pPr>
          </w:p>
        </w:tc>
      </w:tr>
      <w:tr>
        <w:trPr>
          <w:trHeight w:val="234"/>
        </w:trPr>
        <w:tc>
          <w:tcPr>
            <w:tcW w:w="4300" w:type="dxa"/>
            <w:vAlign w:val="bottom"/>
            <w:gridSpan w:val="5"/>
          </w:tcPr>
          <w:p>
            <w:pPr>
              <w:spacing w:after="0"/>
              <w:rPr>
                <w:sz w:val="20"/>
                <w:szCs w:val="20"/>
                <w:color w:val="auto"/>
              </w:rPr>
            </w:pPr>
            <w:r>
              <w:rPr>
                <w:rFonts w:ascii="Arial" w:cs="Arial" w:eastAsia="Arial" w:hAnsi="Arial"/>
                <w:sz w:val="20"/>
                <w:szCs w:val="20"/>
                <w:color w:val="auto"/>
              </w:rPr>
              <w:t>Total</w:t>
            </w:r>
          </w:p>
        </w:tc>
        <w:tc>
          <w:tcPr>
            <w:tcW w:w="16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212,852</w:t>
            </w: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190,848</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290,002</w:t>
            </w:r>
          </w:p>
        </w:tc>
        <w:tc>
          <w:tcPr>
            <w:tcW w:w="24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276,872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hanging="373"/>
        <w:spacing w:after="0"/>
        <w:tabs>
          <w:tab w:leader="none" w:pos="38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 (continued)</w:t>
      </w:r>
    </w:p>
    <w:p>
      <w:pPr>
        <w:spacing w:after="0" w:line="110" w:lineRule="exact"/>
        <w:rPr>
          <w:rFonts w:ascii="Arial" w:cs="Arial" w:eastAsia="Arial" w:hAnsi="Arial"/>
          <w:sz w:val="20"/>
          <w:szCs w:val="20"/>
          <w:b w:val="1"/>
          <w:bCs w:val="1"/>
          <w:color w:val="auto"/>
        </w:rPr>
      </w:pP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net sales and gross profit by business: Building Materials (further divided by product line) and Magnesia Specialties.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jc w:val="right"/>
              <w:ind w:right="720"/>
              <w:spacing w:after="0"/>
              <w:rPr>
                <w:sz w:val="20"/>
                <w:szCs w:val="20"/>
                <w:color w:val="auto"/>
              </w:rPr>
            </w:pPr>
            <w:r>
              <w:rPr>
                <w:rFonts w:ascii="Arial" w:cs="Arial" w:eastAsia="Arial" w:hAnsi="Arial"/>
                <w:sz w:val="20"/>
                <w:szCs w:val="20"/>
                <w:color w:val="auto"/>
                <w:w w:val="98"/>
              </w:rPr>
              <w:t>Three Months Ended</w:t>
            </w:r>
          </w:p>
        </w:tc>
        <w:tc>
          <w:tcPr>
            <w:tcW w:w="220" w:type="dxa"/>
            <w:vAlign w:val="bottom"/>
          </w:tcPr>
          <w:p>
            <w:pPr>
              <w:spacing w:after="0"/>
              <w:rPr>
                <w:sz w:val="20"/>
                <w:szCs w:val="20"/>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20"/>
                <w:szCs w:val="20"/>
                <w:i w:val="1"/>
                <w:iCs w:val="1"/>
                <w:color w:val="auto"/>
                <w:w w:val="93"/>
              </w:rPr>
              <w:t>(Dollars in Thousands)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80" w:type="dxa"/>
            <w:vAlign w:val="bottom"/>
            <w:gridSpan w:val="3"/>
            <w:shd w:val="clear" w:color="auto" w:fill="CFF0FC"/>
          </w:tcPr>
          <w:p>
            <w:pPr>
              <w:spacing w:after="0" w:line="201" w:lineRule="exact"/>
              <w:rPr>
                <w:sz w:val="20"/>
                <w:szCs w:val="20"/>
                <w:color w:val="auto"/>
              </w:rPr>
            </w:pPr>
            <w:r>
              <w:rPr>
                <w:rFonts w:ascii="Arial" w:cs="Arial" w:eastAsia="Arial" w:hAnsi="Arial"/>
                <w:sz w:val="20"/>
                <w:szCs w:val="20"/>
                <w:color w:val="auto"/>
              </w:rPr>
              <w:t>Net sales:</w:t>
            </w:r>
          </w:p>
        </w:tc>
        <w:tc>
          <w:tcPr>
            <w:tcW w:w="1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8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vMerge w:val="continue"/>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20"/>
                <w:szCs w:val="20"/>
                <w:color w:val="auto"/>
              </w:rPr>
              <w:t>Aggregates</w:t>
            </w:r>
          </w:p>
        </w:tc>
        <w:tc>
          <w:tcPr>
            <w:tcW w:w="18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578,388</w:t>
            </w:r>
          </w:p>
        </w:tc>
        <w:tc>
          <w:tcPr>
            <w:tcW w:w="240" w:type="dxa"/>
            <w:vAlign w:val="bottom"/>
          </w:tcPr>
          <w:p>
            <w:pPr>
              <w:spacing w:after="0"/>
              <w:rPr>
                <w:sz w:val="20"/>
                <w:szCs w:val="20"/>
                <w:color w:val="auto"/>
              </w:rPr>
            </w:pPr>
          </w:p>
        </w:tc>
        <w:tc>
          <w:tcPr>
            <w:tcW w:w="300" w:type="dxa"/>
            <w:vAlign w:val="bottom"/>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547,293</w:t>
            </w:r>
          </w:p>
        </w:tc>
        <w:tc>
          <w:tcPr>
            <w:tcW w:w="24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1,029,767</w:t>
            </w:r>
          </w:p>
        </w:tc>
        <w:tc>
          <w:tcPr>
            <w:tcW w:w="240" w:type="dxa"/>
            <w:vAlign w:val="bottom"/>
          </w:tcPr>
          <w:p>
            <w:pPr>
              <w:spacing w:after="0"/>
              <w:rPr>
                <w:sz w:val="20"/>
                <w:szCs w:val="20"/>
                <w:color w:val="auto"/>
              </w:rPr>
            </w:pPr>
          </w:p>
        </w:tc>
        <w:tc>
          <w:tcPr>
            <w:tcW w:w="280" w:type="dxa"/>
            <w:vAlign w:val="bottom"/>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978,153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Cement</w:t>
            </w: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99,016</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87,440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192,700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184,300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20"/>
                <w:szCs w:val="20"/>
                <w:color w:val="auto"/>
              </w:rPr>
              <w:t>Ready Mixed Concrete</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241,894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214,947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464,275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401,799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Asphalt and Paving</w:t>
            </w: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111,975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88,081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138,577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101,918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20"/>
                <w:szCs w:val="20"/>
                <w:color w:val="auto"/>
              </w:rPr>
              <w:t>Less: Interproduct Sales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20"/>
                <w:szCs w:val="20"/>
                <w:color w:val="auto"/>
              </w:rPr>
              <w:t>(99,538)</w:t>
            </w:r>
          </w:p>
        </w:tc>
        <w:tc>
          <w:tcPr>
            <w:tcW w:w="3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20"/>
                <w:szCs w:val="20"/>
                <w:color w:val="auto"/>
              </w:rPr>
              <w:t>(81,191)</w:t>
            </w: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(165,162)</w:t>
            </w:r>
          </w:p>
        </w:tc>
        <w:tc>
          <w:tcPr>
            <w:tcW w:w="2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(135,145)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62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931,735</w:t>
            </w:r>
          </w:p>
        </w:tc>
        <w:tc>
          <w:tcPr>
            <w:tcW w:w="24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856,570</w:t>
            </w:r>
          </w:p>
        </w:tc>
        <w:tc>
          <w:tcPr>
            <w:tcW w:w="2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1,660,157</w:t>
            </w:r>
          </w:p>
        </w:tc>
        <w:tc>
          <w:tcPr>
            <w:tcW w:w="24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1,531,025</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Borders>
              <w:bottom w:val="single" w:sz="8" w:color="CFF0FC"/>
            </w:tcBorders>
            <w:gridSpan w:val="3"/>
          </w:tcPr>
          <w:p>
            <w:pPr>
              <w:spacing w:after="0"/>
              <w:rPr>
                <w:sz w:val="20"/>
                <w:szCs w:val="20"/>
                <w:color w:val="auto"/>
              </w:rPr>
            </w:pPr>
            <w:r>
              <w:rPr>
                <w:rFonts w:ascii="Arial" w:cs="Arial" w:eastAsia="Arial" w:hAnsi="Arial"/>
                <w:sz w:val="20"/>
                <w:szCs w:val="20"/>
                <w:color w:val="auto"/>
              </w:rPr>
              <w:t>Magnesia Specialties</w:t>
            </w:r>
          </w:p>
        </w:tc>
        <w:tc>
          <w:tcPr>
            <w:tcW w:w="16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64,554</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58,866</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127,816</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118,371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16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996,289</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915,436</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1,787,973</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1,649,396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4280" w:type="dxa"/>
            <w:vAlign w:val="bottom"/>
            <w:gridSpan w:val="3"/>
            <w:shd w:val="clear" w:color="auto" w:fill="CFF0FC"/>
          </w:tcPr>
          <w:p>
            <w:pPr>
              <w:spacing w:after="0" w:line="201" w:lineRule="exact"/>
              <w:rPr>
                <w:sz w:val="20"/>
                <w:szCs w:val="20"/>
                <w:color w:val="auto"/>
              </w:rPr>
            </w:pPr>
            <w:r>
              <w:rPr>
                <w:rFonts w:ascii="Arial" w:cs="Arial" w:eastAsia="Arial" w:hAnsi="Arial"/>
                <w:sz w:val="20"/>
                <w:szCs w:val="20"/>
                <w:color w:val="auto"/>
              </w:rPr>
              <w:t>Gross profit (loss):</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Aggregates</w:t>
            </w:r>
          </w:p>
        </w:tc>
        <w:tc>
          <w:tcPr>
            <w:tcW w:w="2860" w:type="dxa"/>
            <w:vAlign w:val="bottom"/>
            <w:tcBorders>
              <w:top w:val="single" w:sz="8" w:color="CFF0FC"/>
            </w:tcBorders>
          </w:tcPr>
          <w:p>
            <w:pPr>
              <w:spacing w:after="0"/>
              <w:rPr>
                <w:sz w:val="20"/>
                <w:szCs w:val="20"/>
                <w:color w:val="auto"/>
              </w:rPr>
            </w:pPr>
          </w:p>
        </w:tc>
        <w:tc>
          <w:tcPr>
            <w:tcW w:w="1860" w:type="dxa"/>
            <w:vAlign w:val="bottom"/>
            <w:tcBorders>
              <w:top w:val="single" w:sz="8" w:color="CFF0FC"/>
            </w:tcBorders>
            <w:gridSpan w:val="2"/>
          </w:tcPr>
          <w:p>
            <w:pPr>
              <w:jc w:val="right"/>
              <w:ind w:right="42"/>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173,487</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165,044</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252,765</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247,080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Cement</w:t>
            </w: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29,448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24,048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60,358</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56,663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20"/>
                <w:szCs w:val="20"/>
                <w:color w:val="auto"/>
              </w:rPr>
              <w:t>Ready Mixed Concrete</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26,863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25,301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46,655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43,200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Asphalt and Paving</w:t>
            </w:r>
          </w:p>
        </w:tc>
        <w:tc>
          <w:tcPr>
            <w:tcW w:w="16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20,358</w:t>
            </w:r>
          </w:p>
        </w:tc>
        <w:tc>
          <w:tcPr>
            <w:tcW w:w="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12,867</w:t>
            </w:r>
          </w:p>
        </w:tc>
        <w:tc>
          <w:tcPr>
            <w:tcW w:w="2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15,568</w:t>
            </w:r>
          </w:p>
        </w:tc>
        <w:tc>
          <w:tcPr>
            <w:tcW w:w="2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00" w:type="dxa"/>
            <w:vAlign w:val="bottom"/>
            <w:gridSpan w:val="4"/>
          </w:tcPr>
          <w:p>
            <w:pPr>
              <w:spacing w:after="0"/>
              <w:rPr>
                <w:sz w:val="20"/>
                <w:szCs w:val="20"/>
                <w:color w:val="auto"/>
              </w:rPr>
            </w:pPr>
            <w:r>
              <w:rPr>
                <w:rFonts w:ascii="Arial" w:cs="Arial" w:eastAsia="Arial" w:hAnsi="Arial"/>
                <w:sz w:val="20"/>
                <w:szCs w:val="20"/>
                <w:color w:val="auto"/>
              </w:rPr>
              <w:t>Total Building Materials Business</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250,156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227,260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375,346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353,534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23,624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21,720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45,939</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44,718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20"/>
                <w:szCs w:val="20"/>
                <w:color w:val="auto"/>
              </w:rPr>
              <w:t>Corporate</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314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20"/>
                <w:szCs w:val="20"/>
                <w:color w:val="auto"/>
              </w:rPr>
              <w:t>(1,549)</w:t>
            </w: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(125)</w:t>
            </w:r>
          </w:p>
        </w:tc>
        <w:tc>
          <w:tcPr>
            <w:tcW w:w="2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(5,571)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16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274,094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247,431</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421,160</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392,681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380" w:hanging="373"/>
        <w:spacing w:after="0"/>
        <w:tabs>
          <w:tab w:leader="none" w:pos="38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Income, Net</w:t>
      </w:r>
    </w:p>
    <w:p>
      <w:pPr>
        <w:spacing w:after="0" w:line="110" w:lineRule="exact"/>
        <w:rPr>
          <w:rFonts w:ascii="Arial" w:cs="Arial" w:eastAsia="Arial" w:hAnsi="Arial"/>
          <w:sz w:val="20"/>
          <w:szCs w:val="20"/>
          <w:b w:val="1"/>
          <w:bCs w:val="1"/>
          <w:color w:val="auto"/>
        </w:rPr>
      </w:pPr>
    </w:p>
    <w:p>
      <w:pPr>
        <w:jc w:val="both"/>
        <w:ind w:left="38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Other operating income, net, for the quarter ended June 30, 2017, reflects a $13,500,000 gain on the sale of real estate and $6,100,000 of expense, including both cash and stock-based compensation components, related to the pending retirement of Anne Lloyd, Chief Financial Officer. The vesting of Ms. Lloyd’s shares of restricted stock awards, performance stock awards and stock options will continue on their original vesting schedules, which extend beyond Ms. Lloyd's retirement date. Accordingly, the Company recognized all remaining expense related to the stock-based awards.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7" w:lineRule="exact"/>
        <w:rPr>
          <w:sz w:val="20"/>
          <w:szCs w:val="20"/>
          <w:color w:val="auto"/>
        </w:rPr>
      </w:pPr>
    </w:p>
    <w:p>
      <w:pPr>
        <w:ind w:left="380" w:hanging="373"/>
        <w:spacing w:after="0"/>
        <w:tabs>
          <w:tab w:leader="none" w:pos="38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10"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components of the change in other assets and liabilities, net,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gridSpan w:val="3"/>
          </w:tcPr>
          <w:p>
            <w:pPr>
              <w:jc w:val="center"/>
              <w:ind w:left="542"/>
              <w:spacing w:after="0"/>
              <w:rPr>
                <w:sz w:val="20"/>
                <w:szCs w:val="20"/>
                <w:color w:val="auto"/>
              </w:rPr>
            </w:pPr>
            <w:r>
              <w:rPr>
                <w:rFonts w:ascii="Arial" w:cs="Arial" w:eastAsia="Arial" w:hAnsi="Arial"/>
                <w:sz w:val="20"/>
                <w:szCs w:val="20"/>
                <w:color w:val="auto"/>
                <w:w w:val="89"/>
              </w:rPr>
              <w:t>Six Months Ended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6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20"/>
                <w:szCs w:val="20"/>
                <w:color w:val="auto"/>
                <w:w w:val="85"/>
              </w:rPr>
              <w:t>June 30,</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6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2017</w:t>
            </w: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w w:val="85"/>
              </w:rPr>
              <w:t>2016</w:t>
            </w:r>
          </w:p>
        </w:tc>
        <w:tc>
          <w:tcPr>
            <w:tcW w:w="120" w:type="dxa"/>
            <w:vAlign w:val="bottom"/>
          </w:tcPr>
          <w:p>
            <w:pPr>
              <w:spacing w:after="0"/>
              <w:rPr>
                <w:sz w:val="20"/>
                <w:szCs w:val="20"/>
                <w:color w:val="auto"/>
              </w:rPr>
            </w:pPr>
          </w:p>
        </w:tc>
      </w:tr>
      <w:tr>
        <w:trPr>
          <w:trHeight w:val="234"/>
        </w:trPr>
        <w:tc>
          <w:tcPr>
            <w:tcW w:w="6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4"/>
          </w:tcPr>
          <w:p>
            <w:pPr>
              <w:jc w:val="center"/>
              <w:ind w:right="262"/>
              <w:spacing w:after="0"/>
              <w:rPr>
                <w:sz w:val="20"/>
                <w:szCs w:val="20"/>
                <w:color w:val="auto"/>
              </w:rPr>
            </w:pPr>
            <w:r>
              <w:rPr>
                <w:rFonts w:ascii="Arial" w:cs="Arial" w:eastAsia="Arial" w:hAnsi="Arial"/>
                <w:sz w:val="20"/>
                <w:szCs w:val="20"/>
                <w:i w:val="1"/>
                <w:iCs w:val="1"/>
                <w:color w:val="auto"/>
                <w:w w:val="90"/>
              </w:rPr>
              <w:t>(Dollars in Thousands)</w:t>
            </w:r>
          </w:p>
        </w:tc>
        <w:tc>
          <w:tcPr>
            <w:tcW w:w="120" w:type="dxa"/>
            <w:vAlign w:val="bottom"/>
          </w:tcPr>
          <w:p>
            <w:pPr>
              <w:spacing w:after="0"/>
              <w:rPr>
                <w:sz w:val="20"/>
                <w:szCs w:val="20"/>
                <w:color w:val="auto"/>
              </w:rPr>
            </w:pPr>
          </w:p>
        </w:tc>
      </w:tr>
      <w:tr>
        <w:trPr>
          <w:trHeight w:val="241"/>
        </w:trPr>
        <w:tc>
          <w:tcPr>
            <w:tcW w:w="6380" w:type="dxa"/>
            <w:vAlign w:val="bottom"/>
            <w:shd w:val="clear" w:color="auto" w:fill="CFF0FC"/>
          </w:tcPr>
          <w:p>
            <w:pPr>
              <w:spacing w:after="0"/>
              <w:rPr>
                <w:sz w:val="20"/>
                <w:szCs w:val="20"/>
                <w:color w:val="auto"/>
              </w:rPr>
            </w:pPr>
            <w:r>
              <w:rPr>
                <w:rFonts w:ascii="Arial" w:cs="Arial" w:eastAsia="Arial" w:hAnsi="Arial"/>
                <w:sz w:val="20"/>
                <w:szCs w:val="20"/>
                <w:color w:val="auto"/>
              </w:rPr>
              <w:t>Other current and noncurrent assets</w:t>
            </w:r>
          </w:p>
        </w:tc>
        <w:tc>
          <w:tcPr>
            <w:tcW w:w="1820" w:type="dxa"/>
            <w:vAlign w:val="bottom"/>
            <w:gridSpan w:val="2"/>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(32,332)</w:t>
            </w:r>
          </w:p>
        </w:tc>
        <w:tc>
          <w:tcPr>
            <w:tcW w:w="600" w:type="dxa"/>
            <w:vAlign w:val="bottom"/>
            <w:shd w:val="clear" w:color="auto" w:fill="CFF0FC"/>
          </w:tcPr>
          <w:p>
            <w:pPr>
              <w:jc w:val="right"/>
              <w:ind w:right="402"/>
              <w:spacing w:after="0"/>
              <w:rPr>
                <w:sz w:val="20"/>
                <w:szCs w:val="20"/>
                <w:color w:val="auto"/>
              </w:rPr>
            </w:pPr>
            <w:r>
              <w:rPr>
                <w:rFonts w:ascii="Arial" w:cs="Arial" w:eastAsia="Arial" w:hAnsi="Arial"/>
                <w:sz w:val="20"/>
                <w:szCs w:val="20"/>
                <w:color w:val="auto"/>
                <w:w w:val="71"/>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(9,691)</w:t>
            </w:r>
          </w:p>
        </w:tc>
      </w:tr>
      <w:tr>
        <w:trPr>
          <w:trHeight w:val="241"/>
        </w:trPr>
        <w:tc>
          <w:tcPr>
            <w:tcW w:w="6380" w:type="dxa"/>
            <w:vAlign w:val="bottom"/>
          </w:tcPr>
          <w:p>
            <w:pPr>
              <w:spacing w:after="0"/>
              <w:rPr>
                <w:sz w:val="20"/>
                <w:szCs w:val="20"/>
                <w:color w:val="auto"/>
              </w:rPr>
            </w:pPr>
            <w:r>
              <w:rPr>
                <w:rFonts w:ascii="Arial" w:cs="Arial" w:eastAsia="Arial" w:hAnsi="Arial"/>
                <w:sz w:val="20"/>
                <w:szCs w:val="20"/>
                <w:color w:val="auto"/>
              </w:rPr>
              <w:t>Accrued salaries, benefits and payroll taxes</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(7,892)</w:t>
            </w:r>
          </w:p>
        </w:tc>
        <w:tc>
          <w:tcPr>
            <w:tcW w:w="6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(7,808)</w:t>
            </w:r>
          </w:p>
        </w:tc>
      </w:tr>
      <w:tr>
        <w:trPr>
          <w:trHeight w:val="241"/>
        </w:trPr>
        <w:tc>
          <w:tcPr>
            <w:tcW w:w="6380" w:type="dxa"/>
            <w:vAlign w:val="bottom"/>
            <w:shd w:val="clear" w:color="auto" w:fill="CFF0FC"/>
          </w:tcPr>
          <w:p>
            <w:pPr>
              <w:spacing w:after="0"/>
              <w:rPr>
                <w:sz w:val="20"/>
                <w:szCs w:val="20"/>
                <w:color w:val="auto"/>
              </w:rPr>
            </w:pPr>
            <w:r>
              <w:rPr>
                <w:rFonts w:ascii="Arial" w:cs="Arial" w:eastAsia="Arial" w:hAnsi="Arial"/>
                <w:sz w:val="20"/>
                <w:szCs w:val="20"/>
                <w:color w:val="auto"/>
              </w:rPr>
              <w:t>Accrued insurance and other taxes</w:t>
            </w:r>
          </w:p>
        </w:tc>
        <w:tc>
          <w:tcPr>
            <w:tcW w:w="14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(134)</w:t>
            </w:r>
          </w:p>
        </w:tc>
        <w:tc>
          <w:tcPr>
            <w:tcW w:w="6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(256)</w:t>
            </w:r>
          </w:p>
        </w:tc>
      </w:tr>
      <w:tr>
        <w:trPr>
          <w:trHeight w:val="241"/>
        </w:trPr>
        <w:tc>
          <w:tcPr>
            <w:tcW w:w="6380" w:type="dxa"/>
            <w:vAlign w:val="bottom"/>
          </w:tcPr>
          <w:p>
            <w:pPr>
              <w:spacing w:after="0"/>
              <w:rPr>
                <w:sz w:val="20"/>
                <w:szCs w:val="20"/>
                <w:color w:val="auto"/>
              </w:rPr>
            </w:pPr>
            <w:r>
              <w:rPr>
                <w:rFonts w:ascii="Arial" w:cs="Arial" w:eastAsia="Arial" w:hAnsi="Arial"/>
                <w:sz w:val="20"/>
                <w:szCs w:val="20"/>
                <w:color w:val="auto"/>
              </w:rPr>
              <w:t>Accrued income taxes</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28,047</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(8,495)</w:t>
            </w:r>
          </w:p>
        </w:tc>
      </w:tr>
      <w:tr>
        <w:trPr>
          <w:trHeight w:val="241"/>
        </w:trPr>
        <w:tc>
          <w:tcPr>
            <w:tcW w:w="6380" w:type="dxa"/>
            <w:vAlign w:val="bottom"/>
            <w:shd w:val="clear" w:color="auto" w:fill="CFF0FC"/>
          </w:tcPr>
          <w:p>
            <w:pPr>
              <w:spacing w:after="0"/>
              <w:rPr>
                <w:sz w:val="20"/>
                <w:szCs w:val="20"/>
                <w:color w:val="auto"/>
              </w:rPr>
            </w:pPr>
            <w:r>
              <w:rPr>
                <w:rFonts w:ascii="Arial" w:cs="Arial" w:eastAsia="Arial" w:hAnsi="Arial"/>
                <w:sz w:val="20"/>
                <w:szCs w:val="20"/>
                <w:color w:val="auto"/>
              </w:rPr>
              <w:t>Accrued pension, postretirement and postemployment benefits</w:t>
            </w:r>
          </w:p>
        </w:tc>
        <w:tc>
          <w:tcPr>
            <w:tcW w:w="14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11,521</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11,757</w:t>
            </w:r>
          </w:p>
        </w:tc>
        <w:tc>
          <w:tcPr>
            <w:tcW w:w="120" w:type="dxa"/>
            <w:vAlign w:val="bottom"/>
            <w:shd w:val="clear" w:color="auto" w:fill="CFF0FC"/>
          </w:tcPr>
          <w:p>
            <w:pPr>
              <w:spacing w:after="0"/>
              <w:rPr>
                <w:sz w:val="20"/>
                <w:szCs w:val="20"/>
                <w:color w:val="auto"/>
              </w:rPr>
            </w:pPr>
          </w:p>
        </w:tc>
      </w:tr>
      <w:tr>
        <w:trPr>
          <w:trHeight w:val="241"/>
        </w:trPr>
        <w:tc>
          <w:tcPr>
            <w:tcW w:w="6380" w:type="dxa"/>
            <w:vAlign w:val="bottom"/>
          </w:tcPr>
          <w:p>
            <w:pPr>
              <w:spacing w:after="0"/>
              <w:rPr>
                <w:sz w:val="20"/>
                <w:szCs w:val="20"/>
                <w:color w:val="auto"/>
              </w:rPr>
            </w:pPr>
            <w:r>
              <w:rPr>
                <w:rFonts w:ascii="Arial" w:cs="Arial" w:eastAsia="Arial" w:hAnsi="Arial"/>
                <w:sz w:val="20"/>
                <w:szCs w:val="20"/>
                <w:color w:val="auto"/>
              </w:rPr>
              <w:t>Other current and noncurrent liabilities</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30,740</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(5,477)</w:t>
            </w:r>
          </w:p>
        </w:tc>
      </w:tr>
      <w:tr>
        <w:trPr>
          <w:trHeight w:val="234"/>
        </w:trPr>
        <w:tc>
          <w:tcPr>
            <w:tcW w:w="6380" w:type="dxa"/>
            <w:vAlign w:val="bottom"/>
            <w:tcBorders>
              <w:top w:val="single" w:sz="8" w:color="CFF0FC"/>
              <w:bottom w:val="single" w:sz="8" w:color="CFF0FC"/>
            </w:tcBorders>
            <w:shd w:val="clear" w:color="auto" w:fill="CFF0FC"/>
          </w:tcPr>
          <w:p>
            <w:pPr>
              <w:spacing w:after="0"/>
              <w:rPr>
                <w:sz w:val="20"/>
                <w:szCs w:val="20"/>
                <w:color w:val="auto"/>
              </w:rPr>
            </w:pPr>
          </w:p>
        </w:tc>
        <w:tc>
          <w:tcPr>
            <w:tcW w:w="146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29,950</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ind w:right="402"/>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(19,970)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The change in other current and noncurrent assets and other current and noncurrent liabilities is primarily attributable to an accrual of insurance claims over the deductible limits. Additionally, the change in other current and noncurrent liabilities is due to retirement expense in the current year and the write-off of coal contracts in the prior year. The change in accrued income taxes is attributable to net operating loss carryforwards utilized in the prior year.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Noncash investing and financing activities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80" w:type="dxa"/>
            <w:vAlign w:val="bottom"/>
            <w:gridSpan w:val="2"/>
          </w:tcPr>
          <w:p>
            <w:pPr>
              <w:jc w:val="center"/>
              <w:ind w:right="322"/>
              <w:spacing w:after="0"/>
              <w:rPr>
                <w:sz w:val="20"/>
                <w:szCs w:val="20"/>
                <w:color w:val="auto"/>
              </w:rPr>
            </w:pPr>
            <w:r>
              <w:rPr>
                <w:rFonts w:ascii="Arial" w:cs="Arial" w:eastAsia="Arial" w:hAnsi="Arial"/>
                <w:sz w:val="20"/>
                <w:szCs w:val="20"/>
                <w:color w:val="auto"/>
                <w:w w:val="89"/>
              </w:rPr>
              <w:t>Six Months Ended</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6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center"/>
              <w:ind w:right="322"/>
              <w:spacing w:after="0"/>
              <w:rPr>
                <w:sz w:val="20"/>
                <w:szCs w:val="20"/>
                <w:color w:val="auto"/>
              </w:rPr>
            </w:pPr>
            <w:r>
              <w:rPr>
                <w:rFonts w:ascii="Arial" w:cs="Arial" w:eastAsia="Arial" w:hAnsi="Arial"/>
                <w:sz w:val="20"/>
                <w:szCs w:val="20"/>
                <w:color w:val="auto"/>
                <w:w w:val="85"/>
              </w:rPr>
              <w:t>June 30,</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6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7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2016</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6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80" w:type="dxa"/>
            <w:vAlign w:val="bottom"/>
            <w:gridSpan w:val="3"/>
          </w:tcPr>
          <w:p>
            <w:pPr>
              <w:jc w:val="center"/>
              <w:ind w:left="482"/>
              <w:spacing w:after="0"/>
              <w:rPr>
                <w:sz w:val="20"/>
                <w:szCs w:val="20"/>
                <w:color w:val="auto"/>
              </w:rPr>
            </w:pPr>
            <w:r>
              <w:rPr>
                <w:rFonts w:ascii="Arial" w:cs="Arial" w:eastAsia="Arial" w:hAnsi="Arial"/>
                <w:sz w:val="20"/>
                <w:szCs w:val="20"/>
                <w:i w:val="1"/>
                <w:iCs w:val="1"/>
                <w:color w:val="auto"/>
                <w:w w:val="90"/>
              </w:rPr>
              <w:t>(Dollars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6720" w:type="dxa"/>
            <w:vAlign w:val="bottom"/>
            <w:shd w:val="clear" w:color="auto" w:fill="CFF0FC"/>
          </w:tcPr>
          <w:p>
            <w:pPr>
              <w:spacing w:after="0"/>
              <w:rPr>
                <w:sz w:val="20"/>
                <w:szCs w:val="20"/>
                <w:color w:val="auto"/>
              </w:rPr>
            </w:pPr>
            <w:r>
              <w:rPr>
                <w:rFonts w:ascii="Arial" w:cs="Arial" w:eastAsia="Arial" w:hAnsi="Arial"/>
                <w:sz w:val="20"/>
                <w:szCs w:val="20"/>
                <w:color w:val="auto"/>
              </w:rPr>
              <w:t>Noncash investing and financing activities:</w:t>
            </w:r>
          </w:p>
        </w:tc>
        <w:tc>
          <w:tcPr>
            <w:tcW w:w="1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1"/>
        </w:trPr>
        <w:tc>
          <w:tcPr>
            <w:tcW w:w="6720" w:type="dxa"/>
            <w:vAlign w:val="bottom"/>
          </w:tcPr>
          <w:p>
            <w:pPr>
              <w:ind w:left="260"/>
              <w:spacing w:after="0"/>
              <w:rPr>
                <w:sz w:val="20"/>
                <w:szCs w:val="20"/>
                <w:color w:val="auto"/>
              </w:rPr>
            </w:pPr>
            <w:r>
              <w:rPr>
                <w:rFonts w:ascii="Arial" w:cs="Arial" w:eastAsia="Arial" w:hAnsi="Arial"/>
                <w:sz w:val="20"/>
                <w:szCs w:val="20"/>
                <w:color w:val="auto"/>
              </w:rPr>
              <w:t>Accrued liabilities for purchases of property, plant and equipment</w:t>
            </w:r>
          </w:p>
        </w:tc>
        <w:tc>
          <w:tcPr>
            <w:tcW w:w="2120" w:type="dxa"/>
            <w:vAlign w:val="bottom"/>
            <w:gridSpan w:val="2"/>
          </w:tcPr>
          <w:p>
            <w:pPr>
              <w:jc w:val="right"/>
              <w:ind w:right="802"/>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2"/>
              <w:spacing w:after="0"/>
              <w:rPr>
                <w:sz w:val="20"/>
                <w:szCs w:val="20"/>
                <w:color w:val="auto"/>
              </w:rPr>
            </w:pPr>
            <w:r>
              <w:rPr>
                <w:rFonts w:ascii="Arial" w:cs="Arial" w:eastAsia="Arial" w:hAnsi="Arial"/>
                <w:sz w:val="20"/>
                <w:szCs w:val="20"/>
                <w:color w:val="auto"/>
                <w:w w:val="91"/>
              </w:rPr>
              <w:t>34,714</w:t>
            </w:r>
          </w:p>
        </w:tc>
        <w:tc>
          <w:tcPr>
            <w:tcW w:w="1160" w:type="dxa"/>
            <w:vAlign w:val="bottom"/>
          </w:tcPr>
          <w:p>
            <w:pPr>
              <w:jc w:val="right"/>
              <w:ind w:right="822"/>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33,959</w:t>
            </w:r>
          </w:p>
        </w:tc>
        <w:tc>
          <w:tcPr>
            <w:tcW w:w="120" w:type="dxa"/>
            <w:vAlign w:val="bottom"/>
          </w:tcPr>
          <w:p>
            <w:pPr>
              <w:spacing w:after="0"/>
              <w:rPr>
                <w:sz w:val="20"/>
                <w:szCs w:val="20"/>
                <w:color w:val="auto"/>
              </w:rPr>
            </w:pPr>
          </w:p>
        </w:tc>
      </w:tr>
      <w:tr>
        <w:trPr>
          <w:trHeight w:val="241"/>
        </w:trPr>
        <w:tc>
          <w:tcPr>
            <w:tcW w:w="67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 of assets through capital lease</w:t>
            </w:r>
          </w:p>
        </w:tc>
        <w:tc>
          <w:tcPr>
            <w:tcW w:w="2120" w:type="dxa"/>
            <w:vAlign w:val="bottom"/>
            <w:gridSpan w:val="2"/>
            <w:shd w:val="clear" w:color="auto" w:fill="CFF0FC"/>
          </w:tcPr>
          <w:p>
            <w:pPr>
              <w:jc w:val="right"/>
              <w:ind w:right="802"/>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rPr>
              <w:t>149</w:t>
            </w:r>
          </w:p>
        </w:tc>
        <w:tc>
          <w:tcPr>
            <w:tcW w:w="1160" w:type="dxa"/>
            <w:vAlign w:val="bottom"/>
            <w:shd w:val="clear" w:color="auto" w:fill="CFF0FC"/>
          </w:tcPr>
          <w:p>
            <w:pPr>
              <w:jc w:val="right"/>
              <w:ind w:right="822"/>
              <w:spacing w:after="0"/>
              <w:rPr>
                <w:sz w:val="20"/>
                <w:szCs w:val="20"/>
                <w:color w:val="auto"/>
              </w:rPr>
            </w:pPr>
            <w:r>
              <w:rPr>
                <w:rFonts w:ascii="Arial" w:cs="Arial" w:eastAsia="Arial" w:hAnsi="Arial"/>
                <w:sz w:val="20"/>
                <w:szCs w:val="20"/>
                <w:color w:val="auto"/>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49"/>
        </w:trPr>
        <w:tc>
          <w:tcPr>
            <w:tcW w:w="6720" w:type="dxa"/>
            <w:vAlign w:val="bottom"/>
          </w:tcPr>
          <w:p>
            <w:pPr>
              <w:ind w:left="260"/>
              <w:spacing w:after="0"/>
              <w:rPr>
                <w:sz w:val="20"/>
                <w:szCs w:val="20"/>
                <w:color w:val="auto"/>
              </w:rPr>
            </w:pPr>
            <w:r>
              <w:rPr>
                <w:rFonts w:ascii="Arial" w:cs="Arial" w:eastAsia="Arial" w:hAnsi="Arial"/>
                <w:sz w:val="20"/>
                <w:szCs w:val="20"/>
                <w:color w:val="auto"/>
              </w:rPr>
              <w:t>Settlement of royalty obligation via asset sale</w:t>
            </w:r>
          </w:p>
        </w:tc>
        <w:tc>
          <w:tcPr>
            <w:tcW w:w="2120" w:type="dxa"/>
            <w:vAlign w:val="bottom"/>
            <w:gridSpan w:val="2"/>
          </w:tcPr>
          <w:p>
            <w:pPr>
              <w:jc w:val="right"/>
              <w:ind w:right="802"/>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2"/>
              <w:spacing w:after="0"/>
              <w:rPr>
                <w:sz w:val="20"/>
                <w:szCs w:val="20"/>
                <w:color w:val="auto"/>
              </w:rPr>
            </w:pPr>
            <w:r>
              <w:rPr>
                <w:rFonts w:ascii="Arial" w:cs="Arial" w:eastAsia="Arial" w:hAnsi="Arial"/>
                <w:sz w:val="20"/>
                <w:szCs w:val="20"/>
                <w:color w:val="auto"/>
              </w:rPr>
              <w:t>900</w:t>
            </w:r>
          </w:p>
        </w:tc>
        <w:tc>
          <w:tcPr>
            <w:tcW w:w="1160" w:type="dxa"/>
            <w:vAlign w:val="bottom"/>
          </w:tcPr>
          <w:p>
            <w:pPr>
              <w:jc w:val="right"/>
              <w:ind w:right="822"/>
              <w:spacing w:after="0"/>
              <w:rPr>
                <w:sz w:val="20"/>
                <w:szCs w:val="20"/>
                <w:color w:val="auto"/>
              </w:rPr>
            </w:pPr>
            <w:r>
              <w:rPr>
                <w:rFonts w:ascii="Arial" w:cs="Arial" w:eastAsia="Arial" w:hAnsi="Arial"/>
                <w:sz w:val="20"/>
                <w:szCs w:val="20"/>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465"/>
        </w:trPr>
        <w:tc>
          <w:tcPr>
            <w:tcW w:w="6720" w:type="dxa"/>
            <w:vAlign w:val="bottom"/>
          </w:tcPr>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7"/>
        </w:trPr>
        <w:tc>
          <w:tcPr>
            <w:tcW w:w="6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gridSpan w:val="2"/>
          </w:tcPr>
          <w:p>
            <w:pPr>
              <w:jc w:val="center"/>
              <w:ind w:right="322"/>
              <w:spacing w:after="0"/>
              <w:rPr>
                <w:sz w:val="20"/>
                <w:szCs w:val="20"/>
                <w:color w:val="auto"/>
              </w:rPr>
            </w:pPr>
            <w:r>
              <w:rPr>
                <w:rFonts w:ascii="Arial" w:cs="Arial" w:eastAsia="Arial" w:hAnsi="Arial"/>
                <w:sz w:val="20"/>
                <w:szCs w:val="20"/>
                <w:color w:val="auto"/>
                <w:w w:val="89"/>
              </w:rPr>
              <w:t>Six Months Ended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4"/>
        </w:trPr>
        <w:tc>
          <w:tcPr>
            <w:tcW w:w="6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center"/>
              <w:ind w:right="322"/>
              <w:spacing w:after="0"/>
              <w:rPr>
                <w:sz w:val="20"/>
                <w:szCs w:val="20"/>
                <w:color w:val="auto"/>
              </w:rPr>
            </w:pPr>
            <w:r>
              <w:rPr>
                <w:rFonts w:ascii="Arial" w:cs="Arial" w:eastAsia="Arial" w:hAnsi="Arial"/>
                <w:sz w:val="20"/>
                <w:szCs w:val="20"/>
                <w:color w:val="auto"/>
                <w:w w:val="85"/>
              </w:rPr>
              <w:t>June 30,</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6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7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2016</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6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80" w:type="dxa"/>
            <w:vAlign w:val="bottom"/>
            <w:gridSpan w:val="3"/>
          </w:tcPr>
          <w:p>
            <w:pPr>
              <w:jc w:val="center"/>
              <w:ind w:left="482"/>
              <w:spacing w:after="0"/>
              <w:rPr>
                <w:sz w:val="20"/>
                <w:szCs w:val="20"/>
                <w:color w:val="auto"/>
              </w:rPr>
            </w:pPr>
            <w:r>
              <w:rPr>
                <w:rFonts w:ascii="Arial" w:cs="Arial" w:eastAsia="Arial" w:hAnsi="Arial"/>
                <w:sz w:val="20"/>
                <w:szCs w:val="20"/>
                <w:i w:val="1"/>
                <w:iCs w:val="1"/>
                <w:color w:val="auto"/>
                <w:w w:val="90"/>
              </w:rPr>
              <w:t>(Dollars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6720" w:type="dxa"/>
            <w:vAlign w:val="bottom"/>
            <w:shd w:val="clear" w:color="auto" w:fill="CFF0FC"/>
          </w:tcPr>
          <w:p>
            <w:pPr>
              <w:spacing w:after="0"/>
              <w:rPr>
                <w:sz w:val="20"/>
                <w:szCs w:val="20"/>
                <w:color w:val="auto"/>
              </w:rPr>
            </w:pPr>
            <w:r>
              <w:rPr>
                <w:rFonts w:ascii="Arial" w:cs="Arial" w:eastAsia="Arial" w:hAnsi="Arial"/>
                <w:sz w:val="20"/>
                <w:szCs w:val="20"/>
                <w:color w:val="auto"/>
              </w:rPr>
              <w:t>Cash paid for interest</w:t>
            </w:r>
          </w:p>
        </w:tc>
        <w:tc>
          <w:tcPr>
            <w:tcW w:w="2120" w:type="dxa"/>
            <w:vAlign w:val="bottom"/>
            <w:gridSpan w:val="2"/>
            <w:shd w:val="clear" w:color="auto" w:fill="CFF0FC"/>
          </w:tcPr>
          <w:p>
            <w:pPr>
              <w:jc w:val="right"/>
              <w:ind w:right="802"/>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91"/>
              </w:rPr>
              <w:t>38,111</w:t>
            </w:r>
          </w:p>
        </w:tc>
        <w:tc>
          <w:tcPr>
            <w:tcW w:w="1160" w:type="dxa"/>
            <w:vAlign w:val="bottom"/>
            <w:shd w:val="clear" w:color="auto" w:fill="CFF0FC"/>
          </w:tcPr>
          <w:p>
            <w:pPr>
              <w:jc w:val="right"/>
              <w:ind w:right="822"/>
              <w:spacing w:after="0"/>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36,630</w:t>
            </w:r>
          </w:p>
        </w:tc>
        <w:tc>
          <w:tcPr>
            <w:tcW w:w="120" w:type="dxa"/>
            <w:vAlign w:val="bottom"/>
            <w:shd w:val="clear" w:color="auto" w:fill="CFF0FC"/>
          </w:tcPr>
          <w:p>
            <w:pPr>
              <w:spacing w:after="0"/>
              <w:rPr>
                <w:sz w:val="20"/>
                <w:szCs w:val="20"/>
                <w:color w:val="auto"/>
              </w:rPr>
            </w:pPr>
          </w:p>
        </w:tc>
      </w:tr>
      <w:tr>
        <w:trPr>
          <w:trHeight w:val="249"/>
        </w:trPr>
        <w:tc>
          <w:tcPr>
            <w:tcW w:w="6720" w:type="dxa"/>
            <w:vAlign w:val="bottom"/>
          </w:tcPr>
          <w:p>
            <w:pPr>
              <w:spacing w:after="0"/>
              <w:rPr>
                <w:sz w:val="20"/>
                <w:szCs w:val="20"/>
                <w:color w:val="auto"/>
              </w:rPr>
            </w:pPr>
            <w:r>
              <w:rPr>
                <w:rFonts w:ascii="Arial" w:cs="Arial" w:eastAsia="Arial" w:hAnsi="Arial"/>
                <w:sz w:val="20"/>
                <w:szCs w:val="20"/>
                <w:color w:val="auto"/>
              </w:rPr>
              <w:t>Cash paid for income taxes</w:t>
            </w:r>
          </w:p>
        </w:tc>
        <w:tc>
          <w:tcPr>
            <w:tcW w:w="2120" w:type="dxa"/>
            <w:vAlign w:val="bottom"/>
            <w:gridSpan w:val="2"/>
          </w:tcPr>
          <w:p>
            <w:pPr>
              <w:jc w:val="right"/>
              <w:ind w:right="802"/>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42"/>
              <w:spacing w:after="0"/>
              <w:rPr>
                <w:sz w:val="20"/>
                <w:szCs w:val="20"/>
                <w:color w:val="auto"/>
              </w:rPr>
            </w:pPr>
            <w:r>
              <w:rPr>
                <w:rFonts w:ascii="Arial" w:cs="Arial" w:eastAsia="Arial" w:hAnsi="Arial"/>
                <w:sz w:val="20"/>
                <w:szCs w:val="20"/>
                <w:color w:val="auto"/>
                <w:w w:val="91"/>
              </w:rPr>
              <w:t>33,264</w:t>
            </w:r>
          </w:p>
        </w:tc>
        <w:tc>
          <w:tcPr>
            <w:tcW w:w="1160" w:type="dxa"/>
            <w:vAlign w:val="bottom"/>
          </w:tcPr>
          <w:p>
            <w:pPr>
              <w:jc w:val="right"/>
              <w:ind w:right="822"/>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47,159</w:t>
            </w:r>
          </w:p>
        </w:tc>
        <w:tc>
          <w:tcPr>
            <w:tcW w:w="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p>
      <w:pPr>
        <w:ind w:left="380" w:hanging="373"/>
        <w:spacing w:after="0"/>
        <w:tabs>
          <w:tab w:leader="none" w:pos="38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Combinations</w:t>
      </w:r>
    </w:p>
    <w:p>
      <w:pPr>
        <w:spacing w:after="0" w:line="110" w:lineRule="exact"/>
        <w:rPr>
          <w:rFonts w:ascii="Arial" w:cs="Arial" w:eastAsia="Arial" w:hAnsi="Arial"/>
          <w:sz w:val="20"/>
          <w:szCs w:val="20"/>
          <w:b w:val="1"/>
          <w:bCs w:val="1"/>
          <w:color w:val="auto"/>
        </w:rPr>
      </w:pPr>
    </w:p>
    <w:p>
      <w:pPr>
        <w:jc w:val="both"/>
        <w:ind w:left="380"/>
        <w:spacing w:after="0" w:line="312" w:lineRule="auto"/>
        <w:rPr>
          <w:rFonts w:ascii="Arial" w:cs="Arial" w:eastAsia="Arial" w:hAnsi="Arial"/>
          <w:sz w:val="20"/>
          <w:szCs w:val="20"/>
          <w:b w:val="1"/>
          <w:bCs w:val="1"/>
          <w:color w:val="auto"/>
        </w:rPr>
      </w:pPr>
      <w:r>
        <w:rPr>
          <w:rFonts w:ascii="Arial" w:cs="Arial" w:eastAsia="Arial" w:hAnsi="Arial"/>
          <w:sz w:val="17"/>
          <w:szCs w:val="17"/>
          <w:color w:val="auto"/>
        </w:rPr>
        <w:t>In the first quarter 2016, the Company acquired the outstanding stock of Rocky Mountain Materials and Asphalt, Inc., and Rocky Mountain Premix Inc. The acquisition provides more than 500 million tons of mineral reserves and expands the Company’s presence along the Front Range of the Rocky Mountains, home to 80% of Colorado’s population. The acquired operations are reported through the West Group.</w:t>
      </w:r>
    </w:p>
    <w:p>
      <w:pPr>
        <w:spacing w:after="0" w:line="27" w:lineRule="exact"/>
        <w:rPr>
          <w:rFonts w:ascii="Arial" w:cs="Arial" w:eastAsia="Arial" w:hAnsi="Arial"/>
          <w:sz w:val="20"/>
          <w:szCs w:val="20"/>
          <w:b w:val="1"/>
          <w:bCs w:val="1"/>
          <w:color w:val="auto"/>
        </w:rPr>
      </w:pPr>
    </w:p>
    <w:p>
      <w:pPr>
        <w:jc w:val="both"/>
        <w:ind w:left="380"/>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In July 2016, the Company acquired the remaining interest in Ratliff Ready-Mix, L.P. (Ratliff), which operates ready mixed concrete plants in central Texas. Prior to the acquisition, the Company owned a 40% interest in Ratliff which was accounted for under the equity method. The Company was required to re-measure the existing 40% interest to fair value upon closing of the transaction, resulting in a gain of $5,863,000, which was recorded in other nonoperating income in third quarter 2016. These operations are reported in the West Group. The Company recorded fair values of the assets acquired and liabilities assumed; however, deferred income taxes and goodwill are subject to change upon review of the seller’s final tax return.</w:t>
      </w:r>
    </w:p>
    <w:p>
      <w:pPr>
        <w:spacing w:after="0" w:line="86" w:lineRule="exact"/>
        <w:rPr>
          <w:rFonts w:ascii="Arial" w:cs="Arial" w:eastAsia="Arial" w:hAnsi="Arial"/>
          <w:sz w:val="20"/>
          <w:szCs w:val="20"/>
          <w:b w:val="1"/>
          <w:bCs w:val="1"/>
          <w:color w:val="auto"/>
        </w:rPr>
      </w:pPr>
    </w:p>
    <w:p>
      <w:pPr>
        <w:ind w:left="38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The impact of these acquisitions on the operating results was not considered material; therefore, pro forma financial information is not included.</w:t>
      </w:r>
    </w:p>
    <w:p>
      <w:pPr>
        <w:spacing w:after="0" w:line="170" w:lineRule="exact"/>
        <w:rPr>
          <w:rFonts w:ascii="Arial" w:cs="Arial" w:eastAsia="Arial" w:hAnsi="Arial"/>
          <w:sz w:val="20"/>
          <w:szCs w:val="20"/>
          <w:b w:val="1"/>
          <w:bCs w:val="1"/>
          <w:color w:val="auto"/>
        </w:rPr>
      </w:pPr>
    </w:p>
    <w:p>
      <w:pPr>
        <w:ind w:left="380" w:hanging="373"/>
        <w:spacing w:after="0"/>
        <w:tabs>
          <w:tab w:leader="none" w:pos="38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Pending Acquisition of Bluegrass Materials</w:t>
      </w:r>
    </w:p>
    <w:p>
      <w:pPr>
        <w:spacing w:after="0" w:line="110" w:lineRule="exact"/>
        <w:rPr>
          <w:rFonts w:ascii="Arial" w:cs="Arial" w:eastAsia="Arial" w:hAnsi="Arial"/>
          <w:sz w:val="20"/>
          <w:szCs w:val="20"/>
          <w:b w:val="1"/>
          <w:bCs w:val="1"/>
          <w:color w:val="auto"/>
        </w:rPr>
      </w:pPr>
    </w:p>
    <w:p>
      <w:pPr>
        <w:jc w:val="both"/>
        <w:ind w:left="380"/>
        <w:spacing w:after="0" w:line="290" w:lineRule="auto"/>
        <w:rPr>
          <w:rFonts w:ascii="Arial" w:cs="Arial" w:eastAsia="Arial" w:hAnsi="Arial"/>
          <w:sz w:val="20"/>
          <w:szCs w:val="20"/>
          <w:b w:val="1"/>
          <w:bCs w:val="1"/>
          <w:color w:val="auto"/>
        </w:rPr>
      </w:pPr>
      <w:r>
        <w:rPr>
          <w:rFonts w:ascii="Arial" w:cs="Arial" w:eastAsia="Arial" w:hAnsi="Arial"/>
          <w:sz w:val="17"/>
          <w:szCs w:val="17"/>
          <w:color w:val="auto"/>
        </w:rPr>
        <w:t>On June 26, 2017, the Company announced a definitive agreement to acquire Bluegrass Materials Company (Bluegrass) for $1,625,000,000 in cash. The purchase price will be increased dollar-for-dollar by any cash on hand held by Bluegrass and decreased by the amount of any outstanding debt of Bluegrass, each as of the closing of the transaction. Bluegrass is the largest privately held, pure-play aggregates business in the United States and has a portfolio of 23 active sites with more than 125 years of strategically-located, high-quality reserves, in Georgia, South Carolina, Tennessee, Maryland and Kentucky. These operations complement the Company’s existing southeastern footprint and provides a new growth platform within the southern portion of the Northeast Megaregion. The transaction is expected to close in the fourth quarter of 2017, subject to regulatory approvals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Second Quarter Ended June 30, 2017</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Martin Marietta Materials, Inc. (the Company or Martin Marietta) is a leading supplier of building materials, including aggregates, cement, ready mixed concrete and asphalt and paving (collectively herein referred to as the Building Materials business). The aggregates product line is sold and shipped from a network of more than 270 quarries and distribution facilities in 26 states, Nova Scotia and the Bahamas. The cement, ready mixed concrete and asphalt and paving product lines are located in strategic, vertically-integrated markets, predominately Texas and Colorado. The Company’s annual consolidated net sales and earnings from operations are predominately derived from its Building Materials business which sells to all sectors of the public infrastructure, environmental industries, nonresidential and residential construction industries, as well as agriculture, railroad ballast, chemical, utility and other uses. The Building Materials business’ products are used primarily by commercial customers principally in domestic construction of highways and other infrastructure projects and for nonresidential and residential building development.</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Effective January 1, 2017, the Company reorganized the operations and management reporting structure of its Texas-based aggregates, ready mixed concrete and cement product lines, resulting in a change to its reportable segments. The Company currently conducts its Building Materials business through three reportable business segments: Mid-America Group, Southeast Group and West Group.</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6"/>
              </w:rPr>
              <w:t>Reportable Segments</w:t>
            </w:r>
          </w:p>
        </w:tc>
        <w:tc>
          <w:tcPr>
            <w:tcW w:w="45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93"/>
              </w:rPr>
              <w:t>Mid-America Group</w:t>
            </w:r>
          </w:p>
        </w:tc>
        <w:tc>
          <w:tcPr>
            <w:tcW w:w="18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7"/>
              </w:rPr>
              <w:t>Southeast Group</w:t>
            </w: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4"/>
        </w:trPr>
        <w:tc>
          <w:tcPr>
            <w:tcW w:w="168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89"/>
              </w:rPr>
              <w:t>Operating Locations</w:t>
            </w:r>
          </w:p>
        </w:tc>
        <w:tc>
          <w:tcPr>
            <w:tcW w:w="100" w:type="dxa"/>
            <w:vAlign w:val="bottom"/>
          </w:tcPr>
          <w:p>
            <w:pPr>
              <w:spacing w:after="0"/>
              <w:rPr>
                <w:sz w:val="17"/>
                <w:szCs w:val="17"/>
                <w:color w:val="auto"/>
              </w:rPr>
            </w:pPr>
          </w:p>
        </w:tc>
        <w:tc>
          <w:tcPr>
            <w:tcW w:w="442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89"/>
              </w:rPr>
              <w:t>Indiana, Iowa, northern Kansas, Kentucky, Maryland,</w:t>
            </w:r>
          </w:p>
        </w:tc>
        <w:tc>
          <w:tcPr>
            <w:tcW w:w="100" w:type="dxa"/>
            <w:vAlign w:val="bottom"/>
          </w:tcPr>
          <w:p>
            <w:pPr>
              <w:spacing w:after="0"/>
              <w:rPr>
                <w:sz w:val="17"/>
                <w:szCs w:val="17"/>
                <w:color w:val="auto"/>
              </w:rPr>
            </w:pPr>
          </w:p>
        </w:tc>
        <w:tc>
          <w:tcPr>
            <w:tcW w:w="174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91"/>
              </w:rPr>
              <w:t>Alabama, Florida,</w:t>
            </w:r>
          </w:p>
        </w:tc>
        <w:tc>
          <w:tcPr>
            <w:tcW w:w="120" w:type="dxa"/>
            <w:vAlign w:val="bottom"/>
          </w:tcPr>
          <w:p>
            <w:pPr>
              <w:spacing w:after="0"/>
              <w:rPr>
                <w:sz w:val="17"/>
                <w:szCs w:val="17"/>
                <w:color w:val="auto"/>
              </w:rPr>
            </w:pPr>
          </w:p>
        </w:tc>
        <w:tc>
          <w:tcPr>
            <w:tcW w:w="326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20"/>
                <w:szCs w:val="20"/>
                <w:color w:val="auto"/>
                <w:w w:val="87"/>
              </w:rPr>
              <w:t>Arkansas, Colorado, southern Kansas,</w:t>
            </w:r>
          </w:p>
        </w:tc>
      </w:tr>
      <w:tr>
        <w:trPr>
          <w:trHeight w:val="227"/>
        </w:trPr>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2"/>
          </w:tcPr>
          <w:p>
            <w:pPr>
              <w:jc w:val="center"/>
              <w:ind w:right="80"/>
              <w:spacing w:after="0" w:line="228" w:lineRule="exact"/>
              <w:rPr>
                <w:sz w:val="20"/>
                <w:szCs w:val="20"/>
                <w:color w:val="auto"/>
              </w:rPr>
            </w:pPr>
            <w:r>
              <w:rPr>
                <w:rFonts w:ascii="Arial" w:cs="Arial" w:eastAsia="Arial" w:hAnsi="Arial"/>
                <w:sz w:val="20"/>
                <w:szCs w:val="20"/>
                <w:color w:val="auto"/>
                <w:w w:val="89"/>
              </w:rPr>
              <w:t>Minnesota, Missouri, eastern Nebraska, North Carolina,</w:t>
            </w:r>
          </w:p>
        </w:tc>
        <w:tc>
          <w:tcPr>
            <w:tcW w:w="1860" w:type="dxa"/>
            <w:vAlign w:val="bottom"/>
            <w:gridSpan w:val="2"/>
          </w:tcPr>
          <w:p>
            <w:pPr>
              <w:jc w:val="center"/>
              <w:ind w:right="100"/>
              <w:spacing w:after="0" w:line="228" w:lineRule="exact"/>
              <w:rPr>
                <w:sz w:val="20"/>
                <w:szCs w:val="20"/>
                <w:color w:val="auto"/>
              </w:rPr>
            </w:pPr>
            <w:r>
              <w:rPr>
                <w:rFonts w:ascii="Arial" w:cs="Arial" w:eastAsia="Arial" w:hAnsi="Arial"/>
                <w:sz w:val="20"/>
                <w:szCs w:val="20"/>
                <w:color w:val="auto"/>
                <w:w w:val="83"/>
              </w:rPr>
              <w:t>Georgia, Tennessee,</w:t>
            </w:r>
          </w:p>
        </w:tc>
        <w:tc>
          <w:tcPr>
            <w:tcW w:w="3260" w:type="dxa"/>
            <w:vAlign w:val="bottom"/>
          </w:tcPr>
          <w:p>
            <w:pPr>
              <w:jc w:val="center"/>
              <w:spacing w:after="0" w:line="228" w:lineRule="exact"/>
              <w:rPr>
                <w:sz w:val="20"/>
                <w:szCs w:val="20"/>
                <w:color w:val="auto"/>
              </w:rPr>
            </w:pPr>
            <w:r>
              <w:rPr>
                <w:rFonts w:ascii="Arial" w:cs="Arial" w:eastAsia="Arial" w:hAnsi="Arial"/>
                <w:sz w:val="20"/>
                <w:szCs w:val="20"/>
                <w:color w:val="auto"/>
                <w:w w:val="87"/>
              </w:rPr>
              <w:t>Louisiana, western Nebraska, Nevada,</w:t>
            </w:r>
          </w:p>
        </w:tc>
      </w:tr>
      <w:tr>
        <w:trPr>
          <w:trHeight w:val="227"/>
        </w:trPr>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2"/>
          </w:tcPr>
          <w:p>
            <w:pPr>
              <w:jc w:val="center"/>
              <w:ind w:right="80"/>
              <w:spacing w:after="0" w:line="228" w:lineRule="exact"/>
              <w:rPr>
                <w:sz w:val="20"/>
                <w:szCs w:val="20"/>
                <w:color w:val="auto"/>
              </w:rPr>
            </w:pPr>
            <w:r>
              <w:rPr>
                <w:rFonts w:ascii="Arial" w:cs="Arial" w:eastAsia="Arial" w:hAnsi="Arial"/>
                <w:sz w:val="20"/>
                <w:szCs w:val="20"/>
                <w:color w:val="auto"/>
                <w:w w:val="89"/>
              </w:rPr>
              <w:t>Ohio, South Carolina, Virginia, Washington and West</w:t>
            </w:r>
          </w:p>
        </w:tc>
        <w:tc>
          <w:tcPr>
            <w:tcW w:w="1860" w:type="dxa"/>
            <w:vAlign w:val="bottom"/>
            <w:gridSpan w:val="2"/>
          </w:tcPr>
          <w:p>
            <w:pPr>
              <w:jc w:val="center"/>
              <w:ind w:right="100"/>
              <w:spacing w:after="0" w:line="228" w:lineRule="exact"/>
              <w:rPr>
                <w:sz w:val="20"/>
                <w:szCs w:val="20"/>
                <w:color w:val="auto"/>
              </w:rPr>
            </w:pPr>
            <w:r>
              <w:rPr>
                <w:rFonts w:ascii="Arial" w:cs="Arial" w:eastAsia="Arial" w:hAnsi="Arial"/>
                <w:sz w:val="20"/>
                <w:szCs w:val="20"/>
                <w:color w:val="auto"/>
                <w:w w:val="88"/>
              </w:rPr>
              <w:t>Nova Scotia and the</w:t>
            </w:r>
          </w:p>
        </w:tc>
        <w:tc>
          <w:tcPr>
            <w:tcW w:w="3260" w:type="dxa"/>
            <w:vAlign w:val="bottom"/>
          </w:tcPr>
          <w:p>
            <w:pPr>
              <w:jc w:val="center"/>
              <w:spacing w:after="0" w:line="228" w:lineRule="exact"/>
              <w:rPr>
                <w:sz w:val="20"/>
                <w:szCs w:val="20"/>
                <w:color w:val="auto"/>
              </w:rPr>
            </w:pPr>
            <w:r>
              <w:rPr>
                <w:rFonts w:ascii="Arial" w:cs="Arial" w:eastAsia="Arial" w:hAnsi="Arial"/>
                <w:sz w:val="20"/>
                <w:szCs w:val="20"/>
                <w:color w:val="auto"/>
                <w:w w:val="88"/>
              </w:rPr>
              <w:t>Oklahoma, Texas, Utah and Wyoming</w:t>
            </w:r>
          </w:p>
        </w:tc>
      </w:tr>
      <w:tr>
        <w:trPr>
          <w:trHeight w:val="249"/>
        </w:trPr>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20" w:type="dxa"/>
            <w:vAlign w:val="bottom"/>
            <w:gridSpan w:val="2"/>
          </w:tcPr>
          <w:p>
            <w:pPr>
              <w:jc w:val="center"/>
              <w:ind w:right="80"/>
              <w:spacing w:after="0"/>
              <w:rPr>
                <w:sz w:val="20"/>
                <w:szCs w:val="20"/>
                <w:color w:val="auto"/>
              </w:rPr>
            </w:pPr>
            <w:r>
              <w:rPr>
                <w:rFonts w:ascii="Arial" w:cs="Arial" w:eastAsia="Arial" w:hAnsi="Arial"/>
                <w:sz w:val="20"/>
                <w:szCs w:val="20"/>
                <w:color w:val="auto"/>
                <w:w w:val="95"/>
              </w:rPr>
              <w:t>Virginia</w:t>
            </w:r>
          </w:p>
        </w:tc>
        <w:tc>
          <w:tcPr>
            <w:tcW w:w="1860" w:type="dxa"/>
            <w:vAlign w:val="bottom"/>
            <w:gridSpan w:val="2"/>
          </w:tcPr>
          <w:p>
            <w:pPr>
              <w:jc w:val="center"/>
              <w:ind w:right="100"/>
              <w:spacing w:after="0"/>
              <w:rPr>
                <w:sz w:val="20"/>
                <w:szCs w:val="20"/>
                <w:color w:val="auto"/>
              </w:rPr>
            </w:pPr>
            <w:r>
              <w:rPr>
                <w:rFonts w:ascii="Arial" w:cs="Arial" w:eastAsia="Arial" w:hAnsi="Arial"/>
                <w:sz w:val="20"/>
                <w:szCs w:val="20"/>
                <w:color w:val="auto"/>
                <w:w w:val="85"/>
              </w:rPr>
              <w:t>Bahamas</w:t>
            </w:r>
          </w:p>
        </w:tc>
        <w:tc>
          <w:tcPr>
            <w:tcW w:w="3260" w:type="dxa"/>
            <w:vAlign w:val="bottom"/>
          </w:tcPr>
          <w:p>
            <w:pPr>
              <w:spacing w:after="0"/>
              <w:rPr>
                <w:sz w:val="21"/>
                <w:szCs w:val="21"/>
                <w:color w:val="auto"/>
              </w:rPr>
            </w:pPr>
          </w:p>
        </w:tc>
      </w:tr>
      <w:tr>
        <w:trPr>
          <w:trHeight w:val="434"/>
        </w:trPr>
        <w:tc>
          <w:tcPr>
            <w:tcW w:w="1780" w:type="dxa"/>
            <w:vAlign w:val="bottom"/>
            <w:gridSpan w:val="2"/>
          </w:tcPr>
          <w:p>
            <w:pPr>
              <w:jc w:val="center"/>
              <w:ind w:right="80"/>
              <w:spacing w:after="0"/>
              <w:rPr>
                <w:sz w:val="20"/>
                <w:szCs w:val="20"/>
                <w:color w:val="auto"/>
              </w:rPr>
            </w:pPr>
            <w:r>
              <w:rPr>
                <w:rFonts w:ascii="Arial" w:cs="Arial" w:eastAsia="Arial" w:hAnsi="Arial"/>
                <w:sz w:val="20"/>
                <w:szCs w:val="20"/>
                <w:color w:val="auto"/>
                <w:w w:val="89"/>
              </w:rPr>
              <w:t>Product Lines</w:t>
            </w:r>
          </w:p>
        </w:tc>
        <w:tc>
          <w:tcPr>
            <w:tcW w:w="4520" w:type="dxa"/>
            <w:vAlign w:val="bottom"/>
            <w:gridSpan w:val="2"/>
          </w:tcPr>
          <w:p>
            <w:pPr>
              <w:jc w:val="center"/>
              <w:ind w:right="80"/>
              <w:spacing w:after="0"/>
              <w:rPr>
                <w:sz w:val="20"/>
                <w:szCs w:val="20"/>
                <w:color w:val="auto"/>
              </w:rPr>
            </w:pPr>
            <w:r>
              <w:rPr>
                <w:rFonts w:ascii="Arial" w:cs="Arial" w:eastAsia="Arial" w:hAnsi="Arial"/>
                <w:sz w:val="20"/>
                <w:szCs w:val="20"/>
                <w:color w:val="auto"/>
                <w:w w:val="86"/>
              </w:rPr>
              <w:t>Aggregates (crushed stone, sand and gravel)</w:t>
            </w:r>
          </w:p>
        </w:tc>
        <w:tc>
          <w:tcPr>
            <w:tcW w:w="1860" w:type="dxa"/>
            <w:vAlign w:val="bottom"/>
            <w:gridSpan w:val="2"/>
          </w:tcPr>
          <w:p>
            <w:pPr>
              <w:jc w:val="center"/>
              <w:ind w:right="100"/>
              <w:spacing w:after="0"/>
              <w:rPr>
                <w:sz w:val="20"/>
                <w:szCs w:val="20"/>
                <w:color w:val="auto"/>
              </w:rPr>
            </w:pPr>
            <w:r>
              <w:rPr>
                <w:rFonts w:ascii="Arial" w:cs="Arial" w:eastAsia="Arial" w:hAnsi="Arial"/>
                <w:sz w:val="20"/>
                <w:szCs w:val="20"/>
                <w:color w:val="auto"/>
                <w:w w:val="86"/>
              </w:rPr>
              <w:t>Aggregates (crushed</w:t>
            </w:r>
          </w:p>
        </w:tc>
        <w:tc>
          <w:tcPr>
            <w:tcW w:w="3260" w:type="dxa"/>
            <w:vAlign w:val="bottom"/>
          </w:tcPr>
          <w:p>
            <w:pPr>
              <w:jc w:val="center"/>
              <w:spacing w:after="0"/>
              <w:rPr>
                <w:sz w:val="20"/>
                <w:szCs w:val="20"/>
                <w:color w:val="auto"/>
              </w:rPr>
            </w:pPr>
            <w:r>
              <w:rPr>
                <w:rFonts w:ascii="Arial" w:cs="Arial" w:eastAsia="Arial" w:hAnsi="Arial"/>
                <w:sz w:val="20"/>
                <w:szCs w:val="20"/>
                <w:color w:val="auto"/>
                <w:w w:val="85"/>
              </w:rPr>
              <w:t>Aggregates (crushed stone, sand and</w:t>
            </w:r>
          </w:p>
        </w:tc>
      </w:tr>
      <w:tr>
        <w:trPr>
          <w:trHeight w:val="227"/>
        </w:trPr>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jc w:val="center"/>
              <w:ind w:right="100"/>
              <w:spacing w:after="0" w:line="228" w:lineRule="exact"/>
              <w:rPr>
                <w:sz w:val="20"/>
                <w:szCs w:val="20"/>
                <w:color w:val="auto"/>
              </w:rPr>
            </w:pPr>
            <w:r>
              <w:rPr>
                <w:rFonts w:ascii="Arial" w:cs="Arial" w:eastAsia="Arial" w:hAnsi="Arial"/>
                <w:sz w:val="20"/>
                <w:szCs w:val="20"/>
                <w:color w:val="auto"/>
                <w:w w:val="84"/>
              </w:rPr>
              <w:t>stone, sand and</w:t>
            </w:r>
          </w:p>
        </w:tc>
        <w:tc>
          <w:tcPr>
            <w:tcW w:w="3260" w:type="dxa"/>
            <w:vAlign w:val="bottom"/>
          </w:tcPr>
          <w:p>
            <w:pPr>
              <w:jc w:val="center"/>
              <w:spacing w:after="0" w:line="228" w:lineRule="exact"/>
              <w:rPr>
                <w:sz w:val="20"/>
                <w:szCs w:val="20"/>
                <w:color w:val="auto"/>
              </w:rPr>
            </w:pPr>
            <w:r>
              <w:rPr>
                <w:rFonts w:ascii="Arial" w:cs="Arial" w:eastAsia="Arial" w:hAnsi="Arial"/>
                <w:sz w:val="20"/>
                <w:szCs w:val="20"/>
                <w:color w:val="auto"/>
                <w:w w:val="88"/>
              </w:rPr>
              <w:t>gravel), cement (Portland and specialty</w:t>
            </w:r>
          </w:p>
        </w:tc>
      </w:tr>
      <w:tr>
        <w:trPr>
          <w:trHeight w:val="227"/>
        </w:trPr>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jc w:val="center"/>
              <w:ind w:right="100"/>
              <w:spacing w:after="0" w:line="228" w:lineRule="exact"/>
              <w:rPr>
                <w:sz w:val="20"/>
                <w:szCs w:val="20"/>
                <w:color w:val="auto"/>
              </w:rPr>
            </w:pPr>
            <w:r>
              <w:rPr>
                <w:rFonts w:ascii="Arial" w:cs="Arial" w:eastAsia="Arial" w:hAnsi="Arial"/>
                <w:sz w:val="20"/>
                <w:szCs w:val="20"/>
                <w:color w:val="auto"/>
                <w:w w:val="91"/>
              </w:rPr>
              <w:t>gravel)</w:t>
            </w:r>
          </w:p>
        </w:tc>
        <w:tc>
          <w:tcPr>
            <w:tcW w:w="3260" w:type="dxa"/>
            <w:vAlign w:val="bottom"/>
          </w:tcPr>
          <w:p>
            <w:pPr>
              <w:jc w:val="center"/>
              <w:spacing w:after="0" w:line="228" w:lineRule="exact"/>
              <w:rPr>
                <w:sz w:val="20"/>
                <w:szCs w:val="20"/>
                <w:color w:val="auto"/>
              </w:rPr>
            </w:pPr>
            <w:r>
              <w:rPr>
                <w:rFonts w:ascii="Arial" w:cs="Arial" w:eastAsia="Arial" w:hAnsi="Arial"/>
                <w:sz w:val="20"/>
                <w:szCs w:val="20"/>
                <w:color w:val="auto"/>
                <w:w w:val="87"/>
              </w:rPr>
              <w:t>cements), ready mixed concrete and</w:t>
            </w:r>
          </w:p>
        </w:tc>
      </w:tr>
      <w:tr>
        <w:trPr>
          <w:trHeight w:val="249"/>
        </w:trPr>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Arial" w:cs="Arial" w:eastAsia="Arial" w:hAnsi="Arial"/>
                <w:sz w:val="20"/>
                <w:szCs w:val="20"/>
                <w:color w:val="auto"/>
                <w:w w:val="86"/>
              </w:rPr>
              <w:t>asphalt and paving</w:t>
            </w:r>
          </w:p>
        </w:tc>
      </w:tr>
      <w:tr>
        <w:trPr>
          <w:trHeight w:val="434"/>
        </w:trPr>
        <w:tc>
          <w:tcPr>
            <w:tcW w:w="178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Plant Types</w:t>
            </w:r>
          </w:p>
        </w:tc>
        <w:tc>
          <w:tcPr>
            <w:tcW w:w="452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Quarries and Distribution Facilities</w:t>
            </w:r>
          </w:p>
        </w:tc>
        <w:tc>
          <w:tcPr>
            <w:tcW w:w="1860" w:type="dxa"/>
            <w:vAlign w:val="bottom"/>
            <w:gridSpan w:val="2"/>
          </w:tcPr>
          <w:p>
            <w:pPr>
              <w:jc w:val="center"/>
              <w:ind w:right="100"/>
              <w:spacing w:after="0"/>
              <w:rPr>
                <w:sz w:val="20"/>
                <w:szCs w:val="20"/>
                <w:color w:val="auto"/>
              </w:rPr>
            </w:pPr>
            <w:r>
              <w:rPr>
                <w:rFonts w:ascii="Arial" w:cs="Arial" w:eastAsia="Arial" w:hAnsi="Arial"/>
                <w:sz w:val="20"/>
                <w:szCs w:val="20"/>
                <w:color w:val="auto"/>
                <w:w w:val="86"/>
              </w:rPr>
              <w:t>Quarries and</w:t>
            </w:r>
          </w:p>
        </w:tc>
        <w:tc>
          <w:tcPr>
            <w:tcW w:w="3260" w:type="dxa"/>
            <w:vAlign w:val="bottom"/>
          </w:tcPr>
          <w:p>
            <w:pPr>
              <w:jc w:val="center"/>
              <w:spacing w:after="0"/>
              <w:rPr>
                <w:sz w:val="20"/>
                <w:szCs w:val="20"/>
                <w:color w:val="auto"/>
              </w:rPr>
            </w:pPr>
            <w:r>
              <w:rPr>
                <w:rFonts w:ascii="Arial" w:cs="Arial" w:eastAsia="Arial" w:hAnsi="Arial"/>
                <w:sz w:val="20"/>
                <w:szCs w:val="20"/>
                <w:color w:val="auto"/>
                <w:w w:val="86"/>
              </w:rPr>
              <w:t>Quarries, Plants and</w:t>
            </w:r>
          </w:p>
        </w:tc>
      </w:tr>
      <w:tr>
        <w:trPr>
          <w:trHeight w:val="249"/>
        </w:trPr>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20"/>
                <w:szCs w:val="20"/>
                <w:color w:val="auto"/>
                <w:w w:val="93"/>
              </w:rPr>
              <w:t>Distribution Facilities</w:t>
            </w:r>
          </w:p>
        </w:tc>
        <w:tc>
          <w:tcPr>
            <w:tcW w:w="3260" w:type="dxa"/>
            <w:vAlign w:val="bottom"/>
          </w:tcPr>
          <w:p>
            <w:pPr>
              <w:jc w:val="center"/>
              <w:spacing w:after="0"/>
              <w:rPr>
                <w:sz w:val="20"/>
                <w:szCs w:val="20"/>
                <w:color w:val="auto"/>
              </w:rPr>
            </w:pPr>
            <w:r>
              <w:rPr>
                <w:rFonts w:ascii="Arial" w:cs="Arial" w:eastAsia="Arial" w:hAnsi="Arial"/>
                <w:sz w:val="20"/>
                <w:szCs w:val="20"/>
                <w:color w:val="auto"/>
                <w:w w:val="92"/>
              </w:rPr>
              <w:t>Distribution Facilities</w:t>
            </w:r>
          </w:p>
        </w:tc>
      </w:tr>
      <w:tr>
        <w:trPr>
          <w:trHeight w:val="447"/>
        </w:trPr>
        <w:tc>
          <w:tcPr>
            <w:tcW w:w="1780" w:type="dxa"/>
            <w:vAlign w:val="bottom"/>
            <w:gridSpan w:val="2"/>
          </w:tcPr>
          <w:p>
            <w:pPr>
              <w:jc w:val="center"/>
              <w:spacing w:after="0"/>
              <w:rPr>
                <w:sz w:val="20"/>
                <w:szCs w:val="20"/>
                <w:color w:val="auto"/>
              </w:rPr>
            </w:pPr>
            <w:r>
              <w:rPr>
                <w:rFonts w:ascii="Arial" w:cs="Arial" w:eastAsia="Arial" w:hAnsi="Arial"/>
                <w:sz w:val="20"/>
                <w:szCs w:val="20"/>
                <w:color w:val="auto"/>
                <w:w w:val="89"/>
              </w:rPr>
              <w:t>Modes of</w:t>
            </w:r>
          </w:p>
        </w:tc>
        <w:tc>
          <w:tcPr>
            <w:tcW w:w="452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Truck and Rail</w:t>
            </w:r>
          </w:p>
        </w:tc>
        <w:tc>
          <w:tcPr>
            <w:tcW w:w="1860" w:type="dxa"/>
            <w:vAlign w:val="bottom"/>
            <w:gridSpan w:val="2"/>
          </w:tcPr>
          <w:p>
            <w:pPr>
              <w:jc w:val="center"/>
              <w:ind w:right="100"/>
              <w:spacing w:after="0"/>
              <w:rPr>
                <w:sz w:val="20"/>
                <w:szCs w:val="20"/>
                <w:color w:val="auto"/>
              </w:rPr>
            </w:pPr>
            <w:r>
              <w:rPr>
                <w:rFonts w:ascii="Arial" w:cs="Arial" w:eastAsia="Arial" w:hAnsi="Arial"/>
                <w:sz w:val="20"/>
                <w:szCs w:val="20"/>
                <w:color w:val="auto"/>
                <w:w w:val="88"/>
              </w:rPr>
              <w:t>Truck, Rail and Water</w:t>
            </w:r>
          </w:p>
        </w:tc>
        <w:tc>
          <w:tcPr>
            <w:tcW w:w="3260" w:type="dxa"/>
            <w:vAlign w:val="bottom"/>
          </w:tcPr>
          <w:p>
            <w:pPr>
              <w:jc w:val="center"/>
              <w:spacing w:after="0"/>
              <w:rPr>
                <w:sz w:val="20"/>
                <w:szCs w:val="20"/>
                <w:color w:val="auto"/>
              </w:rPr>
            </w:pPr>
            <w:r>
              <w:rPr>
                <w:rFonts w:ascii="Arial" w:cs="Arial" w:eastAsia="Arial" w:hAnsi="Arial"/>
                <w:sz w:val="20"/>
                <w:szCs w:val="20"/>
                <w:color w:val="auto"/>
                <w:w w:val="91"/>
              </w:rPr>
              <w:t>Truck and Rail</w:t>
            </w:r>
          </w:p>
        </w:tc>
      </w:tr>
      <w:tr>
        <w:trPr>
          <w:trHeight w:val="249"/>
        </w:trPr>
        <w:tc>
          <w:tcPr>
            <w:tcW w:w="1780" w:type="dxa"/>
            <w:vAlign w:val="bottom"/>
            <w:gridSpan w:val="2"/>
          </w:tcPr>
          <w:p>
            <w:pPr>
              <w:jc w:val="center"/>
              <w:spacing w:after="0"/>
              <w:rPr>
                <w:sz w:val="20"/>
                <w:szCs w:val="20"/>
                <w:color w:val="auto"/>
              </w:rPr>
            </w:pPr>
            <w:r>
              <w:rPr>
                <w:rFonts w:ascii="Arial" w:cs="Arial" w:eastAsia="Arial" w:hAnsi="Arial"/>
                <w:sz w:val="20"/>
                <w:szCs w:val="20"/>
                <w:color w:val="auto"/>
                <w:w w:val="88"/>
              </w:rPr>
              <w:t>Transportation</w:t>
            </w:r>
          </w:p>
        </w:tc>
        <w:tc>
          <w:tcPr>
            <w:tcW w:w="4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60" w:type="dxa"/>
            <w:vAlign w:val="bottom"/>
          </w:tcPr>
          <w:p>
            <w:pPr>
              <w:spacing w:after="0"/>
              <w:rPr>
                <w:sz w:val="21"/>
                <w:szCs w:val="21"/>
                <w:color w:val="auto"/>
              </w:rPr>
            </w:pPr>
          </w:p>
        </w:tc>
      </w:tr>
    </w:tbl>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also has a Magnesia Specialties segment that produces magnesia-based chemicals products used in industrial, agricultural and environmental applications and dolomitic lime sold primarily to customers in the steel industry.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outlined its critical accounting policies in its Annual Report on Form 10-K for the year ended December 31, 2016. There were no changes to the Company’s critical accounting policies during the six months ended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Except as indicated, the comparative analysis in this Management’s Discussion and Analysis of Financial Condition and Results of Operations is based on net sales and cost of sales. Gross margin and operating margin calculated as percentages of total revenues represent the most directly comparable financial measures calculated in accordance with generally accepted accounting principles (GAAP). However, gross margin as a percentage of net sales and operating margin as a percentage of net sales represent non-GAAP measures. The Company presents these ratios calculated based on net sales, as it is consistent with the basis by which management reviews the Company’s operating results. Further, management believes it is consistent with the basis by which investors analyze the Company’s operating results given that freight and delivery revenues and costs represent pass-throughs and have no profit mark-up. The following tables present the calculations of gross margin and operating margin for the three and six months ended June 30, 2017 and 2016 in accordance with GAAP and reconciliations of the ratios as percentages of total revenues to percentages of net sales.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Gross Margin in Accordance with GAAP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jc w:val="center"/>
              <w:ind w:right="500"/>
              <w:spacing w:after="0"/>
              <w:rPr>
                <w:sz w:val="20"/>
                <w:szCs w:val="20"/>
                <w:color w:val="auto"/>
              </w:rPr>
            </w:pPr>
            <w:r>
              <w:rPr>
                <w:rFonts w:ascii="Arial" w:cs="Arial" w:eastAsia="Arial" w:hAnsi="Arial"/>
                <w:sz w:val="20"/>
                <w:szCs w:val="20"/>
                <w:color w:val="auto"/>
                <w:w w:val="87"/>
              </w:rPr>
              <w:t>Three Months Ended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center"/>
              <w:ind w:right="420"/>
              <w:spacing w:after="0"/>
              <w:rPr>
                <w:sz w:val="20"/>
                <w:szCs w:val="20"/>
                <w:color w:val="auto"/>
              </w:rPr>
            </w:pPr>
            <w:r>
              <w:rPr>
                <w:rFonts w:ascii="Arial" w:cs="Arial" w:eastAsia="Arial" w:hAnsi="Arial"/>
                <w:sz w:val="20"/>
                <w:szCs w:val="20"/>
                <w:color w:val="auto"/>
                <w:w w:val="89"/>
              </w:rPr>
              <w:t>Six Months Ended</w:t>
            </w:r>
          </w:p>
        </w:tc>
        <w:tc>
          <w:tcPr>
            <w:tcW w:w="0" w:type="dxa"/>
            <w:vAlign w:val="bottom"/>
          </w:tcPr>
          <w:p>
            <w:pPr>
              <w:spacing w:after="0"/>
              <w:rPr>
                <w:sz w:val="1"/>
                <w:szCs w:val="1"/>
                <w:color w:val="auto"/>
              </w:rPr>
            </w:pPr>
          </w:p>
        </w:tc>
      </w:tr>
      <w:tr>
        <w:trPr>
          <w:trHeight w:val="244"/>
        </w:trPr>
        <w:tc>
          <w:tcPr>
            <w:tcW w:w="4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20"/>
                <w:szCs w:val="20"/>
                <w:color w:val="auto"/>
                <w:w w:val="83"/>
              </w:rPr>
              <w:t>June 30,</w:t>
            </w:r>
          </w:p>
        </w:tc>
        <w:tc>
          <w:tcPr>
            <w:tcW w:w="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20"/>
                <w:szCs w:val="20"/>
                <w:color w:val="auto"/>
                <w:w w:val="83"/>
              </w:rPr>
              <w:t>June 30,</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2017</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2016</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ind w:left="120"/>
              <w:spacing w:after="0"/>
              <w:rPr>
                <w:sz w:val="20"/>
                <w:szCs w:val="20"/>
                <w:color w:val="auto"/>
              </w:rPr>
            </w:pPr>
            <w:r>
              <w:rPr>
                <w:rFonts w:ascii="Arial" w:cs="Arial" w:eastAsia="Arial" w:hAnsi="Arial"/>
                <w:sz w:val="20"/>
                <w:szCs w:val="20"/>
                <w:i w:val="1"/>
                <w:iCs w:val="1"/>
                <w:color w:val="auto"/>
              </w:rPr>
              <w:t>(Dollars 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Gross profit</w:t>
            </w:r>
          </w:p>
        </w:tc>
        <w:tc>
          <w:tcPr>
            <w:tcW w:w="700" w:type="dxa"/>
            <w:vAlign w:val="bottom"/>
            <w:tcBorders>
              <w:bottom w:val="single" w:sz="8" w:color="CFF2FA"/>
            </w:tcBorders>
            <w:shd w:val="clear" w:color="auto" w:fill="CFF2FA"/>
          </w:tcPr>
          <w:p>
            <w:pPr>
              <w:spacing w:after="0"/>
              <w:rPr>
                <w:sz w:val="20"/>
                <w:szCs w:val="20"/>
                <w:color w:val="auto"/>
              </w:rPr>
            </w:pPr>
          </w:p>
        </w:tc>
        <w:tc>
          <w:tcPr>
            <w:tcW w:w="300" w:type="dxa"/>
            <w:vAlign w:val="bottom"/>
            <w:tcBorders>
              <w:bottom w:val="single" w:sz="8" w:color="auto"/>
            </w:tcBorders>
            <w:shd w:val="clear" w:color="auto" w:fill="CFF2FA"/>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274,094</w:t>
            </w:r>
          </w:p>
        </w:tc>
        <w:tc>
          <w:tcPr>
            <w:tcW w:w="320" w:type="dxa"/>
            <w:vAlign w:val="bottom"/>
            <w:tcBorders>
              <w:bottom w:val="single" w:sz="8" w:color="CFF2FA"/>
            </w:tcBorders>
            <w:shd w:val="clear" w:color="auto" w:fill="CFF2FA"/>
          </w:tcPr>
          <w:p>
            <w:pPr>
              <w:spacing w:after="0"/>
              <w:rPr>
                <w:sz w:val="20"/>
                <w:szCs w:val="20"/>
                <w:color w:val="auto"/>
              </w:rPr>
            </w:pPr>
          </w:p>
        </w:tc>
        <w:tc>
          <w:tcPr>
            <w:tcW w:w="260" w:type="dxa"/>
            <w:vAlign w:val="bottom"/>
            <w:tcBorders>
              <w:bottom w:val="single" w:sz="8" w:color="auto"/>
            </w:tcBorders>
            <w:shd w:val="clear" w:color="auto" w:fill="CFF2FA"/>
          </w:tcPr>
          <w:p>
            <w:pPr>
              <w:jc w:val="right"/>
              <w:ind w:right="62"/>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247,431</w:t>
            </w:r>
          </w:p>
        </w:tc>
        <w:tc>
          <w:tcPr>
            <w:tcW w:w="20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2FA"/>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421,160</w:t>
            </w:r>
          </w:p>
        </w:tc>
        <w:tc>
          <w:tcPr>
            <w:tcW w:w="260" w:type="dxa"/>
            <w:vAlign w:val="bottom"/>
            <w:tcBorders>
              <w:bottom w:val="single" w:sz="8" w:color="CFF2FA"/>
            </w:tcBorders>
            <w:shd w:val="clear" w:color="auto" w:fill="CFF2FA"/>
          </w:tcPr>
          <w:p>
            <w:pPr>
              <w:spacing w:after="0"/>
              <w:rPr>
                <w:sz w:val="20"/>
                <w:szCs w:val="20"/>
                <w:color w:val="auto"/>
              </w:rPr>
            </w:pPr>
          </w:p>
        </w:tc>
        <w:tc>
          <w:tcPr>
            <w:tcW w:w="60" w:type="dxa"/>
            <w:vAlign w:val="bottom"/>
            <w:tcBorders>
              <w:bottom w:val="single" w:sz="8" w:color="CFF2FA"/>
            </w:tcBorders>
            <w:shd w:val="clear" w:color="auto" w:fill="CFF2FA"/>
          </w:tcPr>
          <w:p>
            <w:pPr>
              <w:spacing w:after="0"/>
              <w:rPr>
                <w:sz w:val="20"/>
                <w:szCs w:val="20"/>
                <w:color w:val="auto"/>
              </w:rPr>
            </w:pPr>
          </w:p>
        </w:tc>
        <w:tc>
          <w:tcPr>
            <w:tcW w:w="280" w:type="dxa"/>
            <w:vAlign w:val="bottom"/>
            <w:tcBorders>
              <w:bottom w:val="single" w:sz="8" w:color="auto"/>
            </w:tcBorders>
            <w:shd w:val="clear" w:color="auto" w:fill="CFF2FA"/>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392,681</w:t>
            </w:r>
          </w:p>
        </w:tc>
        <w:tc>
          <w:tcPr>
            <w:tcW w:w="180" w:type="dxa"/>
            <w:vAlign w:val="bottom"/>
            <w:tcBorders>
              <w:bottom w:val="single" w:sz="8" w:color="CFF2FA"/>
            </w:tcBorders>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920" w:type="dxa"/>
            <w:vAlign w:val="bottom"/>
            <w:tcBorders>
              <w:bottom w:val="single" w:sz="8" w:color="CFF2FA"/>
            </w:tcBorders>
            <w:vMerge w:val="continue"/>
          </w:tcPr>
          <w:p>
            <w:pPr>
              <w:spacing w:after="0"/>
              <w:rPr>
                <w:sz w:val="22"/>
                <w:szCs w:val="22"/>
                <w:color w:val="auto"/>
              </w:rPr>
            </w:pPr>
          </w:p>
        </w:tc>
        <w:tc>
          <w:tcPr>
            <w:tcW w:w="700" w:type="dxa"/>
            <w:vAlign w:val="bottom"/>
            <w:tcBorders>
              <w:bottom w:val="single" w:sz="8" w:color="CFF2FA"/>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02"/>
              <w:spacing w:after="0" w:line="221"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4"/>
              </w:rPr>
              <w:t>1,063,524</w:t>
            </w:r>
          </w:p>
        </w:tc>
        <w:tc>
          <w:tcPr>
            <w:tcW w:w="32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62"/>
              <w:spacing w:after="0" w:line="221"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977,298</w:t>
            </w:r>
          </w:p>
        </w:tc>
        <w:tc>
          <w:tcPr>
            <w:tcW w:w="200" w:type="dxa"/>
            <w:vAlign w:val="bottom"/>
            <w:tcBorders>
              <w:bottom w:val="single" w:sz="8" w:color="CFF2FA"/>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2"/>
              <w:spacing w:after="0" w:line="221"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1,907,383</w:t>
            </w:r>
          </w:p>
        </w:tc>
        <w:tc>
          <w:tcPr>
            <w:tcW w:w="260" w:type="dxa"/>
            <w:vAlign w:val="bottom"/>
            <w:tcBorders>
              <w:bottom w:val="single" w:sz="8" w:color="CFF2FA"/>
            </w:tcBorders>
          </w:tcPr>
          <w:p>
            <w:pPr>
              <w:spacing w:after="0"/>
              <w:rPr>
                <w:sz w:val="22"/>
                <w:szCs w:val="22"/>
                <w:color w:val="auto"/>
              </w:rPr>
            </w:pPr>
          </w:p>
        </w:tc>
        <w:tc>
          <w:tcPr>
            <w:tcW w:w="60" w:type="dxa"/>
            <w:vAlign w:val="bottom"/>
            <w:tcBorders>
              <w:bottom w:val="single" w:sz="8" w:color="CFF2FA"/>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82"/>
              <w:spacing w:after="0" w:line="221"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6"/>
              </w:rPr>
              <w:t>1,766,032</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920" w:type="dxa"/>
            <w:vAlign w:val="bottom"/>
            <w:shd w:val="clear" w:color="auto" w:fill="CFF2FA"/>
          </w:tcPr>
          <w:p>
            <w:pPr>
              <w:spacing w:after="0" w:line="221" w:lineRule="exact"/>
              <w:rPr>
                <w:sz w:val="20"/>
                <w:szCs w:val="20"/>
                <w:color w:val="auto"/>
              </w:rPr>
            </w:pPr>
            <w:r>
              <w:rPr>
                <w:rFonts w:ascii="Arial" w:cs="Arial" w:eastAsia="Arial" w:hAnsi="Arial"/>
                <w:sz w:val="20"/>
                <w:szCs w:val="20"/>
                <w:color w:val="auto"/>
              </w:rPr>
              <w:t>Gross margin</w:t>
            </w:r>
          </w:p>
        </w:tc>
        <w:tc>
          <w:tcPr>
            <w:tcW w:w="70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1200" w:type="dxa"/>
            <w:vAlign w:val="bottom"/>
            <w:gridSpan w:val="2"/>
            <w:shd w:val="clear" w:color="auto" w:fill="CFF2FA"/>
          </w:tcPr>
          <w:p>
            <w:pPr>
              <w:jc w:val="right"/>
              <w:ind w:right="160"/>
              <w:spacing w:after="0" w:line="221" w:lineRule="exact"/>
              <w:rPr>
                <w:sz w:val="20"/>
                <w:szCs w:val="20"/>
                <w:color w:val="auto"/>
              </w:rPr>
            </w:pPr>
            <w:r>
              <w:rPr>
                <w:rFonts w:ascii="Arial" w:cs="Arial" w:eastAsia="Arial" w:hAnsi="Arial"/>
                <w:sz w:val="20"/>
                <w:szCs w:val="20"/>
                <w:color w:val="auto"/>
              </w:rPr>
              <w:t>25.8%</w:t>
            </w:r>
          </w:p>
        </w:tc>
        <w:tc>
          <w:tcPr>
            <w:tcW w:w="26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40"/>
              <w:spacing w:after="0" w:line="221" w:lineRule="exact"/>
              <w:rPr>
                <w:sz w:val="20"/>
                <w:szCs w:val="20"/>
                <w:color w:val="auto"/>
              </w:rPr>
            </w:pPr>
            <w:r>
              <w:rPr>
                <w:rFonts w:ascii="Arial" w:cs="Arial" w:eastAsia="Arial" w:hAnsi="Arial"/>
                <w:sz w:val="20"/>
                <w:szCs w:val="20"/>
                <w:color w:val="auto"/>
              </w:rPr>
              <w:t>25.3%</w:t>
            </w:r>
          </w:p>
        </w:tc>
        <w:tc>
          <w:tcPr>
            <w:tcW w:w="12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80"/>
              <w:spacing w:after="0" w:line="221" w:lineRule="exact"/>
              <w:rPr>
                <w:sz w:val="20"/>
                <w:szCs w:val="20"/>
                <w:color w:val="auto"/>
              </w:rPr>
            </w:pPr>
            <w:r>
              <w:rPr>
                <w:rFonts w:ascii="Arial" w:cs="Arial" w:eastAsia="Arial" w:hAnsi="Arial"/>
                <w:sz w:val="20"/>
                <w:szCs w:val="20"/>
                <w:color w:val="auto"/>
              </w:rPr>
              <w:t>22.1%</w:t>
            </w:r>
          </w:p>
        </w:tc>
        <w:tc>
          <w:tcPr>
            <w:tcW w:w="60" w:type="dxa"/>
            <w:vAlign w:val="bottom"/>
            <w:shd w:val="clear" w:color="auto" w:fill="CFF2FA"/>
          </w:tcPr>
          <w:p>
            <w:pPr>
              <w:spacing w:after="0"/>
              <w:rPr>
                <w:sz w:val="19"/>
                <w:szCs w:val="19"/>
                <w:color w:val="auto"/>
              </w:rPr>
            </w:pP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line="221" w:lineRule="exact"/>
              <w:rPr>
                <w:sz w:val="20"/>
                <w:szCs w:val="20"/>
                <w:color w:val="auto"/>
              </w:rPr>
            </w:pPr>
            <w:r>
              <w:rPr>
                <w:rFonts w:ascii="Arial" w:cs="Arial" w:eastAsia="Arial" w:hAnsi="Arial"/>
                <w:sz w:val="20"/>
                <w:szCs w:val="20"/>
                <w:color w:val="auto"/>
              </w:rPr>
              <w:t>22.2%</w:t>
            </w:r>
          </w:p>
        </w:tc>
        <w:tc>
          <w:tcPr>
            <w:tcW w:w="0" w:type="dxa"/>
            <w:vAlign w:val="bottom"/>
          </w:tcPr>
          <w:p>
            <w:pPr>
              <w:spacing w:after="0"/>
              <w:rPr>
                <w:sz w:val="1"/>
                <w:szCs w:val="1"/>
                <w:color w:val="auto"/>
              </w:rPr>
            </w:pPr>
          </w:p>
        </w:tc>
      </w:tr>
      <w:tr>
        <w:trPr>
          <w:trHeight w:val="20"/>
        </w:trPr>
        <w:tc>
          <w:tcPr>
            <w:tcW w:w="5620" w:type="dxa"/>
            <w:vAlign w:val="bottom"/>
            <w:tcBorders>
              <w:top w:val="single" w:sz="8" w:color="CFF2FA"/>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2FA"/>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2FA"/>
            </w:tcBorders>
          </w:tcPr>
          <w:p>
            <w:pPr>
              <w:spacing w:after="0" w:line="20" w:lineRule="exact"/>
              <w:rPr>
                <w:sz w:val="1"/>
                <w:szCs w:val="1"/>
                <w:color w:val="auto"/>
              </w:rPr>
            </w:pPr>
          </w:p>
        </w:tc>
        <w:tc>
          <w:tcPr>
            <w:tcW w:w="60" w:type="dxa"/>
            <w:vAlign w:val="bottom"/>
            <w:tcBorders>
              <w:top w:val="single" w:sz="8" w:color="CFF2FA"/>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20" w:type="dxa"/>
            <w:vAlign w:val="bottom"/>
            <w:gridSpan w:val="3"/>
          </w:tcPr>
          <w:p>
            <w:pPr>
              <w:spacing w:after="0"/>
              <w:rPr>
                <w:sz w:val="20"/>
                <w:szCs w:val="20"/>
                <w:color w:val="auto"/>
              </w:rPr>
            </w:pPr>
            <w:r>
              <w:rPr>
                <w:rFonts w:ascii="Arial" w:cs="Arial" w:eastAsia="Arial" w:hAnsi="Arial"/>
                <w:sz w:val="20"/>
                <w:szCs w:val="20"/>
                <w:b w:val="1"/>
                <w:bCs w:val="1"/>
                <w:color w:val="auto"/>
                <w:w w:val="89"/>
              </w:rPr>
              <w:t>Consolidated Gross Margin Excluding Freight and Delivery Revenues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5"/>
          </w:tcPr>
          <w:p>
            <w:pPr>
              <w:jc w:val="center"/>
              <w:ind w:right="500"/>
              <w:spacing w:after="0"/>
              <w:rPr>
                <w:sz w:val="20"/>
                <w:szCs w:val="20"/>
                <w:color w:val="auto"/>
              </w:rPr>
            </w:pPr>
            <w:r>
              <w:rPr>
                <w:rFonts w:ascii="Arial" w:cs="Arial" w:eastAsia="Arial" w:hAnsi="Arial"/>
                <w:sz w:val="20"/>
                <w:szCs w:val="20"/>
                <w:color w:val="auto"/>
                <w:w w:val="87"/>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6"/>
          </w:tcPr>
          <w:p>
            <w:pPr>
              <w:jc w:val="center"/>
              <w:ind w:right="420"/>
              <w:spacing w:after="0"/>
              <w:rPr>
                <w:sz w:val="20"/>
                <w:szCs w:val="20"/>
                <w:color w:val="auto"/>
              </w:rPr>
            </w:pPr>
            <w:r>
              <w:rPr>
                <w:rFonts w:ascii="Arial" w:cs="Arial" w:eastAsia="Arial" w:hAnsi="Arial"/>
                <w:sz w:val="20"/>
                <w:szCs w:val="20"/>
                <w:color w:val="auto"/>
                <w:w w:val="89"/>
              </w:rPr>
              <w:t>Six Months Ended</w:t>
            </w:r>
          </w:p>
        </w:tc>
        <w:tc>
          <w:tcPr>
            <w:tcW w:w="0" w:type="dxa"/>
            <w:vAlign w:val="bottom"/>
          </w:tcPr>
          <w:p>
            <w:pPr>
              <w:spacing w:after="0"/>
              <w:rPr>
                <w:sz w:val="1"/>
                <w:szCs w:val="1"/>
                <w:color w:val="auto"/>
              </w:rPr>
            </w:pPr>
          </w:p>
        </w:tc>
      </w:tr>
      <w:tr>
        <w:trPr>
          <w:trHeight w:val="244"/>
        </w:trPr>
        <w:tc>
          <w:tcPr>
            <w:tcW w:w="4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20"/>
                <w:szCs w:val="20"/>
                <w:color w:val="auto"/>
                <w:w w:val="83"/>
              </w:rPr>
              <w:t>June 30,</w:t>
            </w:r>
          </w:p>
        </w:tc>
        <w:tc>
          <w:tcPr>
            <w:tcW w:w="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20"/>
                <w:szCs w:val="20"/>
                <w:color w:val="auto"/>
                <w:w w:val="83"/>
              </w:rPr>
              <w:t>June 30,</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2017</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2016</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ind w:left="120"/>
              <w:spacing w:after="0"/>
              <w:rPr>
                <w:sz w:val="20"/>
                <w:szCs w:val="20"/>
                <w:color w:val="auto"/>
              </w:rPr>
            </w:pPr>
            <w:r>
              <w:rPr>
                <w:rFonts w:ascii="Arial" w:cs="Arial" w:eastAsia="Arial" w:hAnsi="Arial"/>
                <w:sz w:val="20"/>
                <w:szCs w:val="20"/>
                <w:i w:val="1"/>
                <w:iCs w:val="1"/>
                <w:color w:val="auto"/>
              </w:rPr>
              <w:t>(Dollars 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Gross profit</w:t>
            </w:r>
          </w:p>
        </w:tc>
        <w:tc>
          <w:tcPr>
            <w:tcW w:w="700" w:type="dxa"/>
            <w:vAlign w:val="bottom"/>
            <w:tcBorders>
              <w:bottom w:val="single" w:sz="8" w:color="CFF2FA"/>
            </w:tcBorders>
            <w:shd w:val="clear" w:color="auto" w:fill="CFF2FA"/>
          </w:tcPr>
          <w:p>
            <w:pPr>
              <w:spacing w:after="0"/>
              <w:rPr>
                <w:sz w:val="20"/>
                <w:szCs w:val="20"/>
                <w:color w:val="auto"/>
              </w:rPr>
            </w:pPr>
          </w:p>
        </w:tc>
        <w:tc>
          <w:tcPr>
            <w:tcW w:w="300" w:type="dxa"/>
            <w:vAlign w:val="bottom"/>
            <w:tcBorders>
              <w:bottom w:val="single" w:sz="8" w:color="auto"/>
            </w:tcBorders>
            <w:shd w:val="clear" w:color="auto" w:fill="CFF2FA"/>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274,094</w:t>
            </w:r>
          </w:p>
        </w:tc>
        <w:tc>
          <w:tcPr>
            <w:tcW w:w="320" w:type="dxa"/>
            <w:vAlign w:val="bottom"/>
            <w:tcBorders>
              <w:bottom w:val="single" w:sz="8" w:color="CFF2FA"/>
            </w:tcBorders>
            <w:shd w:val="clear" w:color="auto" w:fill="CFF2FA"/>
          </w:tcPr>
          <w:p>
            <w:pPr>
              <w:spacing w:after="0"/>
              <w:rPr>
                <w:sz w:val="20"/>
                <w:szCs w:val="20"/>
                <w:color w:val="auto"/>
              </w:rPr>
            </w:pPr>
          </w:p>
        </w:tc>
        <w:tc>
          <w:tcPr>
            <w:tcW w:w="260" w:type="dxa"/>
            <w:vAlign w:val="bottom"/>
            <w:tcBorders>
              <w:bottom w:val="single" w:sz="8" w:color="auto"/>
            </w:tcBorders>
            <w:shd w:val="clear" w:color="auto" w:fill="CFF2FA"/>
          </w:tcPr>
          <w:p>
            <w:pPr>
              <w:jc w:val="right"/>
              <w:ind w:right="62"/>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247,431</w:t>
            </w:r>
          </w:p>
        </w:tc>
        <w:tc>
          <w:tcPr>
            <w:tcW w:w="20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2FA"/>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421,160</w:t>
            </w:r>
          </w:p>
        </w:tc>
        <w:tc>
          <w:tcPr>
            <w:tcW w:w="260" w:type="dxa"/>
            <w:vAlign w:val="bottom"/>
            <w:tcBorders>
              <w:bottom w:val="single" w:sz="8" w:color="CFF2FA"/>
            </w:tcBorders>
            <w:shd w:val="clear" w:color="auto" w:fill="CFF2FA"/>
          </w:tcPr>
          <w:p>
            <w:pPr>
              <w:spacing w:after="0"/>
              <w:rPr>
                <w:sz w:val="20"/>
                <w:szCs w:val="20"/>
                <w:color w:val="auto"/>
              </w:rPr>
            </w:pPr>
          </w:p>
        </w:tc>
        <w:tc>
          <w:tcPr>
            <w:tcW w:w="60" w:type="dxa"/>
            <w:vAlign w:val="bottom"/>
            <w:tcBorders>
              <w:bottom w:val="single" w:sz="8" w:color="CFF2FA"/>
            </w:tcBorders>
            <w:shd w:val="clear" w:color="auto" w:fill="CFF2FA"/>
          </w:tcPr>
          <w:p>
            <w:pPr>
              <w:spacing w:after="0"/>
              <w:rPr>
                <w:sz w:val="20"/>
                <w:szCs w:val="20"/>
                <w:color w:val="auto"/>
              </w:rPr>
            </w:pPr>
          </w:p>
        </w:tc>
        <w:tc>
          <w:tcPr>
            <w:tcW w:w="280" w:type="dxa"/>
            <w:vAlign w:val="bottom"/>
            <w:tcBorders>
              <w:bottom w:val="single" w:sz="8" w:color="auto"/>
            </w:tcBorders>
            <w:shd w:val="clear" w:color="auto" w:fill="CFF2FA"/>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392,681</w:t>
            </w:r>
          </w:p>
        </w:tc>
        <w:tc>
          <w:tcPr>
            <w:tcW w:w="180" w:type="dxa"/>
            <w:vAlign w:val="bottom"/>
            <w:tcBorders>
              <w:bottom w:val="single" w:sz="8" w:color="CFF2FA"/>
            </w:tcBorders>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tcBorders>
          </w:tcPr>
          <w:p>
            <w:pPr>
              <w:jc w:val="right"/>
              <w:ind w:right="102"/>
              <w:spacing w:after="0" w:line="221"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w w:val="94"/>
              </w:rPr>
              <w:t>1,063,524</w:t>
            </w:r>
          </w:p>
        </w:tc>
        <w:tc>
          <w:tcPr>
            <w:tcW w:w="320" w:type="dxa"/>
            <w:vAlign w:val="bottom"/>
          </w:tcPr>
          <w:p>
            <w:pPr>
              <w:spacing w:after="0"/>
              <w:rPr>
                <w:sz w:val="19"/>
                <w:szCs w:val="19"/>
                <w:color w:val="auto"/>
              </w:rPr>
            </w:pPr>
          </w:p>
        </w:tc>
        <w:tc>
          <w:tcPr>
            <w:tcW w:w="260" w:type="dxa"/>
            <w:vAlign w:val="bottom"/>
            <w:tcBorders>
              <w:top w:val="single" w:sz="8" w:color="auto"/>
            </w:tcBorders>
          </w:tcPr>
          <w:p>
            <w:pPr>
              <w:jc w:val="right"/>
              <w:ind w:right="62"/>
              <w:spacing w:after="0" w:line="221"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rPr>
              <w:t>977,298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42"/>
              <w:spacing w:after="0" w:line="221"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rPr>
              <w:t>1,907,383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jc w:val="right"/>
              <w:ind w:right="82"/>
              <w:spacing w:after="0" w:line="221"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w w:val="96"/>
              </w:rPr>
              <w:t>1,766,032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2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700" w:type="dxa"/>
            <w:vAlign w:val="bottom"/>
            <w:shd w:val="clear" w:color="auto" w:fill="CFF2FA"/>
          </w:tcPr>
          <w:p>
            <w:pPr>
              <w:spacing w:after="0"/>
              <w:rPr>
                <w:sz w:val="20"/>
                <w:szCs w:val="20"/>
                <w:color w:val="auto"/>
              </w:rPr>
            </w:pPr>
          </w:p>
        </w:tc>
        <w:tc>
          <w:tcPr>
            <w:tcW w:w="300" w:type="dxa"/>
            <w:vAlign w:val="bottom"/>
            <w:shd w:val="clear" w:color="auto" w:fill="CFF2FA"/>
          </w:tcPr>
          <w:p>
            <w:pPr>
              <w:spacing w:after="0"/>
              <w:rPr>
                <w:sz w:val="20"/>
                <w:szCs w:val="20"/>
                <w:color w:val="auto"/>
              </w:rPr>
            </w:pPr>
          </w:p>
        </w:tc>
        <w:tc>
          <w:tcPr>
            <w:tcW w:w="1200" w:type="dxa"/>
            <w:vAlign w:val="bottom"/>
            <w:gridSpan w:val="2"/>
            <w:shd w:val="clear" w:color="auto" w:fill="CFF2FA"/>
          </w:tcPr>
          <w:p>
            <w:pPr>
              <w:jc w:val="right"/>
              <w:ind w:right="260"/>
              <w:spacing w:after="0"/>
              <w:rPr>
                <w:sz w:val="20"/>
                <w:szCs w:val="20"/>
                <w:color w:val="auto"/>
              </w:rPr>
            </w:pPr>
            <w:r>
              <w:rPr>
                <w:rFonts w:ascii="Arial" w:cs="Arial" w:eastAsia="Arial" w:hAnsi="Arial"/>
                <w:sz w:val="20"/>
                <w:szCs w:val="20"/>
                <w:color w:val="auto"/>
              </w:rPr>
              <w:t>(67,235)</w:t>
            </w:r>
          </w:p>
        </w:tc>
        <w:tc>
          <w:tcPr>
            <w:tcW w:w="260" w:type="dxa"/>
            <w:vAlign w:val="bottom"/>
            <w:shd w:val="clear" w:color="auto" w:fill="CFF2FA"/>
          </w:tcPr>
          <w:p>
            <w:pPr>
              <w:spacing w:after="0"/>
              <w:rPr>
                <w:sz w:val="20"/>
                <w:szCs w:val="20"/>
                <w:color w:val="auto"/>
              </w:rPr>
            </w:pPr>
          </w:p>
        </w:tc>
        <w:tc>
          <w:tcPr>
            <w:tcW w:w="1080" w:type="dxa"/>
            <w:vAlign w:val="bottom"/>
            <w:gridSpan w:val="2"/>
            <w:shd w:val="clear" w:color="auto" w:fill="CFF2FA"/>
          </w:tcPr>
          <w:p>
            <w:pPr>
              <w:jc w:val="right"/>
              <w:ind w:right="140"/>
              <w:spacing w:after="0"/>
              <w:rPr>
                <w:sz w:val="20"/>
                <w:szCs w:val="20"/>
                <w:color w:val="auto"/>
              </w:rPr>
            </w:pPr>
            <w:r>
              <w:rPr>
                <w:rFonts w:ascii="Arial" w:cs="Arial" w:eastAsia="Arial" w:hAnsi="Arial"/>
                <w:sz w:val="20"/>
                <w:szCs w:val="20"/>
                <w:color w:val="auto"/>
              </w:rPr>
              <w:t>(61,862)</w:t>
            </w:r>
          </w:p>
        </w:tc>
        <w:tc>
          <w:tcPr>
            <w:tcW w:w="120" w:type="dxa"/>
            <w:vAlign w:val="bottom"/>
            <w:shd w:val="clear" w:color="auto" w:fill="CFF0FC"/>
          </w:tcPr>
          <w:p>
            <w:pPr>
              <w:spacing w:after="0"/>
              <w:rPr>
                <w:sz w:val="20"/>
                <w:szCs w:val="20"/>
                <w:color w:val="auto"/>
              </w:rPr>
            </w:pPr>
          </w:p>
        </w:tc>
        <w:tc>
          <w:tcPr>
            <w:tcW w:w="240" w:type="dxa"/>
            <w:vAlign w:val="bottom"/>
            <w:shd w:val="clear" w:color="auto" w:fill="CFF2FA"/>
          </w:tcPr>
          <w:p>
            <w:pPr>
              <w:spacing w:after="0"/>
              <w:rPr>
                <w:sz w:val="20"/>
                <w:szCs w:val="20"/>
                <w:color w:val="auto"/>
              </w:rPr>
            </w:pPr>
          </w:p>
        </w:tc>
        <w:tc>
          <w:tcPr>
            <w:tcW w:w="118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(119,410)</w:t>
            </w:r>
          </w:p>
        </w:tc>
        <w:tc>
          <w:tcPr>
            <w:tcW w:w="60" w:type="dxa"/>
            <w:vAlign w:val="bottom"/>
            <w:shd w:val="clear" w:color="auto" w:fill="CFF2FA"/>
          </w:tcPr>
          <w:p>
            <w:pPr>
              <w:spacing w:after="0"/>
              <w:rPr>
                <w:sz w:val="20"/>
                <w:szCs w:val="20"/>
                <w:color w:val="auto"/>
              </w:rPr>
            </w:pPr>
          </w:p>
        </w:tc>
        <w:tc>
          <w:tcPr>
            <w:tcW w:w="280" w:type="dxa"/>
            <w:vAlign w:val="bottom"/>
            <w:shd w:val="clear" w:color="auto" w:fill="CFF2FA"/>
          </w:tcPr>
          <w:p>
            <w:pPr>
              <w:spacing w:after="0"/>
              <w:rPr>
                <w:sz w:val="20"/>
                <w:szCs w:val="20"/>
                <w:color w:val="auto"/>
              </w:rPr>
            </w:pPr>
          </w:p>
        </w:tc>
        <w:tc>
          <w:tcPr>
            <w:tcW w:w="108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(116,636)</w:t>
            </w:r>
          </w:p>
        </w:tc>
        <w:tc>
          <w:tcPr>
            <w:tcW w:w="0" w:type="dxa"/>
            <w:vAlign w:val="bottom"/>
          </w:tcPr>
          <w:p>
            <w:pPr>
              <w:spacing w:after="0"/>
              <w:rPr>
                <w:sz w:val="1"/>
                <w:szCs w:val="1"/>
                <w:color w:val="auto"/>
              </w:rPr>
            </w:pPr>
          </w:p>
        </w:tc>
      </w:tr>
      <w:tr>
        <w:trPr>
          <w:trHeight w:val="274"/>
        </w:trPr>
        <w:tc>
          <w:tcPr>
            <w:tcW w:w="4920" w:type="dxa"/>
            <w:vAlign w:val="bottom"/>
            <w:tcBorders>
              <w:bottom w:val="single" w:sz="8" w:color="CFF2FA"/>
            </w:tcBorders>
          </w:tcPr>
          <w:p>
            <w:pPr>
              <w:spacing w:after="0"/>
              <w:rPr>
                <w:sz w:val="20"/>
                <w:szCs w:val="20"/>
                <w:color w:val="auto"/>
              </w:rPr>
            </w:pPr>
            <w:r>
              <w:rPr>
                <w:rFonts w:ascii="Arial" w:cs="Arial" w:eastAsia="Arial" w:hAnsi="Arial"/>
                <w:sz w:val="20"/>
                <w:szCs w:val="20"/>
                <w:color w:val="auto"/>
              </w:rPr>
              <w:t>Net sales</w:t>
            </w:r>
          </w:p>
        </w:tc>
        <w:tc>
          <w:tcPr>
            <w:tcW w:w="700" w:type="dxa"/>
            <w:vAlign w:val="bottom"/>
            <w:tcBorders>
              <w:bottom w:val="single" w:sz="8" w:color="CFF2FA"/>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996,289</w:t>
            </w:r>
          </w:p>
        </w:tc>
        <w:tc>
          <w:tcPr>
            <w:tcW w:w="320" w:type="dxa"/>
            <w:vAlign w:val="bottom"/>
            <w:tcBorders>
              <w:bottom w:val="single" w:sz="8" w:color="CFF2FA"/>
            </w:tcBorders>
          </w:tcPr>
          <w:p>
            <w:pPr>
              <w:spacing w:after="0"/>
              <w:rPr>
                <w:sz w:val="23"/>
                <w:szCs w:val="23"/>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915,436</w:t>
            </w:r>
          </w:p>
        </w:tc>
        <w:tc>
          <w:tcPr>
            <w:tcW w:w="200" w:type="dxa"/>
            <w:vAlign w:val="bottom"/>
            <w:tcBorders>
              <w:bottom w:val="single" w:sz="8" w:color="CFF2FA"/>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1,787,973</w:t>
            </w:r>
          </w:p>
        </w:tc>
        <w:tc>
          <w:tcPr>
            <w:tcW w:w="260" w:type="dxa"/>
            <w:vAlign w:val="bottom"/>
            <w:tcBorders>
              <w:bottom w:val="single" w:sz="8" w:color="CFF2FA"/>
            </w:tcBorders>
          </w:tcPr>
          <w:p>
            <w:pPr>
              <w:spacing w:after="0"/>
              <w:rPr>
                <w:sz w:val="23"/>
                <w:szCs w:val="23"/>
                <w:color w:val="auto"/>
              </w:rPr>
            </w:pPr>
          </w:p>
        </w:tc>
        <w:tc>
          <w:tcPr>
            <w:tcW w:w="60" w:type="dxa"/>
            <w:vAlign w:val="bottom"/>
            <w:tcBorders>
              <w:bottom w:val="single" w:sz="8" w:color="CFF2FA"/>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6"/>
              </w:rPr>
              <w:t>1,649,396</w:t>
            </w:r>
          </w:p>
        </w:tc>
        <w:tc>
          <w:tcPr>
            <w:tcW w:w="180" w:type="dxa"/>
            <w:vAlign w:val="bottom"/>
            <w:tcBorders>
              <w:bottom w:val="single" w:sz="8" w:color="CFF2FA"/>
            </w:tcBorders>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4920" w:type="dxa"/>
            <w:vAlign w:val="bottom"/>
            <w:shd w:val="clear" w:color="auto" w:fill="CFF2FA"/>
          </w:tcPr>
          <w:p>
            <w:pPr>
              <w:spacing w:after="0" w:line="221" w:lineRule="exact"/>
              <w:rPr>
                <w:sz w:val="20"/>
                <w:szCs w:val="20"/>
                <w:color w:val="auto"/>
              </w:rPr>
            </w:pPr>
            <w:r>
              <w:rPr>
                <w:rFonts w:ascii="Arial" w:cs="Arial" w:eastAsia="Arial" w:hAnsi="Arial"/>
                <w:sz w:val="20"/>
                <w:szCs w:val="20"/>
                <w:color w:val="auto"/>
              </w:rPr>
              <w:t>Gross margin excluding freight and delivery revenues</w:t>
            </w:r>
          </w:p>
        </w:tc>
        <w:tc>
          <w:tcPr>
            <w:tcW w:w="70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1200" w:type="dxa"/>
            <w:vAlign w:val="bottom"/>
            <w:gridSpan w:val="2"/>
            <w:shd w:val="clear" w:color="auto" w:fill="CFF2FA"/>
          </w:tcPr>
          <w:p>
            <w:pPr>
              <w:jc w:val="right"/>
              <w:ind w:right="160"/>
              <w:spacing w:after="0" w:line="221" w:lineRule="exact"/>
              <w:rPr>
                <w:sz w:val="20"/>
                <w:szCs w:val="20"/>
                <w:color w:val="auto"/>
              </w:rPr>
            </w:pPr>
            <w:r>
              <w:rPr>
                <w:rFonts w:ascii="Arial" w:cs="Arial" w:eastAsia="Arial" w:hAnsi="Arial"/>
                <w:sz w:val="20"/>
                <w:szCs w:val="20"/>
                <w:color w:val="auto"/>
              </w:rPr>
              <w:t>27.5%</w:t>
            </w:r>
          </w:p>
        </w:tc>
        <w:tc>
          <w:tcPr>
            <w:tcW w:w="26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40"/>
              <w:spacing w:after="0" w:line="221" w:lineRule="exact"/>
              <w:rPr>
                <w:sz w:val="20"/>
                <w:szCs w:val="20"/>
                <w:color w:val="auto"/>
              </w:rPr>
            </w:pPr>
            <w:r>
              <w:rPr>
                <w:rFonts w:ascii="Arial" w:cs="Arial" w:eastAsia="Arial" w:hAnsi="Arial"/>
                <w:sz w:val="20"/>
                <w:szCs w:val="20"/>
                <w:color w:val="auto"/>
              </w:rPr>
              <w:t>27.0%</w:t>
            </w:r>
          </w:p>
        </w:tc>
        <w:tc>
          <w:tcPr>
            <w:tcW w:w="12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80"/>
              <w:spacing w:after="0" w:line="221" w:lineRule="exact"/>
              <w:rPr>
                <w:sz w:val="20"/>
                <w:szCs w:val="20"/>
                <w:color w:val="auto"/>
              </w:rPr>
            </w:pPr>
            <w:r>
              <w:rPr>
                <w:rFonts w:ascii="Arial" w:cs="Arial" w:eastAsia="Arial" w:hAnsi="Arial"/>
                <w:sz w:val="20"/>
                <w:szCs w:val="20"/>
                <w:color w:val="auto"/>
              </w:rPr>
              <w:t>23.6%</w:t>
            </w:r>
          </w:p>
        </w:tc>
        <w:tc>
          <w:tcPr>
            <w:tcW w:w="60" w:type="dxa"/>
            <w:vAlign w:val="bottom"/>
            <w:shd w:val="clear" w:color="auto" w:fill="CFF2FA"/>
          </w:tcPr>
          <w:p>
            <w:pPr>
              <w:spacing w:after="0"/>
              <w:rPr>
                <w:sz w:val="19"/>
                <w:szCs w:val="19"/>
                <w:color w:val="auto"/>
              </w:rPr>
            </w:pP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line="221" w:lineRule="exact"/>
              <w:rPr>
                <w:sz w:val="20"/>
                <w:szCs w:val="20"/>
                <w:color w:val="auto"/>
              </w:rPr>
            </w:pPr>
            <w:r>
              <w:rPr>
                <w:rFonts w:ascii="Arial" w:cs="Arial" w:eastAsia="Arial" w:hAnsi="Arial"/>
                <w:sz w:val="20"/>
                <w:szCs w:val="20"/>
                <w:color w:val="auto"/>
              </w:rPr>
              <w:t>23.8%</w:t>
            </w:r>
          </w:p>
        </w:tc>
        <w:tc>
          <w:tcPr>
            <w:tcW w:w="0" w:type="dxa"/>
            <w:vAlign w:val="bottom"/>
          </w:tcPr>
          <w:p>
            <w:pPr>
              <w:spacing w:after="0"/>
              <w:rPr>
                <w:sz w:val="1"/>
                <w:szCs w:val="1"/>
                <w:color w:val="auto"/>
              </w:rPr>
            </w:pPr>
          </w:p>
        </w:tc>
      </w:tr>
      <w:tr>
        <w:trPr>
          <w:trHeight w:val="20"/>
        </w:trPr>
        <w:tc>
          <w:tcPr>
            <w:tcW w:w="4920" w:type="dxa"/>
            <w:vAlign w:val="bottom"/>
            <w:tcBorders>
              <w:top w:val="single" w:sz="8" w:color="CFF2FA"/>
            </w:tcBorders>
          </w:tcPr>
          <w:p>
            <w:pPr>
              <w:spacing w:after="0" w:line="20" w:lineRule="exact"/>
              <w:rPr>
                <w:sz w:val="1"/>
                <w:szCs w:val="1"/>
                <w:color w:val="auto"/>
              </w:rPr>
            </w:pPr>
          </w:p>
        </w:tc>
        <w:tc>
          <w:tcPr>
            <w:tcW w:w="700" w:type="dxa"/>
            <w:vAlign w:val="bottom"/>
            <w:tcBorders>
              <w:top w:val="single" w:sz="8" w:color="CFF2FA"/>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2FA"/>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2FA"/>
            </w:tcBorders>
          </w:tcPr>
          <w:p>
            <w:pPr>
              <w:spacing w:after="0" w:line="20" w:lineRule="exact"/>
              <w:rPr>
                <w:sz w:val="1"/>
                <w:szCs w:val="1"/>
                <w:color w:val="auto"/>
              </w:rPr>
            </w:pPr>
          </w:p>
        </w:tc>
        <w:tc>
          <w:tcPr>
            <w:tcW w:w="60" w:type="dxa"/>
            <w:vAlign w:val="bottom"/>
            <w:tcBorders>
              <w:top w:val="single" w:sz="8" w:color="CFF2FA"/>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00" w:type="dxa"/>
            <w:vAlign w:val="bottom"/>
          </w:tcPr>
          <w:p>
            <w:pPr>
              <w:spacing w:after="0"/>
              <w:rPr>
                <w:sz w:val="20"/>
                <w:szCs w:val="20"/>
                <w:color w:val="auto"/>
              </w:rPr>
            </w:pPr>
            <w:r>
              <w:rPr>
                <w:rFonts w:ascii="Arial" w:cs="Arial" w:eastAsia="Arial" w:hAnsi="Arial"/>
                <w:sz w:val="20"/>
                <w:szCs w:val="20"/>
                <w:b w:val="1"/>
                <w:bCs w:val="1"/>
                <w:color w:val="auto"/>
                <w:w w:val="95"/>
              </w:rPr>
              <w:t>Consolidated Operating Margin in Accordance with GAAP</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0"/>
        </w:trPr>
        <w:tc>
          <w:tcPr>
            <w:tcW w:w="5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20"/>
                <w:szCs w:val="20"/>
                <w:color w:val="auto"/>
                <w:w w:val="87"/>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6"/>
          </w:tcPr>
          <w:p>
            <w:pPr>
              <w:jc w:val="center"/>
              <w:ind w:right="420"/>
              <w:spacing w:after="0"/>
              <w:rPr>
                <w:sz w:val="20"/>
                <w:szCs w:val="20"/>
                <w:color w:val="auto"/>
              </w:rPr>
            </w:pPr>
            <w:r>
              <w:rPr>
                <w:rFonts w:ascii="Arial" w:cs="Arial" w:eastAsia="Arial" w:hAnsi="Arial"/>
                <w:sz w:val="20"/>
                <w:szCs w:val="20"/>
                <w:color w:val="auto"/>
                <w:w w:val="89"/>
              </w:rPr>
              <w:t>Six Months Ended</w:t>
            </w:r>
          </w:p>
        </w:tc>
        <w:tc>
          <w:tcPr>
            <w:tcW w:w="0" w:type="dxa"/>
            <w:vAlign w:val="bottom"/>
          </w:tcPr>
          <w:p>
            <w:pPr>
              <w:spacing w:after="0"/>
              <w:rPr>
                <w:sz w:val="1"/>
                <w:szCs w:val="1"/>
                <w:color w:val="auto"/>
              </w:rPr>
            </w:pPr>
          </w:p>
        </w:tc>
      </w:tr>
      <w:tr>
        <w:trPr>
          <w:trHeight w:val="244"/>
        </w:trPr>
        <w:tc>
          <w:tcPr>
            <w:tcW w:w="5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20"/>
                <w:szCs w:val="20"/>
                <w:color w:val="auto"/>
                <w:w w:val="83"/>
              </w:rPr>
              <w:t>June 30,</w:t>
            </w:r>
          </w:p>
        </w:tc>
        <w:tc>
          <w:tcPr>
            <w:tcW w:w="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20"/>
                <w:szCs w:val="20"/>
                <w:color w:val="auto"/>
                <w:w w:val="83"/>
              </w:rPr>
              <w:t>June 30,</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2017</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2016</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ind w:left="120"/>
              <w:spacing w:after="0"/>
              <w:rPr>
                <w:sz w:val="20"/>
                <w:szCs w:val="20"/>
                <w:color w:val="auto"/>
              </w:rPr>
            </w:pPr>
            <w:r>
              <w:rPr>
                <w:rFonts w:ascii="Arial" w:cs="Arial" w:eastAsia="Arial" w:hAnsi="Arial"/>
                <w:sz w:val="20"/>
                <w:szCs w:val="20"/>
                <w:i w:val="1"/>
                <w:iCs w:val="1"/>
                <w:color w:val="auto"/>
              </w:rPr>
              <w:t>(Dollars 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0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Earnings from operations</w:t>
            </w:r>
          </w:p>
        </w:tc>
        <w:tc>
          <w:tcPr>
            <w:tcW w:w="320" w:type="dxa"/>
            <w:vAlign w:val="bottom"/>
            <w:tcBorders>
              <w:bottom w:val="single" w:sz="8" w:color="CFF2FA"/>
            </w:tcBorders>
            <w:shd w:val="clear" w:color="auto" w:fill="CFF2FA"/>
          </w:tcPr>
          <w:p>
            <w:pPr>
              <w:spacing w:after="0"/>
              <w:rPr>
                <w:sz w:val="20"/>
                <w:szCs w:val="20"/>
                <w:color w:val="auto"/>
              </w:rPr>
            </w:pPr>
          </w:p>
        </w:tc>
        <w:tc>
          <w:tcPr>
            <w:tcW w:w="240" w:type="dxa"/>
            <w:vAlign w:val="bottom"/>
            <w:tcBorders>
              <w:bottom w:val="single" w:sz="8" w:color="auto"/>
            </w:tcBorders>
            <w:shd w:val="clear" w:color="auto" w:fill="CFF2FA"/>
          </w:tcPr>
          <w:p>
            <w:pPr>
              <w:jc w:val="right"/>
              <w:ind w:right="42"/>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212,852</w:t>
            </w:r>
          </w:p>
        </w:tc>
        <w:tc>
          <w:tcPr>
            <w:tcW w:w="320" w:type="dxa"/>
            <w:vAlign w:val="bottom"/>
            <w:tcBorders>
              <w:bottom w:val="single" w:sz="8" w:color="CFF2FA"/>
            </w:tcBorders>
            <w:shd w:val="clear" w:color="auto" w:fill="CFF2FA"/>
          </w:tcPr>
          <w:p>
            <w:pPr>
              <w:spacing w:after="0"/>
              <w:rPr>
                <w:sz w:val="20"/>
                <w:szCs w:val="20"/>
                <w:color w:val="auto"/>
              </w:rPr>
            </w:pPr>
          </w:p>
        </w:tc>
        <w:tc>
          <w:tcPr>
            <w:tcW w:w="260" w:type="dxa"/>
            <w:vAlign w:val="bottom"/>
            <w:tcBorders>
              <w:bottom w:val="single" w:sz="8" w:color="auto"/>
            </w:tcBorders>
            <w:shd w:val="clear" w:color="auto" w:fill="CFF2FA"/>
          </w:tcPr>
          <w:p>
            <w:pPr>
              <w:jc w:val="right"/>
              <w:ind w:right="62"/>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190,848</w:t>
            </w:r>
          </w:p>
        </w:tc>
        <w:tc>
          <w:tcPr>
            <w:tcW w:w="20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2FA"/>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290,002</w:t>
            </w:r>
          </w:p>
        </w:tc>
        <w:tc>
          <w:tcPr>
            <w:tcW w:w="260" w:type="dxa"/>
            <w:vAlign w:val="bottom"/>
            <w:tcBorders>
              <w:bottom w:val="single" w:sz="8" w:color="CFF2FA"/>
            </w:tcBorders>
            <w:shd w:val="clear" w:color="auto" w:fill="CFF2FA"/>
          </w:tcPr>
          <w:p>
            <w:pPr>
              <w:spacing w:after="0"/>
              <w:rPr>
                <w:sz w:val="20"/>
                <w:szCs w:val="20"/>
                <w:color w:val="auto"/>
              </w:rPr>
            </w:pPr>
          </w:p>
        </w:tc>
        <w:tc>
          <w:tcPr>
            <w:tcW w:w="60" w:type="dxa"/>
            <w:vAlign w:val="bottom"/>
            <w:tcBorders>
              <w:bottom w:val="single" w:sz="8" w:color="CFF2FA"/>
            </w:tcBorders>
            <w:shd w:val="clear" w:color="auto" w:fill="CFF2FA"/>
          </w:tcPr>
          <w:p>
            <w:pPr>
              <w:spacing w:after="0"/>
              <w:rPr>
                <w:sz w:val="20"/>
                <w:szCs w:val="20"/>
                <w:color w:val="auto"/>
              </w:rPr>
            </w:pPr>
          </w:p>
        </w:tc>
        <w:tc>
          <w:tcPr>
            <w:tcW w:w="280" w:type="dxa"/>
            <w:vAlign w:val="bottom"/>
            <w:tcBorders>
              <w:bottom w:val="single" w:sz="8" w:color="auto"/>
            </w:tcBorders>
            <w:shd w:val="clear" w:color="auto" w:fill="CFF2FA"/>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276,872</w:t>
            </w:r>
          </w:p>
        </w:tc>
        <w:tc>
          <w:tcPr>
            <w:tcW w:w="180" w:type="dxa"/>
            <w:vAlign w:val="bottom"/>
            <w:tcBorders>
              <w:bottom w:val="single" w:sz="8" w:color="CFF2FA"/>
            </w:tcBorders>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00" w:type="dxa"/>
            <w:vAlign w:val="bottom"/>
            <w:tcBorders>
              <w:bottom w:val="single" w:sz="8" w:color="CFF2FA"/>
            </w:tcBorders>
            <w:vMerge w:val="continue"/>
          </w:tcPr>
          <w:p>
            <w:pPr>
              <w:spacing w:after="0"/>
              <w:rPr>
                <w:sz w:val="22"/>
                <w:szCs w:val="22"/>
                <w:color w:val="auto"/>
              </w:rPr>
            </w:pPr>
          </w:p>
        </w:tc>
        <w:tc>
          <w:tcPr>
            <w:tcW w:w="320" w:type="dxa"/>
            <w:vAlign w:val="bottom"/>
            <w:tcBorders>
              <w:bottom w:val="single" w:sz="8" w:color="CFF2FA"/>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2"/>
              <w:spacing w:after="0" w:line="221"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1,063,524</w:t>
            </w:r>
          </w:p>
        </w:tc>
        <w:tc>
          <w:tcPr>
            <w:tcW w:w="32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62"/>
              <w:spacing w:after="0" w:line="221"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977,298</w:t>
            </w:r>
          </w:p>
        </w:tc>
        <w:tc>
          <w:tcPr>
            <w:tcW w:w="200" w:type="dxa"/>
            <w:vAlign w:val="bottom"/>
            <w:tcBorders>
              <w:bottom w:val="single" w:sz="8" w:color="CFF2FA"/>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2"/>
              <w:spacing w:after="0" w:line="221"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1,907,383</w:t>
            </w:r>
          </w:p>
        </w:tc>
        <w:tc>
          <w:tcPr>
            <w:tcW w:w="260" w:type="dxa"/>
            <w:vAlign w:val="bottom"/>
            <w:tcBorders>
              <w:bottom w:val="single" w:sz="8" w:color="CFF2FA"/>
            </w:tcBorders>
          </w:tcPr>
          <w:p>
            <w:pPr>
              <w:spacing w:after="0"/>
              <w:rPr>
                <w:sz w:val="22"/>
                <w:szCs w:val="22"/>
                <w:color w:val="auto"/>
              </w:rPr>
            </w:pPr>
          </w:p>
        </w:tc>
        <w:tc>
          <w:tcPr>
            <w:tcW w:w="60" w:type="dxa"/>
            <w:vAlign w:val="bottom"/>
            <w:tcBorders>
              <w:bottom w:val="single" w:sz="8" w:color="CFF2FA"/>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82"/>
              <w:spacing w:after="0" w:line="221"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6"/>
              </w:rPr>
              <w:t>1,766,032</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300" w:type="dxa"/>
            <w:vAlign w:val="bottom"/>
            <w:shd w:val="clear" w:color="auto" w:fill="CFF2FA"/>
          </w:tcPr>
          <w:p>
            <w:pPr>
              <w:spacing w:after="0" w:line="221" w:lineRule="exact"/>
              <w:rPr>
                <w:sz w:val="20"/>
                <w:szCs w:val="20"/>
                <w:color w:val="auto"/>
              </w:rPr>
            </w:pPr>
            <w:r>
              <w:rPr>
                <w:rFonts w:ascii="Arial" w:cs="Arial" w:eastAsia="Arial" w:hAnsi="Arial"/>
                <w:sz w:val="20"/>
                <w:szCs w:val="20"/>
                <w:color w:val="auto"/>
              </w:rPr>
              <w:t>Operating margin</w:t>
            </w:r>
          </w:p>
        </w:tc>
        <w:tc>
          <w:tcPr>
            <w:tcW w:w="32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260" w:type="dxa"/>
            <w:vAlign w:val="bottom"/>
            <w:gridSpan w:val="2"/>
            <w:shd w:val="clear" w:color="auto" w:fill="CFF2FA"/>
          </w:tcPr>
          <w:p>
            <w:pPr>
              <w:jc w:val="right"/>
              <w:ind w:right="160"/>
              <w:spacing w:after="0" w:line="221" w:lineRule="exact"/>
              <w:rPr>
                <w:sz w:val="20"/>
                <w:szCs w:val="20"/>
                <w:color w:val="auto"/>
              </w:rPr>
            </w:pPr>
            <w:r>
              <w:rPr>
                <w:rFonts w:ascii="Arial" w:cs="Arial" w:eastAsia="Arial" w:hAnsi="Arial"/>
                <w:sz w:val="20"/>
                <w:szCs w:val="20"/>
                <w:color w:val="auto"/>
              </w:rPr>
              <w:t>20.0%</w:t>
            </w:r>
          </w:p>
        </w:tc>
        <w:tc>
          <w:tcPr>
            <w:tcW w:w="26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40"/>
              <w:spacing w:after="0" w:line="221" w:lineRule="exact"/>
              <w:rPr>
                <w:sz w:val="20"/>
                <w:szCs w:val="20"/>
                <w:color w:val="auto"/>
              </w:rPr>
            </w:pPr>
            <w:r>
              <w:rPr>
                <w:rFonts w:ascii="Arial" w:cs="Arial" w:eastAsia="Arial" w:hAnsi="Arial"/>
                <w:sz w:val="20"/>
                <w:szCs w:val="20"/>
                <w:color w:val="auto"/>
              </w:rPr>
              <w:t>19.5%</w:t>
            </w:r>
          </w:p>
        </w:tc>
        <w:tc>
          <w:tcPr>
            <w:tcW w:w="12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80"/>
              <w:spacing w:after="0" w:line="221" w:lineRule="exact"/>
              <w:rPr>
                <w:sz w:val="20"/>
                <w:szCs w:val="20"/>
                <w:color w:val="auto"/>
              </w:rPr>
            </w:pPr>
            <w:r>
              <w:rPr>
                <w:rFonts w:ascii="Arial" w:cs="Arial" w:eastAsia="Arial" w:hAnsi="Arial"/>
                <w:sz w:val="20"/>
                <w:szCs w:val="20"/>
                <w:color w:val="auto"/>
              </w:rPr>
              <w:t>15.2%</w:t>
            </w:r>
          </w:p>
        </w:tc>
        <w:tc>
          <w:tcPr>
            <w:tcW w:w="60" w:type="dxa"/>
            <w:vAlign w:val="bottom"/>
            <w:shd w:val="clear" w:color="auto" w:fill="CFF2FA"/>
          </w:tcPr>
          <w:p>
            <w:pPr>
              <w:spacing w:after="0"/>
              <w:rPr>
                <w:sz w:val="19"/>
                <w:szCs w:val="19"/>
                <w:color w:val="auto"/>
              </w:rPr>
            </w:pP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line="221" w:lineRule="exact"/>
              <w:rPr>
                <w:sz w:val="20"/>
                <w:szCs w:val="20"/>
                <w:color w:val="auto"/>
              </w:rPr>
            </w:pPr>
            <w:r>
              <w:rPr>
                <w:rFonts w:ascii="Arial" w:cs="Arial" w:eastAsia="Arial" w:hAnsi="Arial"/>
                <w:sz w:val="20"/>
                <w:szCs w:val="20"/>
                <w:color w:val="auto"/>
              </w:rPr>
              <w:t>15.7%</w:t>
            </w:r>
          </w:p>
        </w:tc>
        <w:tc>
          <w:tcPr>
            <w:tcW w:w="0" w:type="dxa"/>
            <w:vAlign w:val="bottom"/>
          </w:tcPr>
          <w:p>
            <w:pPr>
              <w:spacing w:after="0"/>
              <w:rPr>
                <w:sz w:val="1"/>
                <w:szCs w:val="1"/>
                <w:color w:val="auto"/>
              </w:rPr>
            </w:pPr>
          </w:p>
        </w:tc>
      </w:tr>
      <w:tr>
        <w:trPr>
          <w:trHeight w:val="20"/>
        </w:trPr>
        <w:tc>
          <w:tcPr>
            <w:tcW w:w="5620" w:type="dxa"/>
            <w:vAlign w:val="bottom"/>
            <w:tcBorders>
              <w:top w:val="single" w:sz="8" w:color="CFF2FA"/>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2FA"/>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2FA"/>
            </w:tcBorders>
          </w:tcPr>
          <w:p>
            <w:pPr>
              <w:spacing w:after="0" w:line="20" w:lineRule="exact"/>
              <w:rPr>
                <w:sz w:val="1"/>
                <w:szCs w:val="1"/>
                <w:color w:val="auto"/>
              </w:rPr>
            </w:pPr>
          </w:p>
        </w:tc>
        <w:tc>
          <w:tcPr>
            <w:tcW w:w="60" w:type="dxa"/>
            <w:vAlign w:val="bottom"/>
            <w:tcBorders>
              <w:top w:val="single" w:sz="8" w:color="CFF2FA"/>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20" w:type="dxa"/>
            <w:vAlign w:val="bottom"/>
            <w:gridSpan w:val="5"/>
          </w:tcPr>
          <w:p>
            <w:pPr>
              <w:spacing w:after="0"/>
              <w:rPr>
                <w:sz w:val="20"/>
                <w:szCs w:val="20"/>
                <w:color w:val="auto"/>
              </w:rPr>
            </w:pPr>
            <w:r>
              <w:rPr>
                <w:rFonts w:ascii="Arial" w:cs="Arial" w:eastAsia="Arial" w:hAnsi="Arial"/>
                <w:sz w:val="20"/>
                <w:szCs w:val="20"/>
                <w:b w:val="1"/>
                <w:bCs w:val="1"/>
                <w:color w:val="auto"/>
              </w:rPr>
              <w:t>Consolidated Operating Margin Excluding Freight and Delivery Revenues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20"/>
                <w:szCs w:val="20"/>
                <w:color w:val="auto"/>
                <w:w w:val="87"/>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6"/>
          </w:tcPr>
          <w:p>
            <w:pPr>
              <w:jc w:val="center"/>
              <w:ind w:right="420"/>
              <w:spacing w:after="0"/>
              <w:rPr>
                <w:sz w:val="20"/>
                <w:szCs w:val="20"/>
                <w:color w:val="auto"/>
              </w:rPr>
            </w:pPr>
            <w:r>
              <w:rPr>
                <w:rFonts w:ascii="Arial" w:cs="Arial" w:eastAsia="Arial" w:hAnsi="Arial"/>
                <w:sz w:val="20"/>
                <w:szCs w:val="20"/>
                <w:color w:val="auto"/>
                <w:w w:val="89"/>
              </w:rPr>
              <w:t>Six Months Ended</w:t>
            </w:r>
          </w:p>
        </w:tc>
        <w:tc>
          <w:tcPr>
            <w:tcW w:w="0" w:type="dxa"/>
            <w:vAlign w:val="bottom"/>
          </w:tcPr>
          <w:p>
            <w:pPr>
              <w:spacing w:after="0"/>
              <w:rPr>
                <w:sz w:val="1"/>
                <w:szCs w:val="1"/>
                <w:color w:val="auto"/>
              </w:rPr>
            </w:pPr>
          </w:p>
        </w:tc>
      </w:tr>
      <w:tr>
        <w:trPr>
          <w:trHeight w:val="244"/>
        </w:trPr>
        <w:tc>
          <w:tcPr>
            <w:tcW w:w="5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20"/>
                <w:szCs w:val="20"/>
                <w:color w:val="auto"/>
                <w:w w:val="83"/>
              </w:rPr>
              <w:t>June 30,</w:t>
            </w:r>
          </w:p>
        </w:tc>
        <w:tc>
          <w:tcPr>
            <w:tcW w:w="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20"/>
                <w:szCs w:val="20"/>
                <w:color w:val="auto"/>
                <w:w w:val="83"/>
              </w:rPr>
              <w:t>June 30,</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2017</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2016</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ind w:left="120"/>
              <w:spacing w:after="0"/>
              <w:rPr>
                <w:sz w:val="20"/>
                <w:szCs w:val="20"/>
                <w:color w:val="auto"/>
              </w:rPr>
            </w:pPr>
            <w:r>
              <w:rPr>
                <w:rFonts w:ascii="Arial" w:cs="Arial" w:eastAsia="Arial" w:hAnsi="Arial"/>
                <w:sz w:val="20"/>
                <w:szCs w:val="20"/>
                <w:i w:val="1"/>
                <w:iCs w:val="1"/>
                <w:color w:val="auto"/>
              </w:rPr>
              <w:t>(Dollars 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0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Earnings from operations</w:t>
            </w:r>
          </w:p>
        </w:tc>
        <w:tc>
          <w:tcPr>
            <w:tcW w:w="320" w:type="dxa"/>
            <w:vAlign w:val="bottom"/>
            <w:tcBorders>
              <w:bottom w:val="single" w:sz="8" w:color="CFF2FA"/>
            </w:tcBorders>
            <w:shd w:val="clear" w:color="auto" w:fill="CFF2FA"/>
          </w:tcPr>
          <w:p>
            <w:pPr>
              <w:spacing w:after="0"/>
              <w:rPr>
                <w:sz w:val="20"/>
                <w:szCs w:val="20"/>
                <w:color w:val="auto"/>
              </w:rPr>
            </w:pPr>
          </w:p>
        </w:tc>
        <w:tc>
          <w:tcPr>
            <w:tcW w:w="240" w:type="dxa"/>
            <w:vAlign w:val="bottom"/>
            <w:tcBorders>
              <w:bottom w:val="single" w:sz="8" w:color="auto"/>
            </w:tcBorders>
            <w:shd w:val="clear" w:color="auto" w:fill="CFF2FA"/>
          </w:tcPr>
          <w:p>
            <w:pPr>
              <w:jc w:val="right"/>
              <w:ind w:right="42"/>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212,852</w:t>
            </w:r>
          </w:p>
        </w:tc>
        <w:tc>
          <w:tcPr>
            <w:tcW w:w="320" w:type="dxa"/>
            <w:vAlign w:val="bottom"/>
            <w:tcBorders>
              <w:bottom w:val="single" w:sz="8" w:color="CFF2FA"/>
            </w:tcBorders>
            <w:shd w:val="clear" w:color="auto" w:fill="CFF2FA"/>
          </w:tcPr>
          <w:p>
            <w:pPr>
              <w:spacing w:after="0"/>
              <w:rPr>
                <w:sz w:val="20"/>
                <w:szCs w:val="20"/>
                <w:color w:val="auto"/>
              </w:rPr>
            </w:pPr>
          </w:p>
        </w:tc>
        <w:tc>
          <w:tcPr>
            <w:tcW w:w="260" w:type="dxa"/>
            <w:vAlign w:val="bottom"/>
            <w:tcBorders>
              <w:bottom w:val="single" w:sz="8" w:color="auto"/>
            </w:tcBorders>
            <w:shd w:val="clear" w:color="auto" w:fill="CFF2FA"/>
          </w:tcPr>
          <w:p>
            <w:pPr>
              <w:jc w:val="right"/>
              <w:ind w:right="62"/>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190,848</w:t>
            </w:r>
          </w:p>
        </w:tc>
        <w:tc>
          <w:tcPr>
            <w:tcW w:w="20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2FA"/>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290,002</w:t>
            </w:r>
          </w:p>
        </w:tc>
        <w:tc>
          <w:tcPr>
            <w:tcW w:w="260" w:type="dxa"/>
            <w:vAlign w:val="bottom"/>
            <w:tcBorders>
              <w:bottom w:val="single" w:sz="8" w:color="CFF2FA"/>
            </w:tcBorders>
            <w:shd w:val="clear" w:color="auto" w:fill="CFF2FA"/>
          </w:tcPr>
          <w:p>
            <w:pPr>
              <w:spacing w:after="0"/>
              <w:rPr>
                <w:sz w:val="20"/>
                <w:szCs w:val="20"/>
                <w:color w:val="auto"/>
              </w:rPr>
            </w:pPr>
          </w:p>
        </w:tc>
        <w:tc>
          <w:tcPr>
            <w:tcW w:w="60" w:type="dxa"/>
            <w:vAlign w:val="bottom"/>
            <w:tcBorders>
              <w:bottom w:val="single" w:sz="8" w:color="CFF2FA"/>
            </w:tcBorders>
            <w:shd w:val="clear" w:color="auto" w:fill="CFF2FA"/>
          </w:tcPr>
          <w:p>
            <w:pPr>
              <w:spacing w:after="0"/>
              <w:rPr>
                <w:sz w:val="20"/>
                <w:szCs w:val="20"/>
                <w:color w:val="auto"/>
              </w:rPr>
            </w:pPr>
          </w:p>
        </w:tc>
        <w:tc>
          <w:tcPr>
            <w:tcW w:w="280" w:type="dxa"/>
            <w:vAlign w:val="bottom"/>
            <w:tcBorders>
              <w:bottom w:val="single" w:sz="8" w:color="auto"/>
            </w:tcBorders>
            <w:shd w:val="clear" w:color="auto" w:fill="CFF2FA"/>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276,872</w:t>
            </w:r>
          </w:p>
        </w:tc>
        <w:tc>
          <w:tcPr>
            <w:tcW w:w="180" w:type="dxa"/>
            <w:vAlign w:val="bottom"/>
            <w:tcBorders>
              <w:bottom w:val="single" w:sz="8" w:color="CFF2FA"/>
            </w:tcBorders>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jc w:val="right"/>
              <w:ind w:right="42"/>
              <w:spacing w:after="0" w:line="221"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rPr>
              <w:t>1,063,524</w:t>
            </w:r>
          </w:p>
        </w:tc>
        <w:tc>
          <w:tcPr>
            <w:tcW w:w="320" w:type="dxa"/>
            <w:vAlign w:val="bottom"/>
          </w:tcPr>
          <w:p>
            <w:pPr>
              <w:spacing w:after="0"/>
              <w:rPr>
                <w:sz w:val="19"/>
                <w:szCs w:val="19"/>
                <w:color w:val="auto"/>
              </w:rPr>
            </w:pPr>
          </w:p>
        </w:tc>
        <w:tc>
          <w:tcPr>
            <w:tcW w:w="260" w:type="dxa"/>
            <w:vAlign w:val="bottom"/>
            <w:tcBorders>
              <w:top w:val="single" w:sz="8" w:color="auto"/>
            </w:tcBorders>
          </w:tcPr>
          <w:p>
            <w:pPr>
              <w:jc w:val="right"/>
              <w:ind w:right="62"/>
              <w:spacing w:after="0" w:line="221"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rPr>
              <w:t>977,298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42"/>
              <w:spacing w:after="0" w:line="221"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rPr>
              <w:t>1,907,383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jc w:val="right"/>
              <w:ind w:right="82"/>
              <w:spacing w:after="0" w:line="221"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tcPr>
          <w:p>
            <w:pPr>
              <w:jc w:val="right"/>
              <w:spacing w:after="0" w:line="221" w:lineRule="exact"/>
              <w:rPr>
                <w:sz w:val="20"/>
                <w:szCs w:val="20"/>
                <w:color w:val="auto"/>
              </w:rPr>
            </w:pPr>
            <w:r>
              <w:rPr>
                <w:rFonts w:ascii="Arial" w:cs="Arial" w:eastAsia="Arial" w:hAnsi="Arial"/>
                <w:sz w:val="20"/>
                <w:szCs w:val="20"/>
                <w:color w:val="auto"/>
                <w:w w:val="96"/>
              </w:rPr>
              <w:t>1,766,032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0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320" w:type="dxa"/>
            <w:vAlign w:val="bottom"/>
            <w:shd w:val="clear" w:color="auto" w:fill="CFF2FA"/>
          </w:tcPr>
          <w:p>
            <w:pPr>
              <w:spacing w:after="0"/>
              <w:rPr>
                <w:sz w:val="20"/>
                <w:szCs w:val="20"/>
                <w:color w:val="auto"/>
              </w:rPr>
            </w:pPr>
          </w:p>
        </w:tc>
        <w:tc>
          <w:tcPr>
            <w:tcW w:w="240" w:type="dxa"/>
            <w:vAlign w:val="bottom"/>
            <w:shd w:val="clear" w:color="auto" w:fill="CFF2FA"/>
          </w:tcPr>
          <w:p>
            <w:pPr>
              <w:spacing w:after="0"/>
              <w:rPr>
                <w:sz w:val="20"/>
                <w:szCs w:val="20"/>
                <w:color w:val="auto"/>
              </w:rPr>
            </w:pPr>
          </w:p>
        </w:tc>
        <w:tc>
          <w:tcPr>
            <w:tcW w:w="1260" w:type="dxa"/>
            <w:vAlign w:val="bottom"/>
            <w:gridSpan w:val="2"/>
            <w:shd w:val="clear" w:color="auto" w:fill="CFF2FA"/>
          </w:tcPr>
          <w:p>
            <w:pPr>
              <w:jc w:val="right"/>
              <w:ind w:right="260"/>
              <w:spacing w:after="0"/>
              <w:rPr>
                <w:sz w:val="20"/>
                <w:szCs w:val="20"/>
                <w:color w:val="auto"/>
              </w:rPr>
            </w:pPr>
            <w:r>
              <w:rPr>
                <w:rFonts w:ascii="Arial" w:cs="Arial" w:eastAsia="Arial" w:hAnsi="Arial"/>
                <w:sz w:val="20"/>
                <w:szCs w:val="20"/>
                <w:color w:val="auto"/>
              </w:rPr>
              <w:t>(67,235)</w:t>
            </w:r>
          </w:p>
        </w:tc>
        <w:tc>
          <w:tcPr>
            <w:tcW w:w="260" w:type="dxa"/>
            <w:vAlign w:val="bottom"/>
            <w:shd w:val="clear" w:color="auto" w:fill="CFF2FA"/>
          </w:tcPr>
          <w:p>
            <w:pPr>
              <w:spacing w:after="0"/>
              <w:rPr>
                <w:sz w:val="20"/>
                <w:szCs w:val="20"/>
                <w:color w:val="auto"/>
              </w:rPr>
            </w:pPr>
          </w:p>
        </w:tc>
        <w:tc>
          <w:tcPr>
            <w:tcW w:w="1080" w:type="dxa"/>
            <w:vAlign w:val="bottom"/>
            <w:gridSpan w:val="2"/>
            <w:shd w:val="clear" w:color="auto" w:fill="CFF2FA"/>
          </w:tcPr>
          <w:p>
            <w:pPr>
              <w:jc w:val="right"/>
              <w:ind w:right="140"/>
              <w:spacing w:after="0"/>
              <w:rPr>
                <w:sz w:val="20"/>
                <w:szCs w:val="20"/>
                <w:color w:val="auto"/>
              </w:rPr>
            </w:pPr>
            <w:r>
              <w:rPr>
                <w:rFonts w:ascii="Arial" w:cs="Arial" w:eastAsia="Arial" w:hAnsi="Arial"/>
                <w:sz w:val="20"/>
                <w:szCs w:val="20"/>
                <w:color w:val="auto"/>
              </w:rPr>
              <w:t>(61,862)</w:t>
            </w:r>
          </w:p>
        </w:tc>
        <w:tc>
          <w:tcPr>
            <w:tcW w:w="120" w:type="dxa"/>
            <w:vAlign w:val="bottom"/>
            <w:shd w:val="clear" w:color="auto" w:fill="CFF0FC"/>
          </w:tcPr>
          <w:p>
            <w:pPr>
              <w:spacing w:after="0"/>
              <w:rPr>
                <w:sz w:val="20"/>
                <w:szCs w:val="20"/>
                <w:color w:val="auto"/>
              </w:rPr>
            </w:pPr>
          </w:p>
        </w:tc>
        <w:tc>
          <w:tcPr>
            <w:tcW w:w="240" w:type="dxa"/>
            <w:vAlign w:val="bottom"/>
            <w:shd w:val="clear" w:color="auto" w:fill="CFF2FA"/>
          </w:tcPr>
          <w:p>
            <w:pPr>
              <w:spacing w:after="0"/>
              <w:rPr>
                <w:sz w:val="20"/>
                <w:szCs w:val="20"/>
                <w:color w:val="auto"/>
              </w:rPr>
            </w:pPr>
          </w:p>
        </w:tc>
        <w:tc>
          <w:tcPr>
            <w:tcW w:w="118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(119,410)</w:t>
            </w:r>
          </w:p>
        </w:tc>
        <w:tc>
          <w:tcPr>
            <w:tcW w:w="60" w:type="dxa"/>
            <w:vAlign w:val="bottom"/>
            <w:shd w:val="clear" w:color="auto" w:fill="CFF2FA"/>
          </w:tcPr>
          <w:p>
            <w:pPr>
              <w:spacing w:after="0"/>
              <w:rPr>
                <w:sz w:val="20"/>
                <w:szCs w:val="20"/>
                <w:color w:val="auto"/>
              </w:rPr>
            </w:pPr>
          </w:p>
        </w:tc>
        <w:tc>
          <w:tcPr>
            <w:tcW w:w="280" w:type="dxa"/>
            <w:vAlign w:val="bottom"/>
            <w:shd w:val="clear" w:color="auto" w:fill="CFF2FA"/>
          </w:tcPr>
          <w:p>
            <w:pPr>
              <w:spacing w:after="0"/>
              <w:rPr>
                <w:sz w:val="20"/>
                <w:szCs w:val="20"/>
                <w:color w:val="auto"/>
              </w:rPr>
            </w:pPr>
          </w:p>
        </w:tc>
        <w:tc>
          <w:tcPr>
            <w:tcW w:w="108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(116,636)</w:t>
            </w:r>
          </w:p>
        </w:tc>
        <w:tc>
          <w:tcPr>
            <w:tcW w:w="0" w:type="dxa"/>
            <w:vAlign w:val="bottom"/>
          </w:tcPr>
          <w:p>
            <w:pPr>
              <w:spacing w:after="0"/>
              <w:rPr>
                <w:sz w:val="1"/>
                <w:szCs w:val="1"/>
                <w:color w:val="auto"/>
              </w:rPr>
            </w:pPr>
          </w:p>
        </w:tc>
      </w:tr>
      <w:tr>
        <w:trPr>
          <w:trHeight w:val="274"/>
        </w:trPr>
        <w:tc>
          <w:tcPr>
            <w:tcW w:w="5300" w:type="dxa"/>
            <w:vAlign w:val="bottom"/>
            <w:tcBorders>
              <w:bottom w:val="single" w:sz="8" w:color="CFF2FA"/>
            </w:tcBorders>
          </w:tcPr>
          <w:p>
            <w:pPr>
              <w:spacing w:after="0"/>
              <w:rPr>
                <w:sz w:val="20"/>
                <w:szCs w:val="20"/>
                <w:color w:val="auto"/>
              </w:rPr>
            </w:pPr>
            <w:r>
              <w:rPr>
                <w:rFonts w:ascii="Arial" w:cs="Arial" w:eastAsia="Arial" w:hAnsi="Arial"/>
                <w:sz w:val="20"/>
                <w:szCs w:val="20"/>
                <w:color w:val="auto"/>
              </w:rPr>
              <w:t>Net sales</w:t>
            </w:r>
          </w:p>
        </w:tc>
        <w:tc>
          <w:tcPr>
            <w:tcW w:w="320" w:type="dxa"/>
            <w:vAlign w:val="bottom"/>
            <w:tcBorders>
              <w:bottom w:val="single" w:sz="8" w:color="CFF2FA"/>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996,289</w:t>
            </w:r>
          </w:p>
        </w:tc>
        <w:tc>
          <w:tcPr>
            <w:tcW w:w="320" w:type="dxa"/>
            <w:vAlign w:val="bottom"/>
            <w:tcBorders>
              <w:bottom w:val="single" w:sz="8" w:color="CFF2FA"/>
            </w:tcBorders>
          </w:tcPr>
          <w:p>
            <w:pPr>
              <w:spacing w:after="0"/>
              <w:rPr>
                <w:sz w:val="23"/>
                <w:szCs w:val="23"/>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915,436</w:t>
            </w:r>
          </w:p>
        </w:tc>
        <w:tc>
          <w:tcPr>
            <w:tcW w:w="200" w:type="dxa"/>
            <w:vAlign w:val="bottom"/>
            <w:tcBorders>
              <w:bottom w:val="single" w:sz="8" w:color="CFF2FA"/>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1,787,973</w:t>
            </w:r>
          </w:p>
        </w:tc>
        <w:tc>
          <w:tcPr>
            <w:tcW w:w="260" w:type="dxa"/>
            <w:vAlign w:val="bottom"/>
            <w:tcBorders>
              <w:bottom w:val="single" w:sz="8" w:color="CFF2FA"/>
            </w:tcBorders>
          </w:tcPr>
          <w:p>
            <w:pPr>
              <w:spacing w:after="0"/>
              <w:rPr>
                <w:sz w:val="23"/>
                <w:szCs w:val="23"/>
                <w:color w:val="auto"/>
              </w:rPr>
            </w:pPr>
          </w:p>
        </w:tc>
        <w:tc>
          <w:tcPr>
            <w:tcW w:w="60" w:type="dxa"/>
            <w:vAlign w:val="bottom"/>
            <w:tcBorders>
              <w:bottom w:val="single" w:sz="8" w:color="CFF2FA"/>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6"/>
              </w:rPr>
              <w:t>1,649,396</w:t>
            </w:r>
          </w:p>
        </w:tc>
        <w:tc>
          <w:tcPr>
            <w:tcW w:w="180" w:type="dxa"/>
            <w:vAlign w:val="bottom"/>
            <w:tcBorders>
              <w:bottom w:val="single" w:sz="8" w:color="CFF2FA"/>
            </w:tcBorders>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300" w:type="dxa"/>
            <w:vAlign w:val="bottom"/>
            <w:shd w:val="clear" w:color="auto" w:fill="CFF2FA"/>
          </w:tcPr>
          <w:p>
            <w:pPr>
              <w:spacing w:after="0" w:line="221" w:lineRule="exact"/>
              <w:rPr>
                <w:sz w:val="20"/>
                <w:szCs w:val="20"/>
                <w:color w:val="auto"/>
              </w:rPr>
            </w:pPr>
            <w:r>
              <w:rPr>
                <w:rFonts w:ascii="Arial" w:cs="Arial" w:eastAsia="Arial" w:hAnsi="Arial"/>
                <w:sz w:val="20"/>
                <w:szCs w:val="20"/>
                <w:color w:val="auto"/>
              </w:rPr>
              <w:t>Operating margin excluding freight and delivery revenues</w:t>
            </w:r>
          </w:p>
        </w:tc>
        <w:tc>
          <w:tcPr>
            <w:tcW w:w="32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260" w:type="dxa"/>
            <w:vAlign w:val="bottom"/>
            <w:gridSpan w:val="2"/>
            <w:shd w:val="clear" w:color="auto" w:fill="CFF2FA"/>
          </w:tcPr>
          <w:p>
            <w:pPr>
              <w:jc w:val="right"/>
              <w:ind w:right="160"/>
              <w:spacing w:after="0" w:line="221" w:lineRule="exact"/>
              <w:rPr>
                <w:sz w:val="20"/>
                <w:szCs w:val="20"/>
                <w:color w:val="auto"/>
              </w:rPr>
            </w:pPr>
            <w:r>
              <w:rPr>
                <w:rFonts w:ascii="Arial" w:cs="Arial" w:eastAsia="Arial" w:hAnsi="Arial"/>
                <w:sz w:val="20"/>
                <w:szCs w:val="20"/>
                <w:color w:val="auto"/>
              </w:rPr>
              <w:t>21.4%</w:t>
            </w:r>
          </w:p>
        </w:tc>
        <w:tc>
          <w:tcPr>
            <w:tcW w:w="26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40"/>
              <w:spacing w:after="0" w:line="221" w:lineRule="exact"/>
              <w:rPr>
                <w:sz w:val="20"/>
                <w:szCs w:val="20"/>
                <w:color w:val="auto"/>
              </w:rPr>
            </w:pPr>
            <w:r>
              <w:rPr>
                <w:rFonts w:ascii="Arial" w:cs="Arial" w:eastAsia="Arial" w:hAnsi="Arial"/>
                <w:sz w:val="20"/>
                <w:szCs w:val="20"/>
                <w:color w:val="auto"/>
              </w:rPr>
              <w:t>20.8%</w:t>
            </w:r>
          </w:p>
        </w:tc>
        <w:tc>
          <w:tcPr>
            <w:tcW w:w="12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80"/>
              <w:spacing w:after="0" w:line="221" w:lineRule="exact"/>
              <w:rPr>
                <w:sz w:val="20"/>
                <w:szCs w:val="20"/>
                <w:color w:val="auto"/>
              </w:rPr>
            </w:pPr>
            <w:r>
              <w:rPr>
                <w:rFonts w:ascii="Arial" w:cs="Arial" w:eastAsia="Arial" w:hAnsi="Arial"/>
                <w:sz w:val="20"/>
                <w:szCs w:val="20"/>
                <w:color w:val="auto"/>
              </w:rPr>
              <w:t>16.2%</w:t>
            </w:r>
          </w:p>
        </w:tc>
        <w:tc>
          <w:tcPr>
            <w:tcW w:w="60" w:type="dxa"/>
            <w:vAlign w:val="bottom"/>
            <w:shd w:val="clear" w:color="auto" w:fill="CFF2FA"/>
          </w:tcPr>
          <w:p>
            <w:pPr>
              <w:spacing w:after="0"/>
              <w:rPr>
                <w:sz w:val="19"/>
                <w:szCs w:val="19"/>
                <w:color w:val="auto"/>
              </w:rPr>
            </w:pPr>
          </w:p>
        </w:tc>
        <w:tc>
          <w:tcPr>
            <w:tcW w:w="280" w:type="dxa"/>
            <w:vAlign w:val="bottom"/>
            <w:shd w:val="clear" w:color="auto" w:fill="CFF2FA"/>
          </w:tcPr>
          <w:p>
            <w:pPr>
              <w:spacing w:after="0"/>
              <w:rPr>
                <w:sz w:val="19"/>
                <w:szCs w:val="19"/>
                <w:color w:val="auto"/>
              </w:rPr>
            </w:pPr>
          </w:p>
        </w:tc>
        <w:tc>
          <w:tcPr>
            <w:tcW w:w="1080" w:type="dxa"/>
            <w:vAlign w:val="bottom"/>
            <w:gridSpan w:val="2"/>
            <w:shd w:val="clear" w:color="auto" w:fill="CFF2FA"/>
          </w:tcPr>
          <w:p>
            <w:pPr>
              <w:jc w:val="right"/>
              <w:ind w:right="20"/>
              <w:spacing w:after="0" w:line="221" w:lineRule="exact"/>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20"/>
        </w:trPr>
        <w:tc>
          <w:tcPr>
            <w:tcW w:w="5300" w:type="dxa"/>
            <w:vAlign w:val="bottom"/>
            <w:tcBorders>
              <w:top w:val="single" w:sz="8" w:color="CFF2FA"/>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2FA"/>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2FA"/>
            </w:tcBorders>
          </w:tcPr>
          <w:p>
            <w:pPr>
              <w:spacing w:after="0" w:line="20" w:lineRule="exact"/>
              <w:rPr>
                <w:sz w:val="1"/>
                <w:szCs w:val="1"/>
                <w:color w:val="auto"/>
              </w:rPr>
            </w:pPr>
          </w:p>
        </w:tc>
        <w:tc>
          <w:tcPr>
            <w:tcW w:w="60" w:type="dxa"/>
            <w:vAlign w:val="bottom"/>
            <w:tcBorders>
              <w:top w:val="single" w:sz="8" w:color="CFF2FA"/>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Earnings before interest, income taxes, depreciation, depletion and amortization (EBITDA) is a widely accepted financial indicator of a company’s ability to service and/or incur indebtedness. EBITDA is not defined by generally accepted accounting principles and, as such, should not be construed as an alternative to net earnings, operating earnings or operating cash flow. However, the Company’s management believes that EBITDA may provide additional information with respect to the Company’s performance or ability to meet its future debt service, capital expenditures or working capital requirements. Because EBITDA exclude some, but not all, items that affect net earnings and may vary among companies, the EBITDA presented by the Company may not be comparable to similarly titled measures of other companies.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Materials, Inc. to consolidated EBITDA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ind w:left="220"/>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20"/>
                <w:szCs w:val="20"/>
                <w:color w:val="auto"/>
              </w:rPr>
            </w:pPr>
          </w:p>
        </w:tc>
        <w:tc>
          <w:tcPr>
            <w:tcW w:w="2440" w:type="dxa"/>
            <w:vAlign w:val="bottom"/>
            <w:gridSpan w:val="5"/>
          </w:tcPr>
          <w:p>
            <w:pPr>
              <w:ind w:left="300"/>
              <w:spacing w:after="0"/>
              <w:rPr>
                <w:sz w:val="20"/>
                <w:szCs w:val="20"/>
                <w:color w:val="auto"/>
              </w:rPr>
            </w:pPr>
            <w:r>
              <w:rPr>
                <w:rFonts w:ascii="Arial" w:cs="Arial" w:eastAsia="Arial" w:hAnsi="Arial"/>
                <w:sz w:val="20"/>
                <w:szCs w:val="20"/>
                <w:color w:val="auto"/>
              </w:rPr>
              <w:t>Six Months Ended</w:t>
            </w:r>
          </w:p>
        </w:tc>
      </w:tr>
      <w:tr>
        <w:trPr>
          <w:trHeight w:val="244"/>
        </w:trPr>
        <w:tc>
          <w:tcPr>
            <w:tcW w:w="5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5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0"/>
                <w:szCs w:val="20"/>
                <w:color w:val="auto"/>
              </w:rPr>
            </w:pPr>
          </w:p>
        </w:tc>
      </w:tr>
      <w:tr>
        <w:trPr>
          <w:trHeight w:val="234"/>
        </w:trPr>
        <w:tc>
          <w:tcPr>
            <w:tcW w:w="5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5"/>
          </w:tcPr>
          <w:p>
            <w:pPr>
              <w:jc w:val="right"/>
              <w:ind w:right="640"/>
              <w:spacing w:after="0"/>
              <w:rPr>
                <w:sz w:val="20"/>
                <w:szCs w:val="20"/>
                <w:color w:val="auto"/>
              </w:rPr>
            </w:pPr>
            <w:r>
              <w:rPr>
                <w:rFonts w:ascii="Arial" w:cs="Arial" w:eastAsia="Arial" w:hAnsi="Arial"/>
                <w:sz w:val="20"/>
                <w:szCs w:val="20"/>
                <w:i w:val="1"/>
                <w:iCs w:val="1"/>
                <w:color w:val="auto"/>
                <w:w w:val="95"/>
              </w:rPr>
              <w:t>(Dollars in thousands)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32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84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142,279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122,052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184,613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167,047</w:t>
            </w:r>
          </w:p>
        </w:tc>
        <w:tc>
          <w:tcPr>
            <w:tcW w:w="100" w:type="dxa"/>
            <w:vAlign w:val="bottom"/>
            <w:shd w:val="clear" w:color="auto" w:fill="CFF0FC"/>
          </w:tcPr>
          <w:p>
            <w:pPr>
              <w:spacing w:after="0"/>
              <w:rPr>
                <w:sz w:val="20"/>
                <w:szCs w:val="20"/>
                <w:color w:val="auto"/>
              </w:rPr>
            </w:pPr>
          </w:p>
        </w:tc>
      </w:tr>
      <w:tr>
        <w:trPr>
          <w:trHeight w:val="241"/>
        </w:trPr>
        <w:tc>
          <w:tcPr>
            <w:tcW w:w="5320" w:type="dxa"/>
            <w:vAlign w:val="bottom"/>
          </w:tcPr>
          <w:p>
            <w:pPr>
              <w:spacing w:after="0"/>
              <w:rPr>
                <w:sz w:val="20"/>
                <w:szCs w:val="20"/>
                <w:color w:val="auto"/>
              </w:rPr>
            </w:pPr>
            <w:r>
              <w:rPr>
                <w:rFonts w:ascii="Arial" w:cs="Arial" w:eastAsia="Arial" w:hAnsi="Arial"/>
                <w:sz w:val="20"/>
                <w:szCs w:val="20"/>
                <w:color w:val="auto"/>
              </w:rPr>
              <w:t>Add back:</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3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24,045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20,294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44,896</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40,328</w:t>
            </w:r>
          </w:p>
        </w:tc>
        <w:tc>
          <w:tcPr>
            <w:tcW w:w="100" w:type="dxa"/>
            <w:vAlign w:val="bottom"/>
            <w:shd w:val="clear" w:color="auto" w:fill="CFF0FC"/>
          </w:tcPr>
          <w:p>
            <w:pPr>
              <w:spacing w:after="0"/>
              <w:rPr>
                <w:sz w:val="20"/>
                <w:szCs w:val="20"/>
                <w:color w:val="auto"/>
              </w:rPr>
            </w:pPr>
          </w:p>
        </w:tc>
      </w:tr>
      <w:tr>
        <w:trPr>
          <w:trHeight w:val="241"/>
        </w:trPr>
        <w:tc>
          <w:tcPr>
            <w:tcW w:w="5320" w:type="dxa"/>
            <w:vAlign w:val="bottom"/>
          </w:tcPr>
          <w:p>
            <w:pPr>
              <w:ind w:left="260"/>
              <w:spacing w:after="0"/>
              <w:rPr>
                <w:sz w:val="20"/>
                <w:szCs w:val="20"/>
                <w:color w:val="auto"/>
              </w:rPr>
            </w:pPr>
            <w:r>
              <w:rPr>
                <w:rFonts w:ascii="Arial" w:cs="Arial" w:eastAsia="Arial" w:hAnsi="Arial"/>
                <w:sz w:val="20"/>
                <w:szCs w:val="20"/>
                <w:color w:val="auto"/>
              </w:rPr>
              <w:t>Income tax expense for controlling interests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51,981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53,406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66,503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73,073</w:t>
            </w:r>
          </w:p>
        </w:tc>
        <w:tc>
          <w:tcPr>
            <w:tcW w:w="100" w:type="dxa"/>
            <w:vAlign w:val="bottom"/>
          </w:tcPr>
          <w:p>
            <w:pPr>
              <w:spacing w:after="0"/>
              <w:rPr>
                <w:sz w:val="20"/>
                <w:szCs w:val="20"/>
                <w:color w:val="auto"/>
              </w:rPr>
            </w:pPr>
          </w:p>
        </w:tc>
      </w:tr>
      <w:tr>
        <w:trPr>
          <w:trHeight w:val="241"/>
        </w:trPr>
        <w:tc>
          <w:tcPr>
            <w:tcW w:w="53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6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73,993</w:t>
            </w:r>
          </w:p>
        </w:tc>
        <w:tc>
          <w:tcPr>
            <w:tcW w:w="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70,728</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144,000</w:t>
            </w:r>
          </w:p>
        </w:tc>
        <w:tc>
          <w:tcPr>
            <w:tcW w:w="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138,654</w:t>
            </w:r>
          </w:p>
        </w:tc>
        <w:tc>
          <w:tcPr>
            <w:tcW w:w="100" w:type="dxa"/>
            <w:vAlign w:val="bottom"/>
            <w:shd w:val="clear" w:color="auto" w:fill="CFF0FC"/>
          </w:tcPr>
          <w:p>
            <w:pPr>
              <w:spacing w:after="0"/>
              <w:rPr>
                <w:sz w:val="20"/>
                <w:szCs w:val="20"/>
                <w:color w:val="auto"/>
              </w:rPr>
            </w:pPr>
          </w:p>
        </w:tc>
      </w:tr>
      <w:tr>
        <w:trPr>
          <w:trHeight w:val="234"/>
        </w:trPr>
        <w:tc>
          <w:tcPr>
            <w:tcW w:w="5320" w:type="dxa"/>
            <w:vAlign w:val="bottom"/>
          </w:tcPr>
          <w:p>
            <w:pPr>
              <w:spacing w:after="0"/>
              <w:rPr>
                <w:sz w:val="20"/>
                <w:szCs w:val="20"/>
                <w:color w:val="auto"/>
              </w:rPr>
            </w:pPr>
            <w:r>
              <w:rPr>
                <w:rFonts w:ascii="Arial" w:cs="Arial" w:eastAsia="Arial" w:hAnsi="Arial"/>
                <w:sz w:val="20"/>
                <w:szCs w:val="20"/>
                <w:color w:val="auto"/>
              </w:rPr>
              <w:t>Consolidated EBITDA</w:t>
            </w:r>
          </w:p>
        </w:tc>
        <w:tc>
          <w:tcPr>
            <w:tcW w:w="600" w:type="dxa"/>
            <w:vAlign w:val="bottom"/>
          </w:tcPr>
          <w:p>
            <w:pPr>
              <w:spacing w:after="0"/>
              <w:rPr>
                <w:sz w:val="20"/>
                <w:szCs w:val="20"/>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292,298</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266,480</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440,012</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419,102</w:t>
            </w:r>
          </w:p>
        </w:tc>
        <w:tc>
          <w:tcPr>
            <w:tcW w:w="10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34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Significant items for the quarter ended June 30, 2017 (unless noted, all comparisons are versus the prior-year quarter), which reflect records for second-quarter:</w:t>
      </w:r>
    </w:p>
    <w:p>
      <w:pPr>
        <w:spacing w:after="0" w:line="16"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Consolidated net sales of $996.3 million increased 8.8% compared with $915.4 million</w:t>
      </w:r>
    </w:p>
    <w:p>
      <w:pPr>
        <w:spacing w:after="0" w:line="51" w:lineRule="exact"/>
        <w:rPr>
          <w:rFonts w:ascii="Arial" w:cs="Arial" w:eastAsia="Arial" w:hAnsi="Arial"/>
          <w:sz w:val="20"/>
          <w:szCs w:val="20"/>
          <w:color w:val="007DC6"/>
        </w:rPr>
      </w:pPr>
    </w:p>
    <w:p>
      <w:pPr>
        <w:ind w:left="760" w:hanging="378"/>
        <w:spacing w:after="0" w:line="257" w:lineRule="auto"/>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Building Materials net sales of $931.7 million compared with $856.6 million, an increase of 8.8%, and Magnesia Specialties record net sales of $64.6 million compared with $58.9 million, an increase of 9.7%</w:t>
      </w:r>
    </w:p>
    <w:p>
      <w:pPr>
        <w:spacing w:after="0" w:line="15" w:lineRule="exact"/>
        <w:rPr>
          <w:rFonts w:ascii="Arial" w:cs="Arial" w:eastAsia="Arial" w:hAnsi="Arial"/>
          <w:sz w:val="20"/>
          <w:szCs w:val="20"/>
          <w:color w:val="007DC6"/>
        </w:rPr>
      </w:pPr>
    </w:p>
    <w:p>
      <w:pPr>
        <w:ind w:left="760" w:hanging="378"/>
        <w:spacing w:after="0"/>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Consolidated gross profit of $274.1 million compared with $247.4 million</w:t>
      </w:r>
    </w:p>
    <w:p>
      <w:pPr>
        <w:spacing w:after="0" w:line="51" w:lineRule="exact"/>
        <w:rPr>
          <w:rFonts w:ascii="Arial" w:cs="Arial" w:eastAsia="Arial" w:hAnsi="Arial"/>
          <w:sz w:val="20"/>
          <w:szCs w:val="20"/>
          <w:color w:val="007DC6"/>
        </w:rPr>
      </w:pPr>
    </w:p>
    <w:p>
      <w:pPr>
        <w:ind w:left="760" w:hanging="378"/>
        <w:spacing w:after="0"/>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Consolidated earnings from operations of $212.9 million compared with $190.8 million, an increase of 11.5%</w:t>
      </w:r>
    </w:p>
    <w:p>
      <w:pPr>
        <w:spacing w:after="0" w:line="51" w:lineRule="exact"/>
        <w:rPr>
          <w:rFonts w:ascii="Arial" w:cs="Arial" w:eastAsia="Arial" w:hAnsi="Arial"/>
          <w:sz w:val="20"/>
          <w:szCs w:val="20"/>
          <w:color w:val="007DC6"/>
        </w:rPr>
      </w:pPr>
    </w:p>
    <w:p>
      <w:pPr>
        <w:ind w:left="760" w:hanging="378"/>
        <w:spacing w:after="0"/>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Earnings per diluted share of $2.25 compared with $1.90, an increase of 18.4%</w:t>
      </w:r>
    </w:p>
    <w:p>
      <w:pPr>
        <w:spacing w:after="0" w:line="51" w:lineRule="exact"/>
        <w:rPr>
          <w:rFonts w:ascii="Arial" w:cs="Arial" w:eastAsia="Arial" w:hAnsi="Arial"/>
          <w:sz w:val="20"/>
          <w:szCs w:val="20"/>
          <w:color w:val="007DC6"/>
        </w:rPr>
      </w:pPr>
    </w:p>
    <w:p>
      <w:pPr>
        <w:ind w:left="760" w:hanging="378"/>
        <w:spacing w:after="0"/>
        <w:tabs>
          <w:tab w:leader="none" w:pos="760" w:val="left"/>
        </w:tabs>
        <w:numPr>
          <w:ilvl w:val="0"/>
          <w:numId w:val="22"/>
        </w:numPr>
        <w:rPr>
          <w:rFonts w:ascii="Arial" w:cs="Arial" w:eastAsia="Arial" w:hAnsi="Arial"/>
          <w:sz w:val="20"/>
          <w:szCs w:val="20"/>
          <w:color w:val="007DC6"/>
        </w:rPr>
      </w:pPr>
      <w:r>
        <w:rPr>
          <w:rFonts w:ascii="Arial" w:cs="Arial" w:eastAsia="Arial" w:hAnsi="Arial"/>
          <w:sz w:val="20"/>
          <w:szCs w:val="20"/>
          <w:color w:val="auto"/>
        </w:rPr>
        <w:t>EBITDA of $292.3 million compared with $266.5 million, an increase of 9.7%</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following table presents net sales, gross profit (loss), selling, general and administrative expenses and earnings (loss) from operations data for the Company and its reportable segments for the three months ended June 30, 2017 and 2016. In each case, the data is stated as a percentage of net sales of the Company or the relevant segment, as the case may be. Prior-year information has been reclassified to conform to the presentation of the Company’s current reportable segments and for the adoption of the accounting pronouncement discussed in Note 1 of the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20"/>
                <w:szCs w:val="20"/>
                <w:color w:val="auto"/>
                <w:w w:val="87"/>
              </w:rPr>
              <w:t>Three Months Ended June 30,</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20"/>
                <w:szCs w:val="20"/>
                <w:color w:val="auto"/>
              </w:rPr>
              <w:t>2017</w:t>
            </w:r>
          </w:p>
        </w:tc>
        <w:tc>
          <w:tcPr>
            <w:tcW w:w="1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2016</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7"/>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02"/>
              <w:spacing w:after="0" w:line="217" w:lineRule="exact"/>
              <w:rPr>
                <w:sz w:val="20"/>
                <w:szCs w:val="20"/>
                <w:color w:val="auto"/>
              </w:rPr>
            </w:pPr>
            <w:r>
              <w:rPr>
                <w:rFonts w:ascii="Arial" w:cs="Arial" w:eastAsia="Arial" w:hAnsi="Arial"/>
                <w:sz w:val="20"/>
                <w:szCs w:val="20"/>
                <w:color w:val="auto"/>
              </w:rPr>
              <w:t>% of</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02"/>
              <w:spacing w:after="0" w:line="217" w:lineRule="exact"/>
              <w:rPr>
                <w:sz w:val="20"/>
                <w:szCs w:val="20"/>
                <w:color w:val="auto"/>
              </w:rPr>
            </w:pPr>
            <w:r>
              <w:rPr>
                <w:rFonts w:ascii="Arial" w:cs="Arial" w:eastAsia="Arial" w:hAnsi="Arial"/>
                <w:sz w:val="20"/>
                <w:szCs w:val="20"/>
                <w:color w:val="auto"/>
                <w:w w:val="89"/>
              </w:rPr>
              <w:t>% of</w:t>
            </w:r>
          </w:p>
        </w:tc>
        <w:tc>
          <w:tcPr>
            <w:tcW w:w="100" w:type="dxa"/>
            <w:vAlign w:val="bottom"/>
          </w:tcPr>
          <w:p>
            <w:pPr>
              <w:spacing w:after="0"/>
              <w:rPr>
                <w:sz w:val="18"/>
                <w:szCs w:val="18"/>
                <w:color w:val="auto"/>
              </w:rPr>
            </w:pPr>
          </w:p>
        </w:tc>
      </w:tr>
      <w:tr>
        <w:trPr>
          <w:trHeight w:val="244"/>
        </w:trPr>
        <w:tc>
          <w:tcPr>
            <w:tcW w:w="4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3"/>
          </w:tcPr>
          <w:p>
            <w:pPr>
              <w:jc w:val="right"/>
              <w:ind w:right="860"/>
              <w:spacing w:after="0"/>
              <w:rPr>
                <w:sz w:val="20"/>
                <w:szCs w:val="20"/>
                <w:color w:val="auto"/>
              </w:rPr>
            </w:pPr>
            <w:r>
              <w:rPr>
                <w:rFonts w:ascii="Arial" w:cs="Arial" w:eastAsia="Arial" w:hAnsi="Arial"/>
                <w:sz w:val="20"/>
                <w:szCs w:val="20"/>
                <w:color w:val="auto"/>
              </w:rPr>
              <w:t>Amount</w:t>
            </w:r>
          </w:p>
        </w:tc>
        <w:tc>
          <w:tcPr>
            <w:tcW w:w="1200" w:type="dxa"/>
            <w:vAlign w:val="bottom"/>
          </w:tcPr>
          <w:p>
            <w:pPr>
              <w:jc w:val="right"/>
              <w:ind w:right="202"/>
              <w:spacing w:after="0"/>
              <w:rPr>
                <w:sz w:val="20"/>
                <w:szCs w:val="20"/>
                <w:color w:val="auto"/>
              </w:rPr>
            </w:pPr>
            <w:r>
              <w:rPr>
                <w:rFonts w:ascii="Arial" w:cs="Arial" w:eastAsia="Arial" w:hAnsi="Arial"/>
                <w:sz w:val="20"/>
                <w:szCs w:val="20"/>
                <w:color w:val="auto"/>
              </w:rPr>
              <w:t>Net Sales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right"/>
              <w:ind w:right="820"/>
              <w:spacing w:after="0"/>
              <w:rPr>
                <w:sz w:val="20"/>
                <w:szCs w:val="20"/>
                <w:color w:val="auto"/>
              </w:rPr>
            </w:pPr>
            <w:r>
              <w:rPr>
                <w:rFonts w:ascii="Arial" w:cs="Arial" w:eastAsia="Arial" w:hAnsi="Arial"/>
                <w:sz w:val="20"/>
                <w:szCs w:val="20"/>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Net Sales</w:t>
            </w:r>
          </w:p>
        </w:tc>
      </w:tr>
      <w:tr>
        <w:trPr>
          <w:trHeight w:val="234"/>
        </w:trPr>
        <w:tc>
          <w:tcPr>
            <w:tcW w:w="4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gridSpan w:val="6"/>
          </w:tcPr>
          <w:p>
            <w:pPr>
              <w:jc w:val="center"/>
              <w:ind w:right="680"/>
              <w:spacing w:after="0"/>
              <w:rPr>
                <w:sz w:val="20"/>
                <w:szCs w:val="20"/>
                <w:color w:val="auto"/>
              </w:rPr>
            </w:pPr>
            <w:r>
              <w:rPr>
                <w:rFonts w:ascii="Arial" w:cs="Arial" w:eastAsia="Arial" w:hAnsi="Arial"/>
                <w:sz w:val="20"/>
                <w:szCs w:val="20"/>
                <w:i w:val="1"/>
                <w:iCs w:val="1"/>
                <w:color w:val="auto"/>
                <w:w w:val="91"/>
              </w:rPr>
              <w:t>(Dollars in Thousands)</w:t>
            </w: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9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Net sales: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49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269,844</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50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258,988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r>
      <w:tr>
        <w:trPr>
          <w:trHeight w:val="241"/>
        </w:trPr>
        <w:tc>
          <w:tcPr>
            <w:tcW w:w="4980" w:type="dxa"/>
            <w:vAlign w:val="bottom"/>
          </w:tcPr>
          <w:p>
            <w:pPr>
              <w:ind w:left="26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88,489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82,676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41"/>
        </w:trPr>
        <w:tc>
          <w:tcPr>
            <w:tcW w:w="4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573,402</w:t>
            </w:r>
          </w:p>
        </w:tc>
        <w:tc>
          <w:tcPr>
            <w:tcW w:w="3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514,906</w:t>
            </w:r>
          </w:p>
        </w:tc>
        <w:tc>
          <w:tcPr>
            <w:tcW w:w="2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931,735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856,570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41"/>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64,554</w:t>
            </w:r>
          </w:p>
        </w:tc>
        <w:tc>
          <w:tcPr>
            <w:tcW w:w="3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58,866</w:t>
            </w:r>
          </w:p>
        </w:tc>
        <w:tc>
          <w:tcPr>
            <w:tcW w:w="2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996,289</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915,436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20"/>
                <w:szCs w:val="20"/>
                <w:color w:val="auto"/>
                <w:w w:val="87"/>
              </w:rPr>
              <w:t>Three Months Ended June 30,</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20"/>
                <w:szCs w:val="20"/>
                <w:color w:val="auto"/>
              </w:rPr>
              <w:t>2017</w:t>
            </w:r>
          </w:p>
        </w:tc>
        <w:tc>
          <w:tcPr>
            <w:tcW w:w="1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2016</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02"/>
              <w:spacing w:after="0" w:line="217" w:lineRule="exact"/>
              <w:rPr>
                <w:sz w:val="20"/>
                <w:szCs w:val="20"/>
                <w:color w:val="auto"/>
              </w:rPr>
            </w:pPr>
            <w:r>
              <w:rPr>
                <w:rFonts w:ascii="Arial" w:cs="Arial" w:eastAsia="Arial" w:hAnsi="Arial"/>
                <w:sz w:val="20"/>
                <w:szCs w:val="20"/>
                <w:color w:val="auto"/>
              </w:rPr>
              <w:t>% of</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02"/>
              <w:spacing w:after="0" w:line="217" w:lineRule="exact"/>
              <w:rPr>
                <w:sz w:val="20"/>
                <w:szCs w:val="20"/>
                <w:color w:val="auto"/>
              </w:rPr>
            </w:pPr>
            <w:r>
              <w:rPr>
                <w:rFonts w:ascii="Arial" w:cs="Arial" w:eastAsia="Arial" w:hAnsi="Arial"/>
                <w:sz w:val="20"/>
                <w:szCs w:val="20"/>
                <w:color w:val="auto"/>
                <w:w w:val="89"/>
              </w:rPr>
              <w:t>%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3"/>
          </w:tcPr>
          <w:p>
            <w:pPr>
              <w:jc w:val="right"/>
              <w:ind w:right="860"/>
              <w:spacing w:after="0"/>
              <w:rPr>
                <w:sz w:val="20"/>
                <w:szCs w:val="20"/>
                <w:color w:val="auto"/>
              </w:rPr>
            </w:pPr>
            <w:r>
              <w:rPr>
                <w:rFonts w:ascii="Arial" w:cs="Arial" w:eastAsia="Arial" w:hAnsi="Arial"/>
                <w:sz w:val="20"/>
                <w:szCs w:val="20"/>
                <w:color w:val="auto"/>
              </w:rPr>
              <w:t>Amount</w:t>
            </w:r>
          </w:p>
        </w:tc>
        <w:tc>
          <w:tcPr>
            <w:tcW w:w="1200" w:type="dxa"/>
            <w:vAlign w:val="bottom"/>
          </w:tcPr>
          <w:p>
            <w:pPr>
              <w:jc w:val="right"/>
              <w:ind w:right="202"/>
              <w:spacing w:after="0"/>
              <w:rPr>
                <w:sz w:val="20"/>
                <w:szCs w:val="20"/>
                <w:color w:val="auto"/>
              </w:rPr>
            </w:pPr>
            <w:r>
              <w:rPr>
                <w:rFonts w:ascii="Arial" w:cs="Arial" w:eastAsia="Arial" w:hAnsi="Arial"/>
                <w:sz w:val="20"/>
                <w:szCs w:val="20"/>
                <w:color w:val="auto"/>
              </w:rPr>
              <w:t>Net Sales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right"/>
              <w:ind w:right="820"/>
              <w:spacing w:after="0"/>
              <w:rPr>
                <w:sz w:val="20"/>
                <w:szCs w:val="20"/>
                <w:color w:val="auto"/>
              </w:rPr>
            </w:pPr>
            <w:r>
              <w:rPr>
                <w:rFonts w:ascii="Arial" w:cs="Arial" w:eastAsia="Arial" w:hAnsi="Arial"/>
                <w:sz w:val="20"/>
                <w:szCs w:val="20"/>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Net Sales</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gridSpan w:val="6"/>
          </w:tcPr>
          <w:p>
            <w:pPr>
              <w:jc w:val="center"/>
              <w:ind w:right="680"/>
              <w:spacing w:after="0"/>
              <w:rPr>
                <w:sz w:val="20"/>
                <w:szCs w:val="20"/>
                <w:color w:val="auto"/>
              </w:rPr>
            </w:pPr>
            <w:r>
              <w:rPr>
                <w:rFonts w:ascii="Arial" w:cs="Arial" w:eastAsia="Arial" w:hAnsi="Arial"/>
                <w:sz w:val="20"/>
                <w:szCs w:val="20"/>
                <w:i w:val="1"/>
                <w:iCs w:val="1"/>
                <w:color w:val="auto"/>
                <w:w w:val="91"/>
              </w:rPr>
              <w:t>(Dollars in Thousands)</w:t>
            </w: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Gross profit (loss):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98,537</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36.5</w:t>
            </w:r>
          </w:p>
        </w:tc>
        <w:tc>
          <w:tcPr>
            <w:tcW w:w="50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92,772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tcPr>
          <w:p>
            <w:pPr>
              <w:ind w:left="26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18,883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21.3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15,593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132,736</w:t>
            </w:r>
          </w:p>
        </w:tc>
        <w:tc>
          <w:tcPr>
            <w:tcW w:w="3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23.1</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118,895</w:t>
            </w:r>
          </w:p>
        </w:tc>
        <w:tc>
          <w:tcPr>
            <w:tcW w:w="2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250,156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227,260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23,624</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36.6</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21,720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tcPr>
          <w:p>
            <w:pPr>
              <w:spacing w:after="0"/>
              <w:rPr>
                <w:sz w:val="20"/>
                <w:szCs w:val="20"/>
                <w:color w:val="auto"/>
              </w:rPr>
            </w:pPr>
            <w:r>
              <w:rPr>
                <w:rFonts w:ascii="Arial" w:cs="Arial" w:eastAsia="Arial" w:hAnsi="Arial"/>
                <w:sz w:val="20"/>
                <w:szCs w:val="20"/>
                <w:color w:val="auto"/>
              </w:rPr>
              <w:t>Corporate</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314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20"/>
                <w:szCs w:val="20"/>
                <w:color w:val="auto"/>
              </w:rPr>
              <w:t>(1,549)</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274,094</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27.5</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247,431</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tcPr>
          <w:p>
            <w:pPr>
              <w:ind w:left="260"/>
              <w:spacing w:after="0"/>
              <w:rPr>
                <w:sz w:val="20"/>
                <w:szCs w:val="20"/>
                <w:color w:val="auto"/>
              </w:rPr>
            </w:pPr>
            <w:r>
              <w:rPr>
                <w:rFonts w:ascii="Arial" w:cs="Arial" w:eastAsia="Arial" w:hAnsi="Arial"/>
                <w:sz w:val="20"/>
                <w:szCs w:val="20"/>
                <w:color w:val="auto"/>
              </w:rPr>
              <w:t>Mid-America Group</w:t>
            </w:r>
          </w:p>
        </w:tc>
        <w:tc>
          <w:tcPr>
            <w:tcW w:w="240" w:type="dxa"/>
            <w:vAlign w:val="bottom"/>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13,720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5.1</w:t>
            </w:r>
          </w:p>
        </w:tc>
        <w:tc>
          <w:tcPr>
            <w:tcW w:w="5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13,338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4,447</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4,533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25,874</w:t>
            </w:r>
          </w:p>
        </w:tc>
        <w:tc>
          <w:tcPr>
            <w:tcW w:w="3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w:t>
            </w: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23,585</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44,041</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41,456</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2,429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2,433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21,903</w:t>
            </w:r>
          </w:p>
        </w:tc>
        <w:tc>
          <w:tcPr>
            <w:tcW w:w="3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15,892</w:t>
            </w:r>
          </w:p>
        </w:tc>
        <w:tc>
          <w:tcPr>
            <w:tcW w:w="2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68,373</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59,781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Earnings (Loss) from operations:</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tcPr>
          <w:p>
            <w:pPr>
              <w:ind w:left="260"/>
              <w:spacing w:after="0"/>
              <w:rPr>
                <w:sz w:val="20"/>
                <w:szCs w:val="20"/>
                <w:color w:val="auto"/>
              </w:rPr>
            </w:pPr>
            <w:r>
              <w:rPr>
                <w:rFonts w:ascii="Arial" w:cs="Arial" w:eastAsia="Arial" w:hAnsi="Arial"/>
                <w:sz w:val="20"/>
                <w:szCs w:val="20"/>
                <w:color w:val="auto"/>
              </w:rPr>
              <w:t>Mid-America Group</w:t>
            </w:r>
          </w:p>
        </w:tc>
        <w:tc>
          <w:tcPr>
            <w:tcW w:w="240" w:type="dxa"/>
            <w:vAlign w:val="bottom"/>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85,363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31.6</w:t>
            </w:r>
          </w:p>
        </w:tc>
        <w:tc>
          <w:tcPr>
            <w:tcW w:w="5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80,792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14,334</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16.2</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11,614</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112,491</w:t>
            </w:r>
          </w:p>
        </w:tc>
        <w:tc>
          <w:tcPr>
            <w:tcW w:w="3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w:t>
            </w: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99,357</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212,188</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191,763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21,118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32.7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19,277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(20,454)</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(20,192)</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212,852</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21.4</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190,848</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Net sales by product line for the Building Materials business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5"/>
          </w:tcPr>
          <w:p>
            <w:pPr>
              <w:jc w:val="center"/>
              <w:ind w:right="480"/>
              <w:spacing w:after="0"/>
              <w:rPr>
                <w:sz w:val="20"/>
                <w:szCs w:val="20"/>
                <w:color w:val="auto"/>
              </w:rPr>
            </w:pPr>
            <w:r>
              <w:rPr>
                <w:rFonts w:ascii="Arial" w:cs="Arial" w:eastAsia="Arial" w:hAnsi="Arial"/>
                <w:sz w:val="20"/>
                <w:szCs w:val="20"/>
                <w:color w:val="auto"/>
                <w:w w:val="88"/>
              </w:rPr>
              <w:t>Three Months Ended</w:t>
            </w:r>
          </w:p>
        </w:tc>
      </w:tr>
      <w:tr>
        <w:trPr>
          <w:trHeight w:val="244"/>
        </w:trPr>
        <w:tc>
          <w:tcPr>
            <w:tcW w:w="5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ind w:left="742"/>
              <w:spacing w:after="0"/>
              <w:rPr>
                <w:sz w:val="20"/>
                <w:szCs w:val="20"/>
                <w:color w:val="auto"/>
              </w:rPr>
            </w:pPr>
            <w:r>
              <w:rPr>
                <w:rFonts w:ascii="Arial" w:cs="Arial" w:eastAsia="Arial" w:hAnsi="Arial"/>
                <w:sz w:val="20"/>
                <w:szCs w:val="20"/>
                <w:color w:val="auto"/>
                <w:w w:val="85"/>
              </w:rPr>
              <w:t>June 30,</w:t>
            </w: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5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2017</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2016</w:t>
            </w:r>
          </w:p>
        </w:tc>
        <w:tc>
          <w:tcPr>
            <w:tcW w:w="120" w:type="dxa"/>
            <w:vAlign w:val="bottom"/>
          </w:tcPr>
          <w:p>
            <w:pPr>
              <w:spacing w:after="0"/>
              <w:rPr>
                <w:sz w:val="20"/>
                <w:szCs w:val="20"/>
                <w:color w:val="auto"/>
              </w:rPr>
            </w:pPr>
          </w:p>
        </w:tc>
      </w:tr>
      <w:tr>
        <w:trPr>
          <w:trHeight w:val="234"/>
        </w:trPr>
        <w:tc>
          <w:tcPr>
            <w:tcW w:w="5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4"/>
          </w:tcPr>
          <w:p>
            <w:pPr>
              <w:jc w:val="center"/>
              <w:ind w:right="262"/>
              <w:spacing w:after="0"/>
              <w:rPr>
                <w:sz w:val="20"/>
                <w:szCs w:val="20"/>
                <w:color w:val="auto"/>
              </w:rPr>
            </w:pPr>
            <w:r>
              <w:rPr>
                <w:rFonts w:ascii="Arial" w:cs="Arial" w:eastAsia="Arial" w:hAnsi="Arial"/>
                <w:sz w:val="20"/>
                <w:szCs w:val="20"/>
                <w:i w:val="1"/>
                <w:iCs w:val="1"/>
                <w:color w:val="auto"/>
                <w:w w:val="90"/>
              </w:rPr>
              <w:t>(Dollars in Thousands)</w:t>
            </w:r>
          </w:p>
        </w:tc>
        <w:tc>
          <w:tcPr>
            <w:tcW w:w="120" w:type="dxa"/>
            <w:vAlign w:val="bottom"/>
          </w:tcPr>
          <w:p>
            <w:pPr>
              <w:spacing w:after="0"/>
              <w:rPr>
                <w:sz w:val="20"/>
                <w:szCs w:val="20"/>
                <w:color w:val="auto"/>
              </w:rPr>
            </w:pPr>
          </w:p>
        </w:tc>
      </w:tr>
      <w:tr>
        <w:trPr>
          <w:trHeight w:val="241"/>
        </w:trPr>
        <w:tc>
          <w:tcPr>
            <w:tcW w:w="52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Net sales:</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1"/>
        </w:trPr>
        <w:tc>
          <w:tcPr>
            <w:tcW w:w="5260" w:type="dxa"/>
            <w:vAlign w:val="bottom"/>
          </w:tcPr>
          <w:p>
            <w:pPr>
              <w:ind w:left="260"/>
              <w:spacing w:after="0"/>
              <w:rPr>
                <w:sz w:val="20"/>
                <w:szCs w:val="20"/>
                <w:color w:val="auto"/>
              </w:rPr>
            </w:pPr>
            <w:r>
              <w:rPr>
                <w:rFonts w:ascii="Arial" w:cs="Arial" w:eastAsia="Arial" w:hAnsi="Arial"/>
                <w:sz w:val="20"/>
                <w:szCs w:val="20"/>
                <w:color w:val="auto"/>
              </w:rPr>
              <w:t>Aggregates</w:t>
            </w:r>
          </w:p>
        </w:tc>
        <w:tc>
          <w:tcPr>
            <w:tcW w:w="294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578,388</w:t>
            </w:r>
          </w:p>
        </w:tc>
        <w:tc>
          <w:tcPr>
            <w:tcW w:w="280" w:type="dxa"/>
            <w:vAlign w:val="bottom"/>
          </w:tcPr>
          <w:p>
            <w:pPr>
              <w:spacing w:after="0"/>
              <w:rPr>
                <w:sz w:val="20"/>
                <w:szCs w:val="20"/>
                <w:color w:val="auto"/>
              </w:rPr>
            </w:pPr>
          </w:p>
        </w:tc>
        <w:tc>
          <w:tcPr>
            <w:tcW w:w="400" w:type="dxa"/>
            <w:vAlign w:val="bottom"/>
          </w:tcPr>
          <w:p>
            <w:pPr>
              <w:jc w:val="right"/>
              <w:ind w:right="202"/>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547,293</w:t>
            </w:r>
          </w:p>
        </w:tc>
        <w:tc>
          <w:tcPr>
            <w:tcW w:w="120" w:type="dxa"/>
            <w:vAlign w:val="bottom"/>
          </w:tcPr>
          <w:p>
            <w:pPr>
              <w:spacing w:after="0"/>
              <w:rPr>
                <w:sz w:val="20"/>
                <w:szCs w:val="20"/>
                <w:color w:val="auto"/>
              </w:rPr>
            </w:pPr>
          </w:p>
        </w:tc>
      </w:tr>
      <w:tr>
        <w:trPr>
          <w:trHeight w:val="241"/>
        </w:trPr>
        <w:tc>
          <w:tcPr>
            <w:tcW w:w="5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Cement</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99,016</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87,440</w:t>
            </w:r>
          </w:p>
        </w:tc>
        <w:tc>
          <w:tcPr>
            <w:tcW w:w="120" w:type="dxa"/>
            <w:vAlign w:val="bottom"/>
            <w:shd w:val="clear" w:color="auto" w:fill="CFF0FC"/>
          </w:tcPr>
          <w:p>
            <w:pPr>
              <w:spacing w:after="0"/>
              <w:rPr>
                <w:sz w:val="20"/>
                <w:szCs w:val="20"/>
                <w:color w:val="auto"/>
              </w:rPr>
            </w:pPr>
          </w:p>
        </w:tc>
      </w:tr>
      <w:tr>
        <w:trPr>
          <w:trHeight w:val="241"/>
        </w:trPr>
        <w:tc>
          <w:tcPr>
            <w:tcW w:w="5260" w:type="dxa"/>
            <w:vAlign w:val="bottom"/>
          </w:tcPr>
          <w:p>
            <w:pPr>
              <w:ind w:left="260"/>
              <w:spacing w:after="0"/>
              <w:rPr>
                <w:sz w:val="20"/>
                <w:szCs w:val="20"/>
                <w:color w:val="auto"/>
              </w:rPr>
            </w:pPr>
            <w:r>
              <w:rPr>
                <w:rFonts w:ascii="Arial" w:cs="Arial" w:eastAsia="Arial" w:hAnsi="Arial"/>
                <w:sz w:val="20"/>
                <w:szCs w:val="20"/>
                <w:color w:val="auto"/>
              </w:rPr>
              <w:t>Ready Mixed Concrete</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241,894</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214,947</w:t>
            </w:r>
          </w:p>
        </w:tc>
        <w:tc>
          <w:tcPr>
            <w:tcW w:w="120" w:type="dxa"/>
            <w:vAlign w:val="bottom"/>
          </w:tcPr>
          <w:p>
            <w:pPr>
              <w:spacing w:after="0"/>
              <w:rPr>
                <w:sz w:val="20"/>
                <w:szCs w:val="20"/>
                <w:color w:val="auto"/>
              </w:rPr>
            </w:pPr>
          </w:p>
        </w:tc>
      </w:tr>
      <w:tr>
        <w:trPr>
          <w:trHeight w:val="241"/>
        </w:trPr>
        <w:tc>
          <w:tcPr>
            <w:tcW w:w="5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Asphalt and Paving</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111,975</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88,081</w:t>
            </w:r>
          </w:p>
        </w:tc>
        <w:tc>
          <w:tcPr>
            <w:tcW w:w="120" w:type="dxa"/>
            <w:vAlign w:val="bottom"/>
            <w:shd w:val="clear" w:color="auto" w:fill="CFF0FC"/>
          </w:tcPr>
          <w:p>
            <w:pPr>
              <w:spacing w:after="0"/>
              <w:rPr>
                <w:sz w:val="20"/>
                <w:szCs w:val="20"/>
                <w:color w:val="auto"/>
              </w:rPr>
            </w:pPr>
          </w:p>
        </w:tc>
      </w:tr>
      <w:tr>
        <w:trPr>
          <w:trHeight w:val="241"/>
        </w:trPr>
        <w:tc>
          <w:tcPr>
            <w:tcW w:w="5260" w:type="dxa"/>
            <w:vAlign w:val="bottom"/>
          </w:tcPr>
          <w:p>
            <w:pPr>
              <w:ind w:left="260"/>
              <w:spacing w:after="0"/>
              <w:rPr>
                <w:sz w:val="20"/>
                <w:szCs w:val="20"/>
                <w:color w:val="auto"/>
              </w:rPr>
            </w:pPr>
            <w:r>
              <w:rPr>
                <w:rFonts w:ascii="Arial" w:cs="Arial" w:eastAsia="Arial" w:hAnsi="Arial"/>
                <w:sz w:val="20"/>
                <w:szCs w:val="20"/>
                <w:color w:val="auto"/>
              </w:rPr>
              <w:t>Less: Interproduct Sales</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(99,538)</w:t>
            </w:r>
          </w:p>
        </w:tc>
        <w:tc>
          <w:tcPr>
            <w:tcW w:w="4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20"/>
                <w:szCs w:val="20"/>
                <w:color w:val="auto"/>
              </w:rPr>
              <w:t>(81,191)</w:t>
            </w:r>
          </w:p>
        </w:tc>
      </w:tr>
      <w:tr>
        <w:trPr>
          <w:trHeight w:val="234"/>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5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931,735</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02"/>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856,570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volume and pricing variance data and shipments data for the aggregates product line by segment.</w:t>
      </w:r>
    </w:p>
    <w:p>
      <w:pPr>
        <w:spacing w:after="0" w:line="225" w:lineRule="exact"/>
        <w:rPr>
          <w:sz w:val="20"/>
          <w:szCs w:val="20"/>
          <w:color w:val="auto"/>
        </w:rPr>
      </w:pPr>
    </w:p>
    <w:p>
      <w:pPr>
        <w:jc w:val="center"/>
        <w:ind w:left="7500"/>
        <w:spacing w:after="0"/>
        <w:rPr>
          <w:sz w:val="20"/>
          <w:szCs w:val="20"/>
          <w:color w:val="auto"/>
        </w:rPr>
      </w:pPr>
      <w:r>
        <w:rPr>
          <w:rFonts w:ascii="Arial" w:cs="Arial" w:eastAsia="Arial" w:hAnsi="Arial"/>
          <w:sz w:val="20"/>
          <w:szCs w:val="20"/>
          <w:color w:val="auto"/>
        </w:rPr>
        <w:t>Three Months Ended</w:t>
      </w:r>
    </w:p>
    <w:p>
      <w:pPr>
        <w:spacing w:after="0" w:line="19" w:lineRule="exact"/>
        <w:rPr>
          <w:sz w:val="20"/>
          <w:szCs w:val="20"/>
          <w:color w:val="auto"/>
        </w:rPr>
      </w:pPr>
    </w:p>
    <w:p>
      <w:pPr>
        <w:jc w:val="center"/>
        <w:ind w:left="7500"/>
        <w:spacing w:after="0"/>
        <w:rPr>
          <w:sz w:val="20"/>
          <w:szCs w:val="20"/>
          <w:color w:val="auto"/>
        </w:rPr>
      </w:pPr>
      <w:r>
        <w:rPr>
          <w:rFonts w:ascii="Arial" w:cs="Arial" w:eastAsia="Arial" w:hAnsi="Arial"/>
          <w:sz w:val="20"/>
          <w:szCs w:val="20"/>
          <w:color w:val="auto"/>
        </w:rPr>
        <w:t>June 30, 2017</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Borders>
              <w:bottom w:val="single" w:sz="8" w:color="CFF0FC"/>
            </w:tcBorders>
          </w:tcPr>
          <w:p>
            <w:pPr>
              <w:spacing w:after="0"/>
              <w:rPr>
                <w:sz w:val="20"/>
                <w:szCs w:val="20"/>
                <w:color w:val="auto"/>
              </w:rPr>
            </w:pPr>
          </w:p>
        </w:tc>
        <w:tc>
          <w:tcPr>
            <w:tcW w:w="11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20"/>
                <w:szCs w:val="20"/>
                <w:color w:val="auto"/>
              </w:rPr>
              <w:t>Volume</w:t>
            </w:r>
          </w:p>
        </w:tc>
        <w:tc>
          <w:tcPr>
            <w:tcW w:w="4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CFF0FC"/>
            </w:tcBorders>
          </w:tcPr>
          <w:p>
            <w:pPr>
              <w:spacing w:after="0"/>
              <w:rPr>
                <w:sz w:val="20"/>
                <w:szCs w:val="20"/>
                <w:color w:val="auto"/>
              </w:rPr>
            </w:pPr>
          </w:p>
        </w:tc>
        <w:tc>
          <w:tcPr>
            <w:tcW w:w="15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20"/>
                <w:szCs w:val="20"/>
                <w:color w:val="auto"/>
              </w:rPr>
              <w:t>Pricing</w:t>
            </w:r>
          </w:p>
        </w:tc>
        <w:tc>
          <w:tcPr>
            <w:tcW w:w="180" w:type="dxa"/>
            <w:vAlign w:val="bottom"/>
            <w:tcBorders>
              <w:bottom w:val="single" w:sz="8" w:color="CFF0FC"/>
            </w:tcBorders>
          </w:tcPr>
          <w:p>
            <w:pPr>
              <w:spacing w:after="0"/>
              <w:rPr>
                <w:sz w:val="20"/>
                <w:szCs w:val="20"/>
                <w:color w:val="auto"/>
              </w:rPr>
            </w:pPr>
          </w:p>
        </w:tc>
      </w:tr>
      <w:tr>
        <w:trPr>
          <w:trHeight w:val="234"/>
        </w:trPr>
        <w:tc>
          <w:tcPr>
            <w:tcW w:w="77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1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1"/>
        </w:trPr>
        <w:tc>
          <w:tcPr>
            <w:tcW w:w="8860" w:type="dxa"/>
            <w:vAlign w:val="bottom"/>
            <w:gridSpan w:val="2"/>
          </w:tcPr>
          <w:p>
            <w:pPr>
              <w:ind w:left="260"/>
              <w:spacing w:after="0"/>
              <w:rPr>
                <w:sz w:val="20"/>
                <w:szCs w:val="20"/>
                <w:color w:val="auto"/>
              </w:rPr>
            </w:pPr>
            <w:r>
              <w:rPr>
                <w:rFonts w:ascii="Arial" w:cs="Arial" w:eastAsia="Arial" w:hAnsi="Arial"/>
                <w:sz w:val="20"/>
                <w:szCs w:val="20"/>
                <w:color w:val="auto"/>
              </w:rPr>
              <w:t>Mid-America Group</w:t>
            </w:r>
          </w:p>
        </w:tc>
        <w:tc>
          <w:tcPr>
            <w:tcW w:w="820" w:type="dxa"/>
            <w:vAlign w:val="bottom"/>
            <w:gridSpan w:val="2"/>
          </w:tcPr>
          <w:p>
            <w:pPr>
              <w:jc w:val="right"/>
              <w:ind w:right="260"/>
              <w:spacing w:after="0"/>
              <w:rPr>
                <w:sz w:val="20"/>
                <w:szCs w:val="20"/>
                <w:color w:val="auto"/>
              </w:rPr>
            </w:pPr>
            <w:r>
              <w:rPr>
                <w:rFonts w:ascii="Arial" w:cs="Arial" w:eastAsia="Arial" w:hAnsi="Arial"/>
                <w:sz w:val="20"/>
                <w:szCs w:val="20"/>
                <w:color w:val="auto"/>
              </w:rPr>
              <w:t>2.0%</w:t>
            </w:r>
          </w:p>
        </w:tc>
        <w:tc>
          <w:tcPr>
            <w:tcW w:w="1740" w:type="dxa"/>
            <w:vAlign w:val="bottom"/>
            <w:gridSpan w:val="2"/>
          </w:tcPr>
          <w:p>
            <w:pPr>
              <w:jc w:val="right"/>
              <w:ind w:right="20"/>
              <w:spacing w:after="0"/>
              <w:rPr>
                <w:sz w:val="20"/>
                <w:szCs w:val="20"/>
                <w:color w:val="auto"/>
              </w:rPr>
            </w:pPr>
            <w:r>
              <w:rPr>
                <w:rFonts w:ascii="Arial" w:cs="Arial" w:eastAsia="Arial" w:hAnsi="Arial"/>
                <w:sz w:val="20"/>
                <w:szCs w:val="20"/>
                <w:color w:val="auto"/>
              </w:rPr>
              <w:t>2.4%</w:t>
            </w:r>
          </w:p>
        </w:tc>
      </w:tr>
      <w:tr>
        <w:trPr>
          <w:trHeight w:val="241"/>
        </w:trPr>
        <w:tc>
          <w:tcPr>
            <w:tcW w:w="88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(3.2)%</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10.6%</w:t>
            </w:r>
          </w:p>
        </w:tc>
      </w:tr>
      <w:tr>
        <w:trPr>
          <w:trHeight w:val="241"/>
        </w:trPr>
        <w:tc>
          <w:tcPr>
            <w:tcW w:w="8860" w:type="dxa"/>
            <w:vAlign w:val="bottom"/>
            <w:gridSpan w:val="2"/>
          </w:tcPr>
          <w:p>
            <w:pPr>
              <w:ind w:left="260"/>
              <w:spacing w:after="0"/>
              <w:rPr>
                <w:sz w:val="20"/>
                <w:szCs w:val="20"/>
                <w:color w:val="auto"/>
              </w:rPr>
            </w:pPr>
            <w:r>
              <w:rPr>
                <w:rFonts w:ascii="Arial" w:cs="Arial" w:eastAsia="Arial" w:hAnsi="Arial"/>
                <w:sz w:val="20"/>
                <w:szCs w:val="20"/>
                <w:color w:val="auto"/>
              </w:rPr>
              <w:t>West Group</w:t>
            </w:r>
          </w:p>
        </w:tc>
        <w:tc>
          <w:tcPr>
            <w:tcW w:w="820" w:type="dxa"/>
            <w:vAlign w:val="bottom"/>
            <w:gridSpan w:val="2"/>
          </w:tcPr>
          <w:p>
            <w:pPr>
              <w:jc w:val="right"/>
              <w:ind w:right="260"/>
              <w:spacing w:after="0"/>
              <w:rPr>
                <w:sz w:val="20"/>
                <w:szCs w:val="20"/>
                <w:color w:val="auto"/>
              </w:rPr>
            </w:pPr>
            <w:r>
              <w:rPr>
                <w:rFonts w:ascii="Arial" w:cs="Arial" w:eastAsia="Arial" w:hAnsi="Arial"/>
                <w:sz w:val="20"/>
                <w:szCs w:val="20"/>
                <w:color w:val="auto"/>
              </w:rPr>
              <w:t>3.6%</w:t>
            </w:r>
          </w:p>
        </w:tc>
        <w:tc>
          <w:tcPr>
            <w:tcW w:w="1740" w:type="dxa"/>
            <w:vAlign w:val="bottom"/>
            <w:gridSpan w:val="2"/>
          </w:tcPr>
          <w:p>
            <w:pPr>
              <w:jc w:val="right"/>
              <w:ind w:right="20"/>
              <w:spacing w:after="0"/>
              <w:rPr>
                <w:sz w:val="20"/>
                <w:szCs w:val="20"/>
                <w:color w:val="auto"/>
              </w:rPr>
            </w:pPr>
            <w:r>
              <w:rPr>
                <w:rFonts w:ascii="Arial" w:cs="Arial" w:eastAsia="Arial" w:hAnsi="Arial"/>
                <w:sz w:val="20"/>
                <w:szCs w:val="20"/>
                <w:color w:val="auto"/>
              </w:rPr>
              <w:t>3.4%</w:t>
            </w:r>
          </w:p>
        </w:tc>
      </w:tr>
      <w:tr>
        <w:trPr>
          <w:trHeight w:val="241"/>
        </w:trPr>
        <w:tc>
          <w:tcPr>
            <w:tcW w:w="88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Product Line</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2.0%</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3.8%</w:t>
            </w:r>
          </w:p>
        </w:tc>
      </w:tr>
    </w:tbl>
    <w:p>
      <w:pPr>
        <w:spacing w:after="0" w:line="197" w:lineRule="exact"/>
        <w:rPr>
          <w:sz w:val="20"/>
          <w:szCs w:val="20"/>
          <w:color w:val="auto"/>
        </w:rPr>
      </w:pPr>
    </w:p>
    <w:p>
      <w:pPr>
        <w:ind w:left="260" w:hanging="253"/>
        <w:spacing w:after="0"/>
        <w:tabs>
          <w:tab w:leader="none" w:pos="260" w:val="left"/>
        </w:tabs>
        <w:numPr>
          <w:ilvl w:val="0"/>
          <w:numId w:val="23"/>
        </w:numPr>
        <w:rPr>
          <w:rFonts w:ascii="Arial" w:cs="Arial" w:eastAsia="Arial" w:hAnsi="Arial"/>
          <w:sz w:val="17"/>
          <w:szCs w:val="17"/>
          <w:i w:val="1"/>
          <w:iCs w:val="1"/>
          <w:color w:val="auto"/>
        </w:rPr>
      </w:pPr>
      <w:r>
        <w:rPr>
          <w:rFonts w:ascii="Arial" w:cs="Arial" w:eastAsia="Arial" w:hAnsi="Arial"/>
          <w:sz w:val="20"/>
          <w:szCs w:val="20"/>
          <w:i w:val="1"/>
          <w:iCs w:val="1"/>
          <w:color w:val="auto"/>
        </w:rPr>
        <w:t>Volume/pricing variances reflect the percentage increase/(decrease) from the comparable period in the prior year.</w:t>
      </w:r>
    </w:p>
    <w:p>
      <w:pPr>
        <w:spacing w:after="0" w:line="225"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Three Months Ended</w:t>
      </w:r>
    </w:p>
    <w:p>
      <w:pPr>
        <w:spacing w:after="0" w:line="19"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1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2016</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7880" w:type="dxa"/>
            <w:vAlign w:val="bottom"/>
          </w:tcPr>
          <w:p>
            <w:pPr>
              <w:spacing w:after="0"/>
              <w:rPr>
                <w:sz w:val="20"/>
                <w:szCs w:val="20"/>
                <w:color w:val="auto"/>
              </w:rPr>
            </w:pPr>
          </w:p>
        </w:tc>
        <w:tc>
          <w:tcPr>
            <w:tcW w:w="2840" w:type="dxa"/>
            <w:vAlign w:val="bottom"/>
            <w:gridSpan w:val="4"/>
          </w:tcPr>
          <w:p>
            <w:pPr>
              <w:jc w:val="right"/>
              <w:ind w:right="340"/>
              <w:spacing w:after="0"/>
              <w:rPr>
                <w:sz w:val="20"/>
                <w:szCs w:val="20"/>
                <w:color w:val="auto"/>
              </w:rPr>
            </w:pPr>
            <w:r>
              <w:rPr>
                <w:rFonts w:ascii="Arial" w:cs="Arial" w:eastAsia="Arial" w:hAnsi="Arial"/>
                <w:sz w:val="20"/>
                <w:szCs w:val="20"/>
                <w:i w:val="1"/>
                <w:iCs w:val="1"/>
                <w:color w:val="auto"/>
              </w:rPr>
              <w:t>(Tons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8860" w:type="dxa"/>
            <w:vAlign w:val="bottom"/>
            <w:gridSpan w:val="2"/>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1"/>
        </w:trPr>
        <w:tc>
          <w:tcPr>
            <w:tcW w:w="8860" w:type="dxa"/>
            <w:vAlign w:val="bottom"/>
            <w:gridSpan w:val="2"/>
          </w:tcPr>
          <w:p>
            <w:pPr>
              <w:ind w:left="260"/>
              <w:spacing w:after="0"/>
              <w:rPr>
                <w:sz w:val="20"/>
                <w:szCs w:val="20"/>
                <w:color w:val="auto"/>
              </w:rPr>
            </w:pPr>
            <w:r>
              <w:rPr>
                <w:rFonts w:ascii="Arial" w:cs="Arial" w:eastAsia="Arial" w:hAnsi="Arial"/>
                <w:sz w:val="20"/>
                <w:szCs w:val="20"/>
                <w:color w:val="auto"/>
              </w:rPr>
              <w:t>Mid-America Group</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20,513</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8"/>
              </w:rPr>
              <w:t>20,116</w:t>
            </w:r>
          </w:p>
        </w:tc>
        <w:tc>
          <w:tcPr>
            <w:tcW w:w="120" w:type="dxa"/>
            <w:vAlign w:val="bottom"/>
          </w:tcPr>
          <w:p>
            <w:pPr>
              <w:spacing w:after="0"/>
              <w:rPr>
                <w:sz w:val="20"/>
                <w:szCs w:val="20"/>
                <w:color w:val="auto"/>
              </w:rPr>
            </w:pPr>
          </w:p>
        </w:tc>
      </w:tr>
      <w:tr>
        <w:trPr>
          <w:trHeight w:val="241"/>
        </w:trPr>
        <w:tc>
          <w:tcPr>
            <w:tcW w:w="88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5,203</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5,375</w:t>
            </w:r>
          </w:p>
        </w:tc>
        <w:tc>
          <w:tcPr>
            <w:tcW w:w="120" w:type="dxa"/>
            <w:vAlign w:val="bottom"/>
            <w:shd w:val="clear" w:color="auto" w:fill="CFF0FC"/>
          </w:tcPr>
          <w:p>
            <w:pPr>
              <w:spacing w:after="0"/>
              <w:rPr>
                <w:sz w:val="20"/>
                <w:szCs w:val="20"/>
                <w:color w:val="auto"/>
              </w:rPr>
            </w:pPr>
          </w:p>
        </w:tc>
      </w:tr>
      <w:tr>
        <w:trPr>
          <w:trHeight w:val="241"/>
        </w:trPr>
        <w:tc>
          <w:tcPr>
            <w:tcW w:w="8860" w:type="dxa"/>
            <w:vAlign w:val="bottom"/>
            <w:gridSpan w:val="2"/>
          </w:tcPr>
          <w:p>
            <w:pPr>
              <w:ind w:left="260"/>
              <w:spacing w:after="0"/>
              <w:rPr>
                <w:sz w:val="20"/>
                <w:szCs w:val="20"/>
                <w:color w:val="auto"/>
              </w:rPr>
            </w:pPr>
            <w:r>
              <w:rPr>
                <w:rFonts w:ascii="Arial" w:cs="Arial" w:eastAsia="Arial" w:hAnsi="Arial"/>
                <w:sz w:val="20"/>
                <w:szCs w:val="20"/>
                <w:color w:val="auto"/>
              </w:rPr>
              <w:t>West Group</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17,707</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8"/>
              </w:rPr>
              <w:t>17,091</w:t>
            </w:r>
          </w:p>
        </w:tc>
        <w:tc>
          <w:tcPr>
            <w:tcW w:w="120" w:type="dxa"/>
            <w:vAlign w:val="bottom"/>
          </w:tcPr>
          <w:p>
            <w:pPr>
              <w:spacing w:after="0"/>
              <w:rPr>
                <w:sz w:val="20"/>
                <w:szCs w:val="20"/>
                <w:color w:val="auto"/>
              </w:rPr>
            </w:pPr>
          </w:p>
        </w:tc>
      </w:tr>
      <w:tr>
        <w:trPr>
          <w:trHeight w:val="234"/>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Aggregates Product Line</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43,423</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42,582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decline in the Southeast Group’s shipments is attributable to unfavorable weather in second quarter, where shipping days affected by rain were 3.5 times more than the three-year average.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225"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Three Months Ended</w:t>
      </w:r>
    </w:p>
    <w:p>
      <w:pPr>
        <w:spacing w:after="0" w:line="19"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2"/>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1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2016</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840" w:type="dxa"/>
            <w:vAlign w:val="bottom"/>
            <w:gridSpan w:val="4"/>
          </w:tcPr>
          <w:p>
            <w:pPr>
              <w:jc w:val="right"/>
              <w:ind w:right="340"/>
              <w:spacing w:after="0"/>
              <w:rPr>
                <w:sz w:val="20"/>
                <w:szCs w:val="20"/>
                <w:color w:val="auto"/>
              </w:rPr>
            </w:pPr>
            <w:r>
              <w:rPr>
                <w:rFonts w:ascii="Arial" w:cs="Arial" w:eastAsia="Arial" w:hAnsi="Arial"/>
                <w:sz w:val="20"/>
                <w:szCs w:val="20"/>
                <w:i w:val="1"/>
                <w:iCs w:val="1"/>
                <w:color w:val="auto"/>
              </w:rPr>
              <w:t>(Tons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rPr>
              <w:t>Aggregates Product Line (in thousands):</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40,411</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39,895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580" w:type="dxa"/>
            <w:vAlign w:val="bottom"/>
          </w:tcPr>
          <w:p>
            <w:pPr>
              <w:jc w:val="right"/>
              <w:spacing w:after="0"/>
              <w:rPr>
                <w:sz w:val="20"/>
                <w:szCs w:val="20"/>
                <w:color w:val="auto"/>
              </w:rPr>
            </w:pPr>
            <w:r>
              <w:rPr>
                <w:rFonts w:ascii="Arial" w:cs="Arial" w:eastAsia="Arial" w:hAnsi="Arial"/>
                <w:sz w:val="20"/>
                <w:szCs w:val="20"/>
                <w:color w:val="auto"/>
              </w:rPr>
              <w:t>3,012</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2,687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aggregates tons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43,423</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42,582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80" w:type="dxa"/>
            <w:vAlign w:val="bottom"/>
            <w:gridSpan w:val="2"/>
          </w:tcPr>
          <w:p>
            <w:pPr>
              <w:spacing w:after="0" w:line="221" w:lineRule="exact"/>
              <w:rPr>
                <w:sz w:val="20"/>
                <w:szCs w:val="20"/>
                <w:color w:val="auto"/>
              </w:rPr>
            </w:pPr>
            <w:r>
              <w:rPr>
                <w:rFonts w:ascii="Arial" w:cs="Arial" w:eastAsia="Arial" w:hAnsi="Arial"/>
                <w:sz w:val="20"/>
                <w:szCs w:val="20"/>
                <w:color w:val="auto"/>
              </w:rPr>
              <w:t>Cement (in thousands):</w:t>
            </w: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shd w:val="clear" w:color="auto" w:fill="CFF0FC"/>
          </w:tcPr>
          <w:p>
            <w:pPr>
              <w:ind w:left="10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620</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tcPr>
          <w:p>
            <w:pPr>
              <w:ind w:left="100"/>
              <w:spacing w:after="0"/>
              <w:rPr>
                <w:sz w:val="20"/>
                <w:szCs w:val="20"/>
                <w:color w:val="auto"/>
              </w:rPr>
            </w:pPr>
            <w:r>
              <w:rPr>
                <w:rFonts w:ascii="Arial" w:cs="Arial" w:eastAsia="Arial" w:hAnsi="Arial"/>
                <w:sz w:val="20"/>
                <w:szCs w:val="20"/>
                <w:color w:val="auto"/>
              </w:rPr>
              <w:t>Internal tons used in ready mixed concrete</w:t>
            </w:r>
          </w:p>
        </w:tc>
        <w:tc>
          <w:tcPr>
            <w:tcW w:w="580" w:type="dxa"/>
            <w:vAlign w:val="bottom"/>
          </w:tcPr>
          <w:p>
            <w:pPr>
              <w:jc w:val="right"/>
              <w:spacing w:after="0"/>
              <w:rPr>
                <w:sz w:val="20"/>
                <w:szCs w:val="20"/>
                <w:color w:val="auto"/>
              </w:rPr>
            </w:pPr>
            <w:r>
              <w:rPr>
                <w:rFonts w:ascii="Arial" w:cs="Arial" w:eastAsia="Arial" w:hAnsi="Arial"/>
                <w:sz w:val="20"/>
                <w:szCs w:val="20"/>
                <w:color w:val="auto"/>
              </w:rPr>
              <w:t>302</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cement tons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922</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Ready Mixed Concrete (in thousands of cubic yards)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2,226</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1,997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Asphalt (in thousands):</w:t>
            </w: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tcPr>
          <w:p>
            <w:pPr>
              <w:jc w:val="right"/>
              <w:spacing w:after="0"/>
              <w:rPr>
                <w:sz w:val="20"/>
                <w:szCs w:val="20"/>
                <w:color w:val="auto"/>
              </w:rPr>
            </w:pPr>
            <w:r>
              <w:rPr>
                <w:rFonts w:ascii="Arial" w:cs="Arial" w:eastAsia="Arial" w:hAnsi="Arial"/>
                <w:sz w:val="20"/>
                <w:szCs w:val="20"/>
                <w:color w:val="auto"/>
              </w:rPr>
              <w:t>325</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Internal tons used in paving business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662</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880" w:type="dxa"/>
            <w:vAlign w:val="bottom"/>
            <w:gridSpan w:val="2"/>
          </w:tcPr>
          <w:p>
            <w:pPr>
              <w:spacing w:after="0"/>
              <w:rPr>
                <w:sz w:val="20"/>
                <w:szCs w:val="20"/>
                <w:color w:val="auto"/>
              </w:rPr>
            </w:pPr>
            <w:r>
              <w:rPr>
                <w:rFonts w:ascii="Arial" w:cs="Arial" w:eastAsia="Arial" w:hAnsi="Arial"/>
                <w:sz w:val="20"/>
                <w:szCs w:val="20"/>
                <w:color w:val="auto"/>
              </w:rPr>
              <w:t>Total asphalt tons</w:t>
            </w:r>
          </w:p>
        </w:tc>
        <w:tc>
          <w:tcPr>
            <w:tcW w:w="9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987</w:t>
            </w:r>
          </w:p>
        </w:tc>
        <w:tc>
          <w:tcPr>
            <w:tcW w:w="280" w:type="dxa"/>
            <w:vAlign w:val="bottom"/>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Second-quarter results were negatively affected by significant precipitation, notably in the eastern United States. All southeastern states experienced precipitation that ranged from the 5</w:t>
      </w:r>
      <w:r>
        <w:rPr>
          <w:rFonts w:ascii="Arial" w:cs="Arial" w:eastAsia="Arial" w:hAnsi="Arial"/>
          <w:sz w:val="16"/>
          <w:szCs w:val="16"/>
          <w:color w:val="auto"/>
        </w:rPr>
        <w:t>th</w:t>
      </w:r>
      <w:r>
        <w:rPr>
          <w:rFonts w:ascii="Arial" w:cs="Arial" w:eastAsia="Arial" w:hAnsi="Arial"/>
          <w:sz w:val="20"/>
          <w:szCs w:val="20"/>
          <w:color w:val="auto"/>
        </w:rPr>
        <w:t xml:space="preserve"> to the 17</w:t>
      </w:r>
      <w:r>
        <w:rPr>
          <w:rFonts w:ascii="Arial" w:cs="Arial" w:eastAsia="Arial" w:hAnsi="Arial"/>
          <w:sz w:val="16"/>
          <w:szCs w:val="16"/>
          <w:color w:val="auto"/>
        </w:rPr>
        <w:t>th</w:t>
      </w:r>
      <w:r>
        <w:rPr>
          <w:rFonts w:ascii="Arial" w:cs="Arial" w:eastAsia="Arial" w:hAnsi="Arial"/>
          <w:sz w:val="20"/>
          <w:szCs w:val="20"/>
          <w:color w:val="auto"/>
        </w:rPr>
        <w:t xml:space="preserve"> wettest second quarters out of the last 123 years. The impact of the weather partially negated the impact of a broad-based construction recovery. Employment gains, a catalyst for construction activity, remain strong with 2.2 million jobs created in the United States for the trailing-twelve months ended May 31, 2017. Further, Texas, Florida, Georgia, North Carolina and Colorado are each ranked in the top ten in job growth.</w:t>
      </w:r>
    </w:p>
    <w:p>
      <w:pPr>
        <w:spacing w:after="0" w:line="8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For the quarter, shipments to the infrastructure market were relatively flat and comprised 41% of second-quarter aggregates product line volumes, which remains below the Company’s five-year average. This is attributable to continued under-investment in the nation’s infrastructure and greater private-sector nonresidential and residential investments.</w:t>
      </w:r>
    </w:p>
    <w:p>
      <w:pPr>
        <w:spacing w:after="0" w:line="7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nonresidential market represented 32% of second-quarter aggregates product line shipments. The light nonresidential market, which consists primarily of office and retail construction, increased 3.4% for the quarter; however, heavy nonresidential activity, which includes industrial building as well as energy and energy-related construction, was relatively flat, resulting in a 1.6% increase in overall nonresidential shipments. The Southeast Group reported strong industrial construction growth. However, in-line with management’s expectations, the West Group reported a decline in nonresidential shipments due to the completion of several large energy-related projects in 2016 that were not immediately replaced in the first half of 2017.</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residential market accounted for 20% of aggregates product line shipments for the second quarter. Volumes to this segment increased 14.8%, driven by continued strength in housing across the Company’s geographic footprint. Texas, Florida, North Carolina, Georgia and South Carolina, key geographies for the Building Materials business, comprised five of the top ten states for single family housing starts as of May 2017. Additionally, on the metro-level, Dallas, Tampa, Austin, Houston, Atlanta, Charlotte, Raleigh and Orlando comprised the top eight for single family unit starts.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The ChemRock/Rail market accounted for the remaining 7% of aggregates product line volumes and declined versus the prior-year quarter.</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40" w:type="dxa"/>
            <w:vAlign w:val="bottom"/>
            <w:gridSpan w:val="4"/>
          </w:tcPr>
          <w:p>
            <w:pPr>
              <w:jc w:val="center"/>
              <w:ind w:right="460"/>
              <w:spacing w:after="0"/>
              <w:rPr>
                <w:sz w:val="20"/>
                <w:szCs w:val="20"/>
                <w:color w:val="auto"/>
              </w:rPr>
            </w:pPr>
            <w:r>
              <w:rPr>
                <w:rFonts w:ascii="Arial" w:cs="Arial" w:eastAsia="Arial" w:hAnsi="Arial"/>
                <w:sz w:val="20"/>
                <w:szCs w:val="20"/>
                <w:color w:val="auto"/>
                <w:w w:val="88"/>
              </w:rPr>
              <w:t>Three Months Ended</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4"/>
        </w:trPr>
        <w:tc>
          <w:tcPr>
            <w:tcW w:w="4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right="980"/>
              <w:spacing w:after="0"/>
              <w:rPr>
                <w:sz w:val="20"/>
                <w:szCs w:val="20"/>
                <w:color w:val="auto"/>
              </w:rPr>
            </w:pPr>
            <w:r>
              <w:rPr>
                <w:rFonts w:ascii="Arial" w:cs="Arial" w:eastAsia="Arial" w:hAnsi="Arial"/>
                <w:sz w:val="20"/>
                <w:szCs w:val="20"/>
                <w:color w:val="auto"/>
                <w:w w:val="83"/>
              </w:rPr>
              <w:t>June 30,</w:t>
            </w:r>
          </w:p>
        </w:tc>
        <w:tc>
          <w:tcPr>
            <w:tcW w:w="13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4"/>
        </w:trPr>
        <w:tc>
          <w:tcPr>
            <w:tcW w:w="44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color w:val="auto"/>
              </w:rPr>
              <w:t>2016</w:t>
            </w:r>
          </w:p>
        </w:tc>
        <w:tc>
          <w:tcPr>
            <w:tcW w:w="38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 Change</w:t>
            </w:r>
          </w:p>
        </w:tc>
        <w:tc>
          <w:tcPr>
            <w:tcW w:w="180" w:type="dxa"/>
            <w:vAlign w:val="bottom"/>
            <w:tcBorders>
              <w:bottom w:val="single" w:sz="8" w:color="CFF0FC"/>
            </w:tcBorders>
          </w:tcPr>
          <w:p>
            <w:pPr>
              <w:spacing w:after="0"/>
              <w:rPr>
                <w:sz w:val="20"/>
                <w:szCs w:val="20"/>
                <w:color w:val="auto"/>
              </w:rPr>
            </w:pPr>
          </w:p>
        </w:tc>
      </w:tr>
      <w:tr>
        <w:trPr>
          <w:trHeight w:val="234"/>
        </w:trPr>
        <w:tc>
          <w:tcPr>
            <w:tcW w:w="444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13.24</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12.76</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3.8%</w:t>
            </w:r>
          </w:p>
        </w:tc>
      </w:tr>
      <w:tr>
        <w:trPr>
          <w:trHeight w:val="241"/>
        </w:trPr>
        <w:tc>
          <w:tcPr>
            <w:tcW w:w="4440" w:type="dxa"/>
            <w:vAlign w:val="bottom"/>
          </w:tcPr>
          <w:p>
            <w:pPr>
              <w:spacing w:after="0"/>
              <w:rPr>
                <w:sz w:val="20"/>
                <w:szCs w:val="20"/>
                <w:color w:val="auto"/>
              </w:rPr>
            </w:pPr>
            <w:r>
              <w:rPr>
                <w:rFonts w:ascii="Arial" w:cs="Arial" w:eastAsia="Arial" w:hAnsi="Arial"/>
                <w:sz w:val="20"/>
                <w:szCs w:val="20"/>
                <w:color w:val="auto"/>
              </w:rPr>
              <w:t>Cement (per ton)</w:t>
            </w:r>
          </w:p>
        </w:tc>
        <w:tc>
          <w:tcPr>
            <w:tcW w:w="2420" w:type="dxa"/>
            <w:vAlign w:val="bottom"/>
            <w:gridSpan w:val="2"/>
          </w:tcPr>
          <w:p>
            <w:pPr>
              <w:jc w:val="right"/>
              <w:ind w:right="922"/>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106.31</w:t>
            </w:r>
          </w:p>
        </w:tc>
        <w:tc>
          <w:tcPr>
            <w:tcW w:w="54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101.04</w:t>
            </w:r>
          </w:p>
        </w:tc>
        <w:tc>
          <w:tcPr>
            <w:tcW w:w="38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20"/>
                <w:szCs w:val="20"/>
                <w:color w:val="auto"/>
              </w:rPr>
              <w:t>5.2%</w:t>
            </w:r>
          </w:p>
        </w:tc>
      </w:tr>
      <w:tr>
        <w:trPr>
          <w:trHeight w:val="241"/>
        </w:trPr>
        <w:tc>
          <w:tcPr>
            <w:tcW w:w="444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2420" w:type="dxa"/>
            <w:vAlign w:val="bottom"/>
            <w:gridSpan w:val="2"/>
            <w:shd w:val="clear" w:color="auto" w:fill="CFF0FC"/>
          </w:tcPr>
          <w:p>
            <w:pPr>
              <w:jc w:val="right"/>
              <w:ind w:right="922"/>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8"/>
              </w:rPr>
              <w:t>106.90</w:t>
            </w:r>
          </w:p>
        </w:tc>
        <w:tc>
          <w:tcPr>
            <w:tcW w:w="540" w:type="dxa"/>
            <w:vAlign w:val="bottom"/>
            <w:gridSpan w:val="2"/>
            <w:shd w:val="clear" w:color="auto" w:fill="CFF0FC"/>
          </w:tcPr>
          <w:p>
            <w:pPr>
              <w:jc w:val="right"/>
              <w:ind w:right="22"/>
              <w:spacing w:after="0"/>
              <w:rPr>
                <w:sz w:val="20"/>
                <w:szCs w:val="20"/>
                <w:color w:val="auto"/>
              </w:rPr>
            </w:pPr>
            <w:r>
              <w:rPr>
                <w:rFonts w:ascii="Arial" w:cs="Arial" w:eastAsia="Arial" w:hAnsi="Arial"/>
                <w:sz w:val="20"/>
                <w:szCs w:val="20"/>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105.37</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1.5%</w:t>
            </w:r>
          </w:p>
        </w:tc>
      </w:tr>
      <w:tr>
        <w:trPr>
          <w:trHeight w:val="249"/>
        </w:trPr>
        <w:tc>
          <w:tcPr>
            <w:tcW w:w="4440" w:type="dxa"/>
            <w:vAlign w:val="bottom"/>
          </w:tcPr>
          <w:p>
            <w:pPr>
              <w:spacing w:after="0"/>
              <w:rPr>
                <w:sz w:val="20"/>
                <w:szCs w:val="20"/>
                <w:color w:val="auto"/>
              </w:rPr>
            </w:pPr>
            <w:r>
              <w:rPr>
                <w:rFonts w:ascii="Arial" w:cs="Arial" w:eastAsia="Arial" w:hAnsi="Arial"/>
                <w:sz w:val="20"/>
                <w:szCs w:val="20"/>
                <w:color w:val="auto"/>
              </w:rPr>
              <w:t>Asphalt (per ton)</w:t>
            </w:r>
          </w:p>
        </w:tc>
        <w:tc>
          <w:tcPr>
            <w:tcW w:w="2420" w:type="dxa"/>
            <w:vAlign w:val="bottom"/>
            <w:gridSpan w:val="2"/>
          </w:tcPr>
          <w:p>
            <w:pPr>
              <w:jc w:val="right"/>
              <w:ind w:right="922"/>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42.48</w:t>
            </w:r>
          </w:p>
        </w:tc>
        <w:tc>
          <w:tcPr>
            <w:tcW w:w="54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38.25</w:t>
            </w:r>
          </w:p>
        </w:tc>
        <w:tc>
          <w:tcPr>
            <w:tcW w:w="38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20"/>
                <w:szCs w:val="20"/>
                <w:color w:val="auto"/>
              </w:rPr>
              <w:t>11.1%</w:t>
            </w:r>
          </w:p>
        </w:tc>
      </w:tr>
    </w:tbl>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Solid pricing growth across the product lines and geographies reinforces management’s view of the healthy, underlying demand fundamentals that underpin the Building Materials business. The cement product line increase further reinforces the underlying positive market conditions in Texas, and additionally, reflects partial realization against the $8.00 per ton price increase effective April 1, 2017.</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shipments, production and profitability in all markets served by the Company. Because of the potentially significant impact of weather on the Company’s operations, current period and year to date results are not indicative of expected performance for other interim periods or the full year.</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Magnesia Specialties reported second-quarter net sales of $64.6 million compared with $58.9 million, reflecting growth in both the chemicals and lime product lines. Gross profit for the second quarter was $23.6 million compared to $21.7 million and earnings from operations were $21.1 million compared to $19.3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presents a rollforward of consolidated gross profit (dollars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Consolidated gross profit, quarter ended June 30, 2016</w:t>
            </w:r>
          </w:p>
        </w:tc>
        <w:tc>
          <w:tcPr>
            <w:tcW w:w="17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247,431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80" w:type="dxa"/>
            <w:vAlign w:val="bottom"/>
            <w:gridSpan w:val="3"/>
          </w:tcPr>
          <w:p>
            <w:pPr>
              <w:spacing w:after="0"/>
              <w:rPr>
                <w:sz w:val="20"/>
                <w:szCs w:val="20"/>
                <w:color w:val="auto"/>
              </w:rPr>
            </w:pPr>
            <w:r>
              <w:rPr>
                <w:rFonts w:ascii="Arial" w:cs="Arial" w:eastAsia="Arial" w:hAnsi="Arial"/>
                <w:sz w:val="20"/>
                <w:szCs w:val="20"/>
                <w:color w:val="auto"/>
              </w:rPr>
              <w:t>Aggregates product line:</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Volume</w:t>
            </w:r>
          </w:p>
        </w:tc>
        <w:tc>
          <w:tcPr>
            <w:tcW w:w="17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10,612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tcPr>
          <w:p>
            <w:pPr>
              <w:ind w:left="240"/>
              <w:spacing w:after="0"/>
              <w:rPr>
                <w:sz w:val="20"/>
                <w:szCs w:val="20"/>
                <w:color w:val="auto"/>
              </w:rPr>
            </w:pPr>
            <w:r>
              <w:rPr>
                <w:rFonts w:ascii="Arial" w:cs="Arial" w:eastAsia="Arial" w:hAnsi="Arial"/>
                <w:sz w:val="20"/>
                <w:szCs w:val="20"/>
                <w:color w:val="auto"/>
              </w:rPr>
              <w:t>Pricing</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20,940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Cost increases, net</w:t>
            </w:r>
          </w:p>
        </w:tc>
        <w:tc>
          <w:tcPr>
            <w:tcW w:w="17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(23,109)</w:t>
            </w:r>
          </w:p>
        </w:tc>
        <w:tc>
          <w:tcPr>
            <w:tcW w:w="0" w:type="dxa"/>
            <w:vAlign w:val="bottom"/>
          </w:tcPr>
          <w:p>
            <w:pPr>
              <w:spacing w:after="0"/>
              <w:rPr>
                <w:sz w:val="1"/>
                <w:szCs w:val="1"/>
                <w:color w:val="auto"/>
              </w:rPr>
            </w:pPr>
          </w:p>
        </w:tc>
      </w:tr>
      <w:tr>
        <w:trPr>
          <w:trHeight w:val="234"/>
        </w:trPr>
        <w:tc>
          <w:tcPr>
            <w:tcW w:w="6080" w:type="dxa"/>
            <w:vAlign w:val="bottom"/>
            <w:gridSpan w:val="3"/>
          </w:tcPr>
          <w:p>
            <w:pPr>
              <w:spacing w:after="0"/>
              <w:rPr>
                <w:sz w:val="20"/>
                <w:szCs w:val="20"/>
                <w:color w:val="auto"/>
              </w:rPr>
            </w:pPr>
            <w:r>
              <w:rPr>
                <w:rFonts w:ascii="Arial" w:cs="Arial" w:eastAsia="Arial" w:hAnsi="Arial"/>
                <w:sz w:val="20"/>
                <w:szCs w:val="20"/>
                <w:color w:val="auto"/>
              </w:rPr>
              <w:t>Change in aggregates product line gross profit</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8,443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Vertically-integrated product lines</w:t>
            </w:r>
          </w:p>
        </w:tc>
        <w:tc>
          <w:tcPr>
            <w:tcW w:w="17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14,453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20"/>
                <w:szCs w:val="20"/>
                <w:color w:val="auto"/>
              </w:rPr>
              <w:t>Magnesia Specialties</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1,904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Corporate</w:t>
            </w:r>
          </w:p>
        </w:tc>
        <w:tc>
          <w:tcPr>
            <w:tcW w:w="17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1,863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80" w:type="dxa"/>
            <w:vAlign w:val="bottom"/>
            <w:gridSpan w:val="3"/>
          </w:tcPr>
          <w:p>
            <w:pPr>
              <w:spacing w:after="0"/>
              <w:rPr>
                <w:sz w:val="20"/>
                <w:szCs w:val="20"/>
                <w:color w:val="auto"/>
              </w:rPr>
            </w:pPr>
            <w:r>
              <w:rPr>
                <w:rFonts w:ascii="Arial" w:cs="Arial" w:eastAsia="Arial" w:hAnsi="Arial"/>
                <w:sz w:val="20"/>
                <w:szCs w:val="20"/>
                <w:color w:val="auto"/>
              </w:rPr>
              <w:t>Change in consolidated gross profit</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26,663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Consolidated gross profit, quarter ended June 30, 2017</w:t>
            </w:r>
          </w:p>
        </w:tc>
        <w:tc>
          <w:tcPr>
            <w:tcW w:w="176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20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20"/>
                <w:szCs w:val="20"/>
                <w:color w:val="auto"/>
                <w:w w:val="71"/>
              </w:rPr>
              <w:t>$</w:t>
            </w: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274,094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20"/>
                <w:szCs w:val="20"/>
                <w:color w:val="auto"/>
              </w:rPr>
              <w:t>Gross profit (loss) by business is as follows:</w:t>
            </w: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80" w:type="dxa"/>
            <w:vAlign w:val="bottom"/>
            <w:gridSpan w:val="3"/>
            <w:vMerge w:val="continue"/>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7"/>
          </w:tcPr>
          <w:p>
            <w:pPr>
              <w:jc w:val="center"/>
              <w:ind w:right="480"/>
              <w:spacing w:after="0"/>
              <w:rPr>
                <w:sz w:val="20"/>
                <w:szCs w:val="20"/>
                <w:color w:val="auto"/>
              </w:rPr>
            </w:pPr>
            <w:r>
              <w:rPr>
                <w:rFonts w:ascii="Arial" w:cs="Arial" w:eastAsia="Arial" w:hAnsi="Arial"/>
                <w:sz w:val="20"/>
                <w:szCs w:val="20"/>
                <w:color w:val="auto"/>
                <w:w w:val="88"/>
              </w:rPr>
              <w:t>Three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center"/>
              <w:ind w:left="742"/>
              <w:spacing w:after="0"/>
              <w:rPr>
                <w:sz w:val="20"/>
                <w:szCs w:val="20"/>
                <w:color w:val="auto"/>
              </w:rPr>
            </w:pPr>
            <w:r>
              <w:rPr>
                <w:rFonts w:ascii="Arial" w:cs="Arial" w:eastAsia="Arial" w:hAnsi="Arial"/>
                <w:sz w:val="20"/>
                <w:szCs w:val="20"/>
                <w:color w:val="auto"/>
                <w:w w:val="85"/>
              </w:rPr>
              <w:t>June 30,</w:t>
            </w:r>
          </w:p>
        </w:tc>
        <w:tc>
          <w:tcPr>
            <w:tcW w:w="12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color w:val="auto"/>
              </w:rPr>
              <w:t>2017</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5"/>
          </w:tcPr>
          <w:p>
            <w:pPr>
              <w:jc w:val="center"/>
              <w:ind w:right="262"/>
              <w:spacing w:after="0"/>
              <w:rPr>
                <w:sz w:val="20"/>
                <w:szCs w:val="20"/>
                <w:color w:val="auto"/>
              </w:rPr>
            </w:pPr>
            <w:r>
              <w:rPr>
                <w:rFonts w:ascii="Arial" w:cs="Arial" w:eastAsia="Arial" w:hAnsi="Arial"/>
                <w:sz w:val="20"/>
                <w:szCs w:val="20"/>
                <w:i w:val="1"/>
                <w:iCs w:val="1"/>
                <w:color w:val="auto"/>
                <w:w w:val="90"/>
              </w:rPr>
              <w:t>(Dollars in Thousands)</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60" w:type="dxa"/>
            <w:vAlign w:val="bottom"/>
            <w:gridSpan w:val="2"/>
            <w:shd w:val="clear" w:color="auto" w:fill="CFF0FC"/>
          </w:tcPr>
          <w:p>
            <w:pPr>
              <w:spacing w:after="0" w:line="201" w:lineRule="exact"/>
              <w:rPr>
                <w:sz w:val="20"/>
                <w:szCs w:val="20"/>
                <w:color w:val="auto"/>
              </w:rPr>
            </w:pPr>
            <w:r>
              <w:rPr>
                <w:rFonts w:ascii="Arial" w:cs="Arial" w:eastAsia="Arial" w:hAnsi="Arial"/>
                <w:sz w:val="20"/>
                <w:szCs w:val="20"/>
                <w:color w:val="auto"/>
              </w:rPr>
              <w:t>Gross profit (loss):</w:t>
            </w:r>
          </w:p>
        </w:tc>
        <w:tc>
          <w:tcPr>
            <w:tcW w:w="1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shd w:val="clear" w:color="auto" w:fill="CFF0FC"/>
          </w:tcPr>
          <w:p>
            <w:pPr>
              <w:spacing w:after="0" w:line="20" w:lineRule="exact"/>
              <w:rPr>
                <w:sz w:val="1"/>
                <w:szCs w:val="1"/>
                <w:color w:val="auto"/>
              </w:rPr>
            </w:pPr>
          </w:p>
        </w:tc>
        <w:tc>
          <w:tcPr>
            <w:tcW w:w="460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vMerge w:val="continue"/>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20"/>
                <w:szCs w:val="20"/>
                <w:color w:val="auto"/>
              </w:rPr>
              <w:t>Building Materials Business</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Aggregates</w:t>
            </w:r>
          </w:p>
        </w:tc>
        <w:tc>
          <w:tcPr>
            <w:tcW w:w="2120" w:type="dxa"/>
            <w:vAlign w:val="bottom"/>
            <w:gridSpan w:val="2"/>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173,487</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02"/>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165,044</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tcPr>
          <w:p>
            <w:pPr>
              <w:ind w:left="240"/>
              <w:spacing w:after="0"/>
              <w:rPr>
                <w:sz w:val="20"/>
                <w:szCs w:val="20"/>
                <w:color w:val="auto"/>
              </w:rPr>
            </w:pPr>
            <w:r>
              <w:rPr>
                <w:rFonts w:ascii="Arial" w:cs="Arial" w:eastAsia="Arial" w:hAnsi="Arial"/>
                <w:sz w:val="20"/>
                <w:szCs w:val="20"/>
                <w:color w:val="auto"/>
              </w:rPr>
              <w:t>Cement</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29,448</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24,048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Ready Mixed Concrete</w:t>
            </w:r>
          </w:p>
        </w:tc>
        <w:tc>
          <w:tcPr>
            <w:tcW w:w="17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26,863</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25,301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Asphalt and Paving</w:t>
            </w:r>
          </w:p>
        </w:tc>
        <w:tc>
          <w:tcPr>
            <w:tcW w:w="17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20,358</w:t>
            </w:r>
          </w:p>
        </w:tc>
        <w:tc>
          <w:tcPr>
            <w:tcW w:w="28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12,867</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250,156</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227,260</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20"/>
                <w:szCs w:val="20"/>
                <w:color w:val="auto"/>
              </w:rPr>
              <w:t>Magnesia Specialties</w:t>
            </w: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23,624</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21,720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Corporate</w:t>
            </w:r>
          </w:p>
        </w:tc>
        <w:tc>
          <w:tcPr>
            <w:tcW w:w="17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314</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60"/>
              <w:spacing w:after="0"/>
              <w:rPr>
                <w:sz w:val="20"/>
                <w:szCs w:val="20"/>
                <w:color w:val="auto"/>
              </w:rPr>
            </w:pPr>
            <w:r>
              <w:rPr>
                <w:rFonts w:ascii="Arial" w:cs="Arial" w:eastAsia="Arial" w:hAnsi="Arial"/>
                <w:sz w:val="20"/>
                <w:szCs w:val="20"/>
                <w:color w:val="auto"/>
              </w:rPr>
              <w:t>(1,549)</w:t>
            </w:r>
          </w:p>
        </w:tc>
        <w:tc>
          <w:tcPr>
            <w:tcW w:w="0" w:type="dxa"/>
            <w:vAlign w:val="bottom"/>
          </w:tcPr>
          <w:p>
            <w:pPr>
              <w:spacing w:after="0"/>
              <w:rPr>
                <w:sz w:val="1"/>
                <w:szCs w:val="1"/>
                <w:color w:val="auto"/>
              </w:rPr>
            </w:pPr>
          </w:p>
        </w:tc>
      </w:tr>
      <w:tr>
        <w:trPr>
          <w:trHeight w:val="234"/>
        </w:trPr>
        <w:tc>
          <w:tcPr>
            <w:tcW w:w="6080" w:type="dxa"/>
            <w:vAlign w:val="bottom"/>
            <w:gridSpan w:val="3"/>
          </w:tcPr>
          <w:p>
            <w:pPr>
              <w:spacing w:after="0"/>
              <w:rPr>
                <w:sz w:val="20"/>
                <w:szCs w:val="20"/>
                <w:color w:val="auto"/>
              </w:rPr>
            </w:pPr>
            <w:r>
              <w:rPr>
                <w:rFonts w:ascii="Arial" w:cs="Arial" w:eastAsia="Arial" w:hAnsi="Arial"/>
                <w:sz w:val="20"/>
                <w:szCs w:val="20"/>
                <w:color w:val="auto"/>
              </w:rPr>
              <w:t>Total</w:t>
            </w:r>
          </w:p>
        </w:tc>
        <w:tc>
          <w:tcPr>
            <w:tcW w:w="17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274,094</w:t>
            </w:r>
          </w:p>
        </w:tc>
        <w:tc>
          <w:tcPr>
            <w:tcW w:w="28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247,431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consolidated gross margin (excluding freight and delivery revenues) for the quarter was 27.5%, a 50-basis-point increase over the prior-year quarter. Gross margin (excluding freight and delivery revenues) for the Building Materials business was 26.8%, an increase of 30 basis points. Cement kiln maintenance costs were $3.5 million for the quarter compared with $5.7 million for the prior-year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Consolidated SG&amp;A was 6.9% of net sales compared with 6.5% in the prior-year quarter. The increase of 40 basis points reflects a higher second-quarter accrual rate in performance-based incentive compensation costs compared with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prior-year quarter. Earnings from operations for the quarter were $212.9 million compared with $190.8 million in 2016, an increase of 11.5%.</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20"/>
          <w:szCs w:val="20"/>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second quarter, consolidated other operating income and expenses, net, was income of $9.1 million and $3.5 million in 2017 and 2016, respectively. The increase reflects a $13.5 million gain on the sale of real estate and $6.1 million of expense, including both cash and stock-based compensation components, related to the pending retirement of the Chief Financial Officer (CFO). The vesting of the CFO’s shares of restricted stock awards, performance stock awards and stock options will continue on their original vesting schedules, which extend beyond the CFO’s retirement date. Accordingly, the Company recognized all remaining expense related to the stock-based awards.</w:t>
      </w:r>
    </w:p>
    <w:p>
      <w:pPr>
        <w:spacing w:after="0" w:line="8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Other nonoperating income and expenses, net, includes pension and postretirement benefit cost, excluding service cost; foreign currency transaction gains and losses; interest; equity adjustments for nonconsolidated affiliates and other miscellaneous income. For the second quarter, nonoperating income and expenses, net, was income of $5.4 million and $5.0 million in 2017 and 2016, respectively.</w:t>
      </w:r>
    </w:p>
    <w:p>
      <w:pPr>
        <w:spacing w:after="0" w:line="2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estimated effective income tax rate for the six months ended was 26.5%, which, as a result of the adoption of ASU 2016-09 (see Note 1), reflects a 210-basis-point favorable impact from excess tax benefits related to stock-based compensation, which are treated as discrete events effective January 1, 2017.</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Significant items for the six months ended June 30, 2017 (unless noted, all comparisons are versus the prior-year period):</w:t>
      </w:r>
    </w:p>
    <w:p>
      <w:pPr>
        <w:spacing w:after="0" w:line="51" w:lineRule="exact"/>
        <w:rPr>
          <w:sz w:val="20"/>
          <w:szCs w:val="20"/>
          <w:color w:val="auto"/>
        </w:rPr>
      </w:pPr>
    </w:p>
    <w:p>
      <w:pPr>
        <w:ind w:left="760" w:hanging="378"/>
        <w:spacing w:after="0"/>
        <w:tabs>
          <w:tab w:leader="none" w:pos="760" w:val="left"/>
        </w:tabs>
        <w:numPr>
          <w:ilvl w:val="0"/>
          <w:numId w:val="24"/>
        </w:numPr>
        <w:rPr>
          <w:rFonts w:ascii="Arial" w:cs="Arial" w:eastAsia="Arial" w:hAnsi="Arial"/>
          <w:sz w:val="20"/>
          <w:szCs w:val="20"/>
          <w:color w:val="007DC6"/>
        </w:rPr>
      </w:pPr>
      <w:r>
        <w:rPr>
          <w:rFonts w:ascii="Arial" w:cs="Arial" w:eastAsia="Arial" w:hAnsi="Arial"/>
          <w:sz w:val="20"/>
          <w:szCs w:val="20"/>
          <w:color w:val="auto"/>
        </w:rPr>
        <w:t>Consolidated net sales of $1.79 billion increased 8.4% compared with $1.65 billion</w:t>
      </w:r>
    </w:p>
    <w:p>
      <w:pPr>
        <w:spacing w:after="0" w:line="51" w:lineRule="exact"/>
        <w:rPr>
          <w:rFonts w:ascii="Arial" w:cs="Arial" w:eastAsia="Arial" w:hAnsi="Arial"/>
          <w:sz w:val="20"/>
          <w:szCs w:val="20"/>
          <w:color w:val="007DC6"/>
        </w:rPr>
      </w:pPr>
    </w:p>
    <w:p>
      <w:pPr>
        <w:ind w:left="760" w:hanging="378"/>
        <w:spacing w:after="0" w:line="257" w:lineRule="auto"/>
        <w:tabs>
          <w:tab w:leader="none" w:pos="760" w:val="left"/>
        </w:tabs>
        <w:numPr>
          <w:ilvl w:val="0"/>
          <w:numId w:val="24"/>
        </w:numPr>
        <w:rPr>
          <w:rFonts w:ascii="Arial" w:cs="Arial" w:eastAsia="Arial" w:hAnsi="Arial"/>
          <w:sz w:val="20"/>
          <w:szCs w:val="20"/>
          <w:color w:val="007DC6"/>
        </w:rPr>
      </w:pPr>
      <w:r>
        <w:rPr>
          <w:rFonts w:ascii="Arial" w:cs="Arial" w:eastAsia="Arial" w:hAnsi="Arial"/>
          <w:sz w:val="20"/>
          <w:szCs w:val="20"/>
          <w:color w:val="auto"/>
        </w:rPr>
        <w:t>Building Materials net sales of $1.66 billion compared with $1.53 billion, an increase of 8.4%, and Magnesia Specialties net sales of $127.8 million compared with $118.4 million, an increase of 8.0%</w:t>
      </w:r>
    </w:p>
    <w:p>
      <w:pPr>
        <w:spacing w:after="0" w:line="15" w:lineRule="exact"/>
        <w:rPr>
          <w:rFonts w:ascii="Arial" w:cs="Arial" w:eastAsia="Arial" w:hAnsi="Arial"/>
          <w:sz w:val="20"/>
          <w:szCs w:val="20"/>
          <w:color w:val="007DC6"/>
        </w:rPr>
      </w:pPr>
    </w:p>
    <w:p>
      <w:pPr>
        <w:ind w:left="760" w:hanging="378"/>
        <w:spacing w:after="0"/>
        <w:tabs>
          <w:tab w:leader="none" w:pos="760" w:val="left"/>
        </w:tabs>
        <w:numPr>
          <w:ilvl w:val="0"/>
          <w:numId w:val="24"/>
        </w:numPr>
        <w:rPr>
          <w:rFonts w:ascii="Arial" w:cs="Arial" w:eastAsia="Arial" w:hAnsi="Arial"/>
          <w:sz w:val="20"/>
          <w:szCs w:val="20"/>
          <w:color w:val="007DC6"/>
        </w:rPr>
      </w:pPr>
      <w:r>
        <w:rPr>
          <w:rFonts w:ascii="Arial" w:cs="Arial" w:eastAsia="Arial" w:hAnsi="Arial"/>
          <w:sz w:val="20"/>
          <w:szCs w:val="20"/>
          <w:color w:val="auto"/>
        </w:rPr>
        <w:t>Consolidated gross profit of $421.2 million compared with $392.7 million, an increase of 7.3%</w:t>
      </w:r>
    </w:p>
    <w:p>
      <w:pPr>
        <w:spacing w:after="0" w:line="51" w:lineRule="exact"/>
        <w:rPr>
          <w:rFonts w:ascii="Arial" w:cs="Arial" w:eastAsia="Arial" w:hAnsi="Arial"/>
          <w:sz w:val="20"/>
          <w:szCs w:val="20"/>
          <w:color w:val="007DC6"/>
        </w:rPr>
      </w:pPr>
    </w:p>
    <w:p>
      <w:pPr>
        <w:ind w:left="760" w:hanging="378"/>
        <w:spacing w:after="0"/>
        <w:tabs>
          <w:tab w:leader="none" w:pos="760" w:val="left"/>
        </w:tabs>
        <w:numPr>
          <w:ilvl w:val="0"/>
          <w:numId w:val="24"/>
        </w:numPr>
        <w:rPr>
          <w:rFonts w:ascii="Arial" w:cs="Arial" w:eastAsia="Arial" w:hAnsi="Arial"/>
          <w:sz w:val="20"/>
          <w:szCs w:val="20"/>
          <w:color w:val="007DC6"/>
        </w:rPr>
      </w:pPr>
      <w:r>
        <w:rPr>
          <w:rFonts w:ascii="Arial" w:cs="Arial" w:eastAsia="Arial" w:hAnsi="Arial"/>
          <w:sz w:val="20"/>
          <w:szCs w:val="20"/>
          <w:color w:val="auto"/>
        </w:rPr>
        <w:t>Earnings per diluted share of $2.91 compared with $2.60, an increase of 11.9%</w:t>
      </w:r>
    </w:p>
    <w:p>
      <w:pPr>
        <w:spacing w:after="0" w:line="51" w:lineRule="exact"/>
        <w:rPr>
          <w:rFonts w:ascii="Arial" w:cs="Arial" w:eastAsia="Arial" w:hAnsi="Arial"/>
          <w:sz w:val="20"/>
          <w:szCs w:val="20"/>
          <w:color w:val="007DC6"/>
        </w:rPr>
      </w:pPr>
    </w:p>
    <w:p>
      <w:pPr>
        <w:ind w:left="760" w:hanging="378"/>
        <w:spacing w:after="0"/>
        <w:tabs>
          <w:tab w:leader="none" w:pos="760" w:val="left"/>
        </w:tabs>
        <w:numPr>
          <w:ilvl w:val="0"/>
          <w:numId w:val="24"/>
        </w:numPr>
        <w:rPr>
          <w:rFonts w:ascii="Arial" w:cs="Arial" w:eastAsia="Arial" w:hAnsi="Arial"/>
          <w:sz w:val="20"/>
          <w:szCs w:val="20"/>
          <w:color w:val="007DC6"/>
        </w:rPr>
      </w:pPr>
      <w:r>
        <w:rPr>
          <w:rFonts w:ascii="Arial" w:cs="Arial" w:eastAsia="Arial" w:hAnsi="Arial"/>
          <w:sz w:val="20"/>
          <w:szCs w:val="20"/>
          <w:color w:val="auto"/>
        </w:rPr>
        <w:t>EBITDA of $440.0 million compared with $419.1 million, an increase of 5%</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following table presents net sales, gross profit (loss), selling, general and administrative expenses and earnings (loss) from operations data for the Company and its reportable segments for the six months ended June 30, 2017 and 2016. In each case, the data is stated as a percentage of net sales of the Company or the relevant segment, as the case may be.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6"/>
          </w:tcPr>
          <w:p>
            <w:pPr>
              <w:jc w:val="center"/>
              <w:ind w:right="660"/>
              <w:spacing w:after="0"/>
              <w:rPr>
                <w:sz w:val="20"/>
                <w:szCs w:val="20"/>
                <w:color w:val="auto"/>
              </w:rPr>
            </w:pPr>
            <w:r>
              <w:rPr>
                <w:rFonts w:ascii="Arial" w:cs="Arial" w:eastAsia="Arial" w:hAnsi="Arial"/>
                <w:sz w:val="20"/>
                <w:szCs w:val="20"/>
                <w:color w:val="auto"/>
                <w:w w:val="89"/>
              </w:rPr>
              <w:t>Six Months Ended June 30,</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20"/>
                <w:szCs w:val="20"/>
                <w:color w:val="auto"/>
              </w:rPr>
              <w:t>2017</w:t>
            </w:r>
          </w:p>
        </w:tc>
        <w:tc>
          <w:tcPr>
            <w:tcW w:w="1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20"/>
                <w:szCs w:val="20"/>
                <w:color w:val="auto"/>
              </w:rPr>
              <w:t>2016</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102"/>
              <w:spacing w:after="0" w:line="217" w:lineRule="exact"/>
              <w:rPr>
                <w:sz w:val="20"/>
                <w:szCs w:val="20"/>
                <w:color w:val="auto"/>
              </w:rPr>
            </w:pPr>
            <w:r>
              <w:rPr>
                <w:rFonts w:ascii="Arial" w:cs="Arial" w:eastAsia="Arial" w:hAnsi="Arial"/>
                <w:sz w:val="20"/>
                <w:szCs w:val="20"/>
                <w:color w:val="auto"/>
                <w:w w:val="89"/>
              </w:rPr>
              <w:t>% of</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22"/>
              <w:spacing w:after="0" w:line="217" w:lineRule="exact"/>
              <w:rPr>
                <w:sz w:val="20"/>
                <w:szCs w:val="20"/>
                <w:color w:val="auto"/>
              </w:rPr>
            </w:pPr>
            <w:r>
              <w:rPr>
                <w:rFonts w:ascii="Arial" w:cs="Arial" w:eastAsia="Arial" w:hAnsi="Arial"/>
                <w:sz w:val="20"/>
                <w:szCs w:val="20"/>
                <w:color w:val="auto"/>
                <w:w w:val="94"/>
              </w:rPr>
              <w:t>%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3"/>
          </w:tcPr>
          <w:p>
            <w:pPr>
              <w:jc w:val="right"/>
              <w:ind w:right="860"/>
              <w:spacing w:after="0"/>
              <w:rPr>
                <w:sz w:val="20"/>
                <w:szCs w:val="20"/>
                <w:color w:val="auto"/>
              </w:rPr>
            </w:pPr>
            <w:r>
              <w:rPr>
                <w:rFonts w:ascii="Arial" w:cs="Arial" w:eastAsia="Arial" w:hAnsi="Arial"/>
                <w:sz w:val="20"/>
                <w:szCs w:val="20"/>
                <w:color w:val="auto"/>
              </w:rPr>
              <w:t>Amount</w:t>
            </w:r>
          </w:p>
        </w:tc>
        <w:tc>
          <w:tcPr>
            <w:tcW w:w="1500" w:type="dxa"/>
            <w:vAlign w:val="bottom"/>
            <w:gridSpan w:val="2"/>
          </w:tcPr>
          <w:p>
            <w:pPr>
              <w:jc w:val="center"/>
              <w:ind w:right="460"/>
              <w:spacing w:after="0"/>
              <w:rPr>
                <w:sz w:val="20"/>
                <w:szCs w:val="20"/>
                <w:color w:val="auto"/>
              </w:rPr>
            </w:pPr>
            <w:r>
              <w:rPr>
                <w:rFonts w:ascii="Arial" w:cs="Arial" w:eastAsia="Arial" w:hAnsi="Arial"/>
                <w:sz w:val="20"/>
                <w:szCs w:val="20"/>
                <w:color w:val="auto"/>
                <w:w w:val="87"/>
              </w:rPr>
              <w:t>Net Sales</w:t>
            </w:r>
          </w:p>
        </w:tc>
        <w:tc>
          <w:tcPr>
            <w:tcW w:w="240" w:type="dxa"/>
            <w:vAlign w:val="bottom"/>
          </w:tcPr>
          <w:p>
            <w:pPr>
              <w:spacing w:after="0"/>
              <w:rPr>
                <w:sz w:val="21"/>
                <w:szCs w:val="21"/>
                <w:color w:val="auto"/>
              </w:rPr>
            </w:pPr>
          </w:p>
        </w:tc>
        <w:tc>
          <w:tcPr>
            <w:tcW w:w="1660" w:type="dxa"/>
            <w:vAlign w:val="bottom"/>
            <w:gridSpan w:val="3"/>
          </w:tcPr>
          <w:p>
            <w:pPr>
              <w:jc w:val="right"/>
              <w:ind w:right="860"/>
              <w:spacing w:after="0"/>
              <w:rPr>
                <w:sz w:val="20"/>
                <w:szCs w:val="20"/>
                <w:color w:val="auto"/>
              </w:rPr>
            </w:pPr>
            <w:r>
              <w:rPr>
                <w:rFonts w:ascii="Arial" w:cs="Arial" w:eastAsia="Arial" w:hAnsi="Arial"/>
                <w:sz w:val="20"/>
                <w:szCs w:val="20"/>
                <w:color w:val="auto"/>
              </w:rPr>
              <w:t>Amount</w:t>
            </w:r>
          </w:p>
        </w:tc>
        <w:tc>
          <w:tcPr>
            <w:tcW w:w="1340" w:type="dxa"/>
            <w:vAlign w:val="bottom"/>
            <w:gridSpan w:val="2"/>
          </w:tcPr>
          <w:p>
            <w:pPr>
              <w:jc w:val="center"/>
              <w:ind w:right="320"/>
              <w:spacing w:after="0"/>
              <w:rPr>
                <w:sz w:val="20"/>
                <w:szCs w:val="20"/>
                <w:color w:val="auto"/>
              </w:rPr>
            </w:pPr>
            <w:r>
              <w:rPr>
                <w:rFonts w:ascii="Arial" w:cs="Arial" w:eastAsia="Arial" w:hAnsi="Arial"/>
                <w:sz w:val="20"/>
                <w:szCs w:val="20"/>
                <w:color w:val="auto"/>
                <w:w w:val="85"/>
              </w:rPr>
              <w:t>Net Sales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6"/>
          </w:tcPr>
          <w:p>
            <w:pPr>
              <w:jc w:val="center"/>
              <w:ind w:right="660"/>
              <w:spacing w:after="0"/>
              <w:rPr>
                <w:sz w:val="20"/>
                <w:szCs w:val="20"/>
                <w:color w:val="auto"/>
              </w:rPr>
            </w:pPr>
            <w:r>
              <w:rPr>
                <w:rFonts w:ascii="Arial" w:cs="Arial" w:eastAsia="Arial" w:hAnsi="Arial"/>
                <w:sz w:val="20"/>
                <w:szCs w:val="20"/>
                <w:i w:val="1"/>
                <w:iCs w:val="1"/>
                <w:color w:val="auto"/>
                <w:w w:val="90"/>
              </w:rPr>
              <w:t>(Dollars in Thousands)</w:t>
            </w: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Net sales:</w:t>
            </w: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Mid-America Group</w:t>
            </w:r>
          </w:p>
        </w:tc>
        <w:tc>
          <w:tcPr>
            <w:tcW w:w="130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447,181</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432,360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tcPr>
          <w:p>
            <w:pPr>
              <w:ind w:left="240"/>
              <w:spacing w:after="0"/>
              <w:rPr>
                <w:sz w:val="20"/>
                <w:szCs w:val="20"/>
                <w:color w:val="auto"/>
              </w:rPr>
            </w:pPr>
            <w:r>
              <w:rPr>
                <w:rFonts w:ascii="Arial" w:cs="Arial" w:eastAsia="Arial" w:hAnsi="Arial"/>
                <w:sz w:val="20"/>
                <w:szCs w:val="20"/>
                <w:color w:val="auto"/>
              </w:rPr>
              <w:t>Southeast Group</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175,148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149,961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West Group</w:t>
            </w:r>
          </w:p>
        </w:tc>
        <w:tc>
          <w:tcPr>
            <w:tcW w:w="10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1,037,828</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948,704</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1,660,157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1,531,025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0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127,816</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118,371</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40" w:type="dxa"/>
            <w:vAlign w:val="bottom"/>
            <w:gridSpan w:val="2"/>
          </w:tcPr>
          <w:p>
            <w:pPr>
              <w:spacing w:after="0"/>
              <w:rPr>
                <w:sz w:val="20"/>
                <w:szCs w:val="20"/>
                <w:color w:val="auto"/>
              </w:rPr>
            </w:pPr>
            <w:r>
              <w:rPr>
                <w:rFonts w:ascii="Arial" w:cs="Arial" w:eastAsia="Arial" w:hAnsi="Arial"/>
                <w:sz w:val="20"/>
                <w:szCs w:val="20"/>
                <w:color w:val="auto"/>
              </w:rPr>
              <w:t>Total</w:t>
            </w:r>
          </w:p>
        </w:tc>
        <w:tc>
          <w:tcPr>
            <w:tcW w:w="10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1,787,973</w:t>
            </w: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1,649,396</w:t>
            </w:r>
          </w:p>
        </w:tc>
        <w:tc>
          <w:tcPr>
            <w:tcW w:w="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b w:val="1"/>
                <w:bCs w:val="1"/>
                <w:color w:val="auto"/>
              </w:rPr>
              <w:t>Gross profit (loss):</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tcPr>
          <w:p>
            <w:pPr>
              <w:ind w:left="240"/>
              <w:spacing w:after="0"/>
              <w:rPr>
                <w:sz w:val="20"/>
                <w:szCs w:val="20"/>
                <w:color w:val="auto"/>
              </w:rPr>
            </w:pPr>
            <w:r>
              <w:rPr>
                <w:rFonts w:ascii="Arial" w:cs="Arial" w:eastAsia="Arial" w:hAnsi="Arial"/>
                <w:sz w:val="20"/>
                <w:szCs w:val="20"/>
                <w:color w:val="auto"/>
              </w:rPr>
              <w:t>Mid-America Group</w:t>
            </w:r>
          </w:p>
        </w:tc>
        <w:tc>
          <w:tcPr>
            <w:tcW w:w="13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124,821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27.9</w:t>
            </w:r>
          </w:p>
        </w:tc>
        <w:tc>
          <w:tcPr>
            <w:tcW w:w="26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120,393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33,252</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25,960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West Group</w:t>
            </w:r>
          </w:p>
        </w:tc>
        <w:tc>
          <w:tcPr>
            <w:tcW w:w="10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217,273</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w:t>
            </w: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207,181</w:t>
            </w: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375,346</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22.6</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353,534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tcPr>
          <w:p>
            <w:pPr>
              <w:ind w:left="240"/>
              <w:spacing w:after="0"/>
              <w:rPr>
                <w:sz w:val="20"/>
                <w:szCs w:val="20"/>
                <w:color w:val="auto"/>
              </w:rPr>
            </w:pPr>
            <w:r>
              <w:rPr>
                <w:rFonts w:ascii="Arial" w:cs="Arial" w:eastAsia="Arial" w:hAnsi="Arial"/>
                <w:sz w:val="20"/>
                <w:szCs w:val="20"/>
                <w:color w:val="auto"/>
              </w:rPr>
              <w:t>Magnesia Specialties</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45,939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35.9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44,718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Corporate</w:t>
            </w: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(125)</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(5,571)</w:t>
            </w: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Arial" w:cs="Arial" w:eastAsia="Arial" w:hAnsi="Arial"/>
                <w:sz w:val="20"/>
                <w:szCs w:val="20"/>
                <w:color w:val="auto"/>
              </w:rPr>
              <w:t>Total</w:t>
            </w:r>
          </w:p>
        </w:tc>
        <w:tc>
          <w:tcPr>
            <w:tcW w:w="10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421,160</w:t>
            </w: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23.6</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392,681</w:t>
            </w: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6"/>
          </w:tcPr>
          <w:p>
            <w:pPr>
              <w:jc w:val="center"/>
              <w:ind w:right="660"/>
              <w:spacing w:after="0"/>
              <w:rPr>
                <w:sz w:val="20"/>
                <w:szCs w:val="20"/>
                <w:color w:val="auto"/>
              </w:rPr>
            </w:pPr>
            <w:r>
              <w:rPr>
                <w:rFonts w:ascii="Arial" w:cs="Arial" w:eastAsia="Arial" w:hAnsi="Arial"/>
                <w:sz w:val="20"/>
                <w:szCs w:val="20"/>
                <w:color w:val="auto"/>
                <w:w w:val="89"/>
              </w:rPr>
              <w:t>Six Months Ended June 30,</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20"/>
                <w:szCs w:val="20"/>
                <w:color w:val="auto"/>
              </w:rPr>
              <w:t>2017</w:t>
            </w:r>
          </w:p>
        </w:tc>
        <w:tc>
          <w:tcPr>
            <w:tcW w:w="1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20"/>
                <w:szCs w:val="20"/>
                <w:color w:val="auto"/>
              </w:rPr>
              <w:t>2016</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102"/>
              <w:spacing w:after="0" w:line="217" w:lineRule="exact"/>
              <w:rPr>
                <w:sz w:val="20"/>
                <w:szCs w:val="20"/>
                <w:color w:val="auto"/>
              </w:rPr>
            </w:pPr>
            <w:r>
              <w:rPr>
                <w:rFonts w:ascii="Arial" w:cs="Arial" w:eastAsia="Arial" w:hAnsi="Arial"/>
                <w:sz w:val="20"/>
                <w:szCs w:val="20"/>
                <w:color w:val="auto"/>
                <w:w w:val="89"/>
              </w:rPr>
              <w:t>% of</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22"/>
              <w:spacing w:after="0" w:line="217" w:lineRule="exact"/>
              <w:rPr>
                <w:sz w:val="20"/>
                <w:szCs w:val="20"/>
                <w:color w:val="auto"/>
              </w:rPr>
            </w:pPr>
            <w:r>
              <w:rPr>
                <w:rFonts w:ascii="Arial" w:cs="Arial" w:eastAsia="Arial" w:hAnsi="Arial"/>
                <w:sz w:val="20"/>
                <w:szCs w:val="20"/>
                <w:color w:val="auto"/>
                <w:w w:val="94"/>
              </w:rPr>
              <w:t>%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3"/>
          </w:tcPr>
          <w:p>
            <w:pPr>
              <w:jc w:val="right"/>
              <w:ind w:right="860"/>
              <w:spacing w:after="0"/>
              <w:rPr>
                <w:sz w:val="20"/>
                <w:szCs w:val="20"/>
                <w:color w:val="auto"/>
              </w:rPr>
            </w:pPr>
            <w:r>
              <w:rPr>
                <w:rFonts w:ascii="Arial" w:cs="Arial" w:eastAsia="Arial" w:hAnsi="Arial"/>
                <w:sz w:val="20"/>
                <w:szCs w:val="20"/>
                <w:color w:val="auto"/>
              </w:rPr>
              <w:t>Amount</w:t>
            </w:r>
          </w:p>
        </w:tc>
        <w:tc>
          <w:tcPr>
            <w:tcW w:w="1500" w:type="dxa"/>
            <w:vAlign w:val="bottom"/>
            <w:gridSpan w:val="2"/>
          </w:tcPr>
          <w:p>
            <w:pPr>
              <w:jc w:val="center"/>
              <w:ind w:right="460"/>
              <w:spacing w:after="0"/>
              <w:rPr>
                <w:sz w:val="20"/>
                <w:szCs w:val="20"/>
                <w:color w:val="auto"/>
              </w:rPr>
            </w:pPr>
            <w:r>
              <w:rPr>
                <w:rFonts w:ascii="Arial" w:cs="Arial" w:eastAsia="Arial" w:hAnsi="Arial"/>
                <w:sz w:val="20"/>
                <w:szCs w:val="20"/>
                <w:color w:val="auto"/>
                <w:w w:val="87"/>
              </w:rPr>
              <w:t>Net Sales</w:t>
            </w:r>
          </w:p>
        </w:tc>
        <w:tc>
          <w:tcPr>
            <w:tcW w:w="240" w:type="dxa"/>
            <w:vAlign w:val="bottom"/>
          </w:tcPr>
          <w:p>
            <w:pPr>
              <w:spacing w:after="0"/>
              <w:rPr>
                <w:sz w:val="21"/>
                <w:szCs w:val="21"/>
                <w:color w:val="auto"/>
              </w:rPr>
            </w:pPr>
          </w:p>
        </w:tc>
        <w:tc>
          <w:tcPr>
            <w:tcW w:w="1660" w:type="dxa"/>
            <w:vAlign w:val="bottom"/>
            <w:gridSpan w:val="3"/>
          </w:tcPr>
          <w:p>
            <w:pPr>
              <w:jc w:val="right"/>
              <w:ind w:right="860"/>
              <w:spacing w:after="0"/>
              <w:rPr>
                <w:sz w:val="20"/>
                <w:szCs w:val="20"/>
                <w:color w:val="auto"/>
              </w:rPr>
            </w:pPr>
            <w:r>
              <w:rPr>
                <w:rFonts w:ascii="Arial" w:cs="Arial" w:eastAsia="Arial" w:hAnsi="Arial"/>
                <w:sz w:val="20"/>
                <w:szCs w:val="20"/>
                <w:color w:val="auto"/>
              </w:rPr>
              <w:t>Amount</w:t>
            </w:r>
          </w:p>
        </w:tc>
        <w:tc>
          <w:tcPr>
            <w:tcW w:w="1340" w:type="dxa"/>
            <w:vAlign w:val="bottom"/>
            <w:gridSpan w:val="2"/>
          </w:tcPr>
          <w:p>
            <w:pPr>
              <w:jc w:val="center"/>
              <w:ind w:right="320"/>
              <w:spacing w:after="0"/>
              <w:rPr>
                <w:sz w:val="20"/>
                <w:szCs w:val="20"/>
                <w:color w:val="auto"/>
              </w:rPr>
            </w:pPr>
            <w:r>
              <w:rPr>
                <w:rFonts w:ascii="Arial" w:cs="Arial" w:eastAsia="Arial" w:hAnsi="Arial"/>
                <w:sz w:val="20"/>
                <w:szCs w:val="20"/>
                <w:color w:val="auto"/>
                <w:w w:val="85"/>
              </w:rPr>
              <w:t>Net Sales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6"/>
          </w:tcPr>
          <w:p>
            <w:pPr>
              <w:jc w:val="center"/>
              <w:ind w:right="660"/>
              <w:spacing w:after="0"/>
              <w:rPr>
                <w:sz w:val="20"/>
                <w:szCs w:val="20"/>
                <w:color w:val="auto"/>
              </w:rPr>
            </w:pPr>
            <w:r>
              <w:rPr>
                <w:rFonts w:ascii="Arial" w:cs="Arial" w:eastAsia="Arial" w:hAnsi="Arial"/>
                <w:sz w:val="20"/>
                <w:szCs w:val="20"/>
                <w:i w:val="1"/>
                <w:iCs w:val="1"/>
                <w:color w:val="auto"/>
                <w:w w:val="90"/>
              </w:rPr>
              <w:t>(Dollars in Thousands)</w:t>
            </w: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Mid-America Group</w:t>
            </w:r>
          </w:p>
        </w:tc>
        <w:tc>
          <w:tcPr>
            <w:tcW w:w="84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27,263</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26,400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ind w:left="240"/>
              <w:spacing w:after="0"/>
              <w:rPr>
                <w:sz w:val="20"/>
                <w:szCs w:val="20"/>
                <w:color w:val="auto"/>
              </w:rPr>
            </w:pPr>
            <w:r>
              <w:rPr>
                <w:rFonts w:ascii="Arial" w:cs="Arial" w:eastAsia="Arial" w:hAnsi="Arial"/>
                <w:sz w:val="20"/>
                <w:szCs w:val="20"/>
                <w:color w:val="auto"/>
              </w:rPr>
              <w:t>Southeast Group</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8,799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8,392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West Group</w:t>
            </w:r>
          </w:p>
        </w:tc>
        <w:tc>
          <w:tcPr>
            <w:tcW w:w="6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50,948</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46,548</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87,010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81,340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Magnesia Specialties</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4,817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4,759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46,081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32,031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6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137,908</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118,130</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Earnings (Loss) from operations:</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Mid-America Group</w:t>
            </w:r>
          </w:p>
        </w:tc>
        <w:tc>
          <w:tcPr>
            <w:tcW w:w="840" w:type="dxa"/>
            <w:vAlign w:val="bottom"/>
            <w:gridSpan w:val="2"/>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98,705</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95,486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ind w:left="240"/>
              <w:spacing w:after="0"/>
              <w:rPr>
                <w:sz w:val="20"/>
                <w:szCs w:val="20"/>
                <w:color w:val="auto"/>
              </w:rPr>
            </w:pPr>
            <w:r>
              <w:rPr>
                <w:rFonts w:ascii="Arial" w:cs="Arial" w:eastAsia="Arial" w:hAnsi="Arial"/>
                <w:sz w:val="20"/>
                <w:szCs w:val="20"/>
                <w:color w:val="auto"/>
              </w:rPr>
              <w:t>Southeast Group</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24,449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13.96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18,642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12.43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West Group</w:t>
            </w:r>
          </w:p>
        </w:tc>
        <w:tc>
          <w:tcPr>
            <w:tcW w:w="6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173,724</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16.74</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165,163</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296,878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17.9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279,291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Magnesia Specialties</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40,999</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32.1</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39,887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ind w:left="240"/>
              <w:spacing w:after="0"/>
              <w:rPr>
                <w:sz w:val="20"/>
                <w:szCs w:val="20"/>
                <w:color w:val="auto"/>
              </w:rPr>
            </w:pPr>
            <w:r>
              <w:rPr>
                <w:rFonts w:ascii="Arial" w:cs="Arial" w:eastAsia="Arial" w:hAnsi="Arial"/>
                <w:sz w:val="20"/>
                <w:szCs w:val="20"/>
                <w:color w:val="auto"/>
              </w:rPr>
              <w:t>Corporate</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20"/>
                <w:szCs w:val="20"/>
                <w:color w:val="auto"/>
              </w:rPr>
              <w:t>(47,875)</w:t>
            </w:r>
          </w:p>
        </w:tc>
        <w:tc>
          <w:tcPr>
            <w:tcW w:w="1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20"/>
                <w:szCs w:val="20"/>
                <w:color w:val="auto"/>
              </w:rPr>
              <w:t>(42,306)</w:t>
            </w:r>
          </w:p>
        </w:tc>
        <w:tc>
          <w:tcPr>
            <w:tcW w:w="2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6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290,002</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16.2</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276,872</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Net sales by product line for the Building Materials business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gridSpan w:val="3"/>
          </w:tcPr>
          <w:p>
            <w:pPr>
              <w:jc w:val="center"/>
              <w:ind w:left="542"/>
              <w:spacing w:after="0"/>
              <w:rPr>
                <w:sz w:val="20"/>
                <w:szCs w:val="20"/>
                <w:color w:val="auto"/>
              </w:rPr>
            </w:pPr>
            <w:r>
              <w:rPr>
                <w:rFonts w:ascii="Arial" w:cs="Arial" w:eastAsia="Arial" w:hAnsi="Arial"/>
                <w:sz w:val="20"/>
                <w:szCs w:val="20"/>
                <w:color w:val="auto"/>
                <w:w w:val="89"/>
              </w:rPr>
              <w:t>Six Months Ended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5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20"/>
                <w:szCs w:val="20"/>
                <w:color w:val="auto"/>
                <w:w w:val="85"/>
              </w:rPr>
              <w:t>June 30,</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5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2017</w:t>
            </w: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w w:val="85"/>
              </w:rPr>
              <w:t>2016</w:t>
            </w:r>
          </w:p>
        </w:tc>
        <w:tc>
          <w:tcPr>
            <w:tcW w:w="120" w:type="dxa"/>
            <w:vAlign w:val="bottom"/>
          </w:tcPr>
          <w:p>
            <w:pPr>
              <w:spacing w:after="0"/>
              <w:rPr>
                <w:sz w:val="20"/>
                <w:szCs w:val="20"/>
                <w:color w:val="auto"/>
              </w:rPr>
            </w:pPr>
          </w:p>
        </w:tc>
      </w:tr>
      <w:tr>
        <w:trPr>
          <w:trHeight w:val="234"/>
        </w:trPr>
        <w:tc>
          <w:tcPr>
            <w:tcW w:w="5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4"/>
          </w:tcPr>
          <w:p>
            <w:pPr>
              <w:jc w:val="center"/>
              <w:ind w:right="262"/>
              <w:spacing w:after="0"/>
              <w:rPr>
                <w:sz w:val="20"/>
                <w:szCs w:val="20"/>
                <w:color w:val="auto"/>
              </w:rPr>
            </w:pPr>
            <w:r>
              <w:rPr>
                <w:rFonts w:ascii="Arial" w:cs="Arial" w:eastAsia="Arial" w:hAnsi="Arial"/>
                <w:sz w:val="20"/>
                <w:szCs w:val="20"/>
                <w:i w:val="1"/>
                <w:iCs w:val="1"/>
                <w:color w:val="auto"/>
                <w:w w:val="90"/>
              </w:rPr>
              <w:t>(Dollars in Thousands)</w:t>
            </w:r>
          </w:p>
        </w:tc>
        <w:tc>
          <w:tcPr>
            <w:tcW w:w="120" w:type="dxa"/>
            <w:vAlign w:val="bottom"/>
          </w:tcPr>
          <w:p>
            <w:pPr>
              <w:spacing w:after="0"/>
              <w:rPr>
                <w:sz w:val="20"/>
                <w:szCs w:val="20"/>
                <w:color w:val="auto"/>
              </w:rPr>
            </w:pPr>
          </w:p>
        </w:tc>
      </w:tr>
      <w:tr>
        <w:trPr>
          <w:trHeight w:val="241"/>
        </w:trPr>
        <w:tc>
          <w:tcPr>
            <w:tcW w:w="52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Net sales:</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1"/>
        </w:trPr>
        <w:tc>
          <w:tcPr>
            <w:tcW w:w="5260" w:type="dxa"/>
            <w:vAlign w:val="bottom"/>
          </w:tcPr>
          <w:p>
            <w:pPr>
              <w:ind w:left="260"/>
              <w:spacing w:after="0"/>
              <w:rPr>
                <w:sz w:val="20"/>
                <w:szCs w:val="20"/>
                <w:color w:val="auto"/>
              </w:rPr>
            </w:pPr>
            <w:r>
              <w:rPr>
                <w:rFonts w:ascii="Arial" w:cs="Arial" w:eastAsia="Arial" w:hAnsi="Arial"/>
                <w:sz w:val="20"/>
                <w:szCs w:val="20"/>
                <w:color w:val="auto"/>
              </w:rPr>
              <w:t>Aggregates</w:t>
            </w:r>
          </w:p>
        </w:tc>
        <w:tc>
          <w:tcPr>
            <w:tcW w:w="294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1,029,767</w:t>
            </w:r>
          </w:p>
        </w:tc>
        <w:tc>
          <w:tcPr>
            <w:tcW w:w="280" w:type="dxa"/>
            <w:vAlign w:val="bottom"/>
          </w:tcPr>
          <w:p>
            <w:pPr>
              <w:spacing w:after="0"/>
              <w:rPr>
                <w:sz w:val="20"/>
                <w:szCs w:val="20"/>
                <w:color w:val="auto"/>
              </w:rPr>
            </w:pPr>
          </w:p>
        </w:tc>
        <w:tc>
          <w:tcPr>
            <w:tcW w:w="600" w:type="dxa"/>
            <w:vAlign w:val="bottom"/>
          </w:tcPr>
          <w:p>
            <w:pPr>
              <w:jc w:val="right"/>
              <w:ind w:right="402"/>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978,153</w:t>
            </w:r>
          </w:p>
        </w:tc>
        <w:tc>
          <w:tcPr>
            <w:tcW w:w="120" w:type="dxa"/>
            <w:vAlign w:val="bottom"/>
          </w:tcPr>
          <w:p>
            <w:pPr>
              <w:spacing w:after="0"/>
              <w:rPr>
                <w:sz w:val="20"/>
                <w:szCs w:val="20"/>
                <w:color w:val="auto"/>
              </w:rPr>
            </w:pPr>
          </w:p>
        </w:tc>
      </w:tr>
      <w:tr>
        <w:trPr>
          <w:trHeight w:val="241"/>
        </w:trPr>
        <w:tc>
          <w:tcPr>
            <w:tcW w:w="5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Cement</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192,700</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184,300</w:t>
            </w:r>
          </w:p>
        </w:tc>
        <w:tc>
          <w:tcPr>
            <w:tcW w:w="120" w:type="dxa"/>
            <w:vAlign w:val="bottom"/>
            <w:shd w:val="clear" w:color="auto" w:fill="CFF0FC"/>
          </w:tcPr>
          <w:p>
            <w:pPr>
              <w:spacing w:after="0"/>
              <w:rPr>
                <w:sz w:val="20"/>
                <w:szCs w:val="20"/>
                <w:color w:val="auto"/>
              </w:rPr>
            </w:pPr>
          </w:p>
        </w:tc>
      </w:tr>
      <w:tr>
        <w:trPr>
          <w:trHeight w:val="241"/>
        </w:trPr>
        <w:tc>
          <w:tcPr>
            <w:tcW w:w="5260" w:type="dxa"/>
            <w:vAlign w:val="bottom"/>
          </w:tcPr>
          <w:p>
            <w:pPr>
              <w:ind w:left="260"/>
              <w:spacing w:after="0"/>
              <w:rPr>
                <w:sz w:val="20"/>
                <w:szCs w:val="20"/>
                <w:color w:val="auto"/>
              </w:rPr>
            </w:pPr>
            <w:r>
              <w:rPr>
                <w:rFonts w:ascii="Arial" w:cs="Arial" w:eastAsia="Arial" w:hAnsi="Arial"/>
                <w:sz w:val="20"/>
                <w:szCs w:val="20"/>
                <w:color w:val="auto"/>
              </w:rPr>
              <w:t>Ready Mixed Concrete</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464,275</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401,799</w:t>
            </w:r>
          </w:p>
        </w:tc>
        <w:tc>
          <w:tcPr>
            <w:tcW w:w="120" w:type="dxa"/>
            <w:vAlign w:val="bottom"/>
          </w:tcPr>
          <w:p>
            <w:pPr>
              <w:spacing w:after="0"/>
              <w:rPr>
                <w:sz w:val="20"/>
                <w:szCs w:val="20"/>
                <w:color w:val="auto"/>
              </w:rPr>
            </w:pPr>
          </w:p>
        </w:tc>
      </w:tr>
      <w:tr>
        <w:trPr>
          <w:trHeight w:val="241"/>
        </w:trPr>
        <w:tc>
          <w:tcPr>
            <w:tcW w:w="5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Asphalt and Paving</w:t>
            </w:r>
          </w:p>
        </w:tc>
        <w:tc>
          <w:tcPr>
            <w:tcW w:w="2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138,577</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101,918</w:t>
            </w:r>
          </w:p>
        </w:tc>
        <w:tc>
          <w:tcPr>
            <w:tcW w:w="120" w:type="dxa"/>
            <w:vAlign w:val="bottom"/>
            <w:shd w:val="clear" w:color="auto" w:fill="CFF0FC"/>
          </w:tcPr>
          <w:p>
            <w:pPr>
              <w:spacing w:after="0"/>
              <w:rPr>
                <w:sz w:val="20"/>
                <w:szCs w:val="20"/>
                <w:color w:val="auto"/>
              </w:rPr>
            </w:pPr>
          </w:p>
        </w:tc>
      </w:tr>
      <w:tr>
        <w:trPr>
          <w:trHeight w:val="241"/>
        </w:trPr>
        <w:tc>
          <w:tcPr>
            <w:tcW w:w="5260" w:type="dxa"/>
            <w:vAlign w:val="bottom"/>
          </w:tcPr>
          <w:p>
            <w:pPr>
              <w:ind w:left="260"/>
              <w:spacing w:after="0"/>
              <w:rPr>
                <w:sz w:val="20"/>
                <w:szCs w:val="20"/>
                <w:color w:val="auto"/>
              </w:rPr>
            </w:pPr>
            <w:r>
              <w:rPr>
                <w:rFonts w:ascii="Arial" w:cs="Arial" w:eastAsia="Arial" w:hAnsi="Arial"/>
                <w:sz w:val="20"/>
                <w:szCs w:val="20"/>
                <w:color w:val="auto"/>
              </w:rPr>
              <w:t>Less: Interproduct Sales</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(165,162)</w:t>
            </w:r>
          </w:p>
        </w:tc>
        <w:tc>
          <w:tcPr>
            <w:tcW w:w="6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rPr>
              <w:t>(135,145)</w:t>
            </w:r>
          </w:p>
        </w:tc>
      </w:tr>
      <w:tr>
        <w:trPr>
          <w:trHeight w:val="234"/>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5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1,660,157</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ind w:right="402"/>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1,531,025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volume and pricing data and shipments data for the aggregates product line.</w:t>
      </w:r>
    </w:p>
    <w:p>
      <w:pPr>
        <w:spacing w:after="0" w:line="319" w:lineRule="exact"/>
        <w:rPr>
          <w:sz w:val="20"/>
          <w:szCs w:val="20"/>
          <w:color w:val="auto"/>
        </w:rPr>
      </w:pPr>
    </w:p>
    <w:p>
      <w:pPr>
        <w:jc w:val="center"/>
        <w:ind w:left="7540"/>
        <w:spacing w:after="0"/>
        <w:rPr>
          <w:sz w:val="20"/>
          <w:szCs w:val="20"/>
          <w:color w:val="auto"/>
        </w:rPr>
      </w:pPr>
      <w:r>
        <w:rPr>
          <w:rFonts w:ascii="Arial" w:cs="Arial" w:eastAsia="Arial" w:hAnsi="Arial"/>
          <w:sz w:val="20"/>
          <w:szCs w:val="20"/>
          <w:color w:val="auto"/>
        </w:rPr>
        <w:t>Six Months Ended</w:t>
      </w:r>
    </w:p>
    <w:p>
      <w:pPr>
        <w:spacing w:after="0" w:line="19" w:lineRule="exact"/>
        <w:rPr>
          <w:sz w:val="20"/>
          <w:szCs w:val="20"/>
          <w:color w:val="auto"/>
        </w:rPr>
      </w:pPr>
    </w:p>
    <w:p>
      <w:pPr>
        <w:jc w:val="center"/>
        <w:ind w:left="7540"/>
        <w:spacing w:after="0"/>
        <w:rPr>
          <w:sz w:val="20"/>
          <w:szCs w:val="20"/>
          <w:color w:val="auto"/>
        </w:rPr>
      </w:pPr>
      <w:r>
        <w:rPr>
          <w:rFonts w:ascii="Arial" w:cs="Arial" w:eastAsia="Arial" w:hAnsi="Arial"/>
          <w:sz w:val="20"/>
          <w:szCs w:val="20"/>
          <w:color w:val="auto"/>
        </w:rPr>
        <w:t>June 30, 2017</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Borders>
              <w:bottom w:val="single" w:sz="8" w:color="CFF0FC"/>
            </w:tcBorders>
          </w:tcPr>
          <w:p>
            <w:pPr>
              <w:spacing w:after="0"/>
              <w:rPr>
                <w:sz w:val="20"/>
                <w:szCs w:val="20"/>
                <w:color w:val="auto"/>
              </w:rPr>
            </w:pPr>
          </w:p>
        </w:tc>
        <w:tc>
          <w:tcPr>
            <w:tcW w:w="12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20"/>
                <w:szCs w:val="20"/>
                <w:color w:val="auto"/>
              </w:rPr>
              <w:t>Volume</w:t>
            </w:r>
          </w:p>
        </w:tc>
        <w:tc>
          <w:tcPr>
            <w:tcW w:w="3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CFF0FC"/>
            </w:tcBorders>
          </w:tcPr>
          <w:p>
            <w:pPr>
              <w:spacing w:after="0"/>
              <w:rPr>
                <w:sz w:val="20"/>
                <w:szCs w:val="20"/>
                <w:color w:val="auto"/>
              </w:rPr>
            </w:pPr>
          </w:p>
        </w:tc>
        <w:tc>
          <w:tcPr>
            <w:tcW w:w="15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20"/>
                <w:szCs w:val="20"/>
                <w:color w:val="auto"/>
              </w:rPr>
              <w:t>Pricing</w:t>
            </w:r>
          </w:p>
        </w:tc>
        <w:tc>
          <w:tcPr>
            <w:tcW w:w="180" w:type="dxa"/>
            <w:vAlign w:val="bottom"/>
            <w:tcBorders>
              <w:bottom w:val="single" w:sz="8" w:color="CFF0FC"/>
            </w:tcBorders>
          </w:tcPr>
          <w:p>
            <w:pPr>
              <w:spacing w:after="0"/>
              <w:rPr>
                <w:sz w:val="20"/>
                <w:szCs w:val="20"/>
                <w:color w:val="auto"/>
              </w:rPr>
            </w:pPr>
          </w:p>
        </w:tc>
      </w:tr>
      <w:tr>
        <w:trPr>
          <w:trHeight w:val="234"/>
        </w:trPr>
        <w:tc>
          <w:tcPr>
            <w:tcW w:w="77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1"/>
        </w:trPr>
        <w:tc>
          <w:tcPr>
            <w:tcW w:w="8940" w:type="dxa"/>
            <w:vAlign w:val="bottom"/>
            <w:gridSpan w:val="2"/>
          </w:tcPr>
          <w:p>
            <w:pPr>
              <w:ind w:left="260"/>
              <w:spacing w:after="0"/>
              <w:rPr>
                <w:sz w:val="20"/>
                <w:szCs w:val="20"/>
                <w:color w:val="auto"/>
              </w:rPr>
            </w:pPr>
            <w:r>
              <w:rPr>
                <w:rFonts w:ascii="Arial" w:cs="Arial" w:eastAsia="Arial" w:hAnsi="Arial"/>
                <w:sz w:val="20"/>
                <w:szCs w:val="20"/>
                <w:color w:val="auto"/>
              </w:rPr>
              <w:t>Mid-America Group</w:t>
            </w:r>
          </w:p>
        </w:tc>
        <w:tc>
          <w:tcPr>
            <w:tcW w:w="720" w:type="dxa"/>
            <w:vAlign w:val="bottom"/>
            <w:gridSpan w:val="2"/>
          </w:tcPr>
          <w:p>
            <w:pPr>
              <w:jc w:val="right"/>
              <w:ind w:right="180"/>
              <w:spacing w:after="0"/>
              <w:rPr>
                <w:sz w:val="20"/>
                <w:szCs w:val="20"/>
                <w:color w:val="auto"/>
              </w:rPr>
            </w:pPr>
            <w:r>
              <w:rPr>
                <w:rFonts w:ascii="Arial" w:cs="Arial" w:eastAsia="Arial" w:hAnsi="Arial"/>
                <w:sz w:val="20"/>
                <w:szCs w:val="20"/>
                <w:color w:val="auto"/>
              </w:rPr>
              <w:t>0.6%</w:t>
            </w:r>
          </w:p>
        </w:tc>
        <w:tc>
          <w:tcPr>
            <w:tcW w:w="1760" w:type="dxa"/>
            <w:vAlign w:val="bottom"/>
            <w:gridSpan w:val="2"/>
          </w:tcPr>
          <w:p>
            <w:pPr>
              <w:jc w:val="right"/>
              <w:ind w:right="20"/>
              <w:spacing w:after="0"/>
              <w:rPr>
                <w:sz w:val="20"/>
                <w:szCs w:val="20"/>
                <w:color w:val="auto"/>
              </w:rPr>
            </w:pPr>
            <w:r>
              <w:rPr>
                <w:rFonts w:ascii="Arial" w:cs="Arial" w:eastAsia="Arial" w:hAnsi="Arial"/>
                <w:sz w:val="20"/>
                <w:szCs w:val="20"/>
                <w:color w:val="auto"/>
              </w:rPr>
              <w:t>3.2%</w:t>
            </w:r>
          </w:p>
        </w:tc>
      </w:tr>
      <w:tr>
        <w:trPr>
          <w:trHeight w:val="241"/>
        </w:trPr>
        <w:tc>
          <w:tcPr>
            <w:tcW w:w="894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5.5%</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10.5%</w:t>
            </w:r>
          </w:p>
        </w:tc>
      </w:tr>
      <w:tr>
        <w:trPr>
          <w:trHeight w:val="241"/>
        </w:trPr>
        <w:tc>
          <w:tcPr>
            <w:tcW w:w="8940" w:type="dxa"/>
            <w:vAlign w:val="bottom"/>
            <w:gridSpan w:val="2"/>
          </w:tcPr>
          <w:p>
            <w:pPr>
              <w:ind w:left="260"/>
              <w:spacing w:after="0"/>
              <w:rPr>
                <w:sz w:val="20"/>
                <w:szCs w:val="20"/>
                <w:color w:val="auto"/>
              </w:rPr>
            </w:pPr>
            <w:r>
              <w:rPr>
                <w:rFonts w:ascii="Arial" w:cs="Arial" w:eastAsia="Arial" w:hAnsi="Arial"/>
                <w:sz w:val="20"/>
                <w:szCs w:val="20"/>
                <w:color w:val="auto"/>
              </w:rPr>
              <w:t>West Group</w:t>
            </w:r>
          </w:p>
        </w:tc>
        <w:tc>
          <w:tcPr>
            <w:tcW w:w="720" w:type="dxa"/>
            <w:vAlign w:val="bottom"/>
            <w:gridSpan w:val="2"/>
          </w:tcPr>
          <w:p>
            <w:pPr>
              <w:jc w:val="right"/>
              <w:ind w:right="180"/>
              <w:spacing w:after="0"/>
              <w:rPr>
                <w:sz w:val="20"/>
                <w:szCs w:val="20"/>
                <w:color w:val="auto"/>
              </w:rPr>
            </w:pPr>
            <w:r>
              <w:rPr>
                <w:rFonts w:ascii="Arial" w:cs="Arial" w:eastAsia="Arial" w:hAnsi="Arial"/>
                <w:sz w:val="20"/>
                <w:szCs w:val="20"/>
                <w:color w:val="auto"/>
              </w:rPr>
              <w:t>0.1%</w:t>
            </w:r>
          </w:p>
        </w:tc>
        <w:tc>
          <w:tcPr>
            <w:tcW w:w="1760" w:type="dxa"/>
            <w:vAlign w:val="bottom"/>
            <w:gridSpan w:val="2"/>
          </w:tcPr>
          <w:p>
            <w:pPr>
              <w:jc w:val="right"/>
              <w:ind w:right="20"/>
              <w:spacing w:after="0"/>
              <w:rPr>
                <w:sz w:val="20"/>
                <w:szCs w:val="20"/>
                <w:color w:val="auto"/>
              </w:rPr>
            </w:pPr>
            <w:r>
              <w:rPr>
                <w:rFonts w:ascii="Arial" w:cs="Arial" w:eastAsia="Arial" w:hAnsi="Arial"/>
                <w:sz w:val="20"/>
                <w:szCs w:val="20"/>
                <w:color w:val="auto"/>
              </w:rPr>
              <w:t>3.0%</w:t>
            </w:r>
          </w:p>
        </w:tc>
      </w:tr>
      <w:tr>
        <w:trPr>
          <w:trHeight w:val="241"/>
        </w:trPr>
        <w:tc>
          <w:tcPr>
            <w:tcW w:w="8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Product Line</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1.0%</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4.4%</w:t>
            </w:r>
          </w:p>
        </w:tc>
      </w:tr>
    </w:tbl>
    <w:p>
      <w:pPr>
        <w:spacing w:after="0" w:line="90" w:lineRule="exact"/>
        <w:rPr>
          <w:sz w:val="20"/>
          <w:szCs w:val="20"/>
          <w:color w:val="auto"/>
        </w:rPr>
      </w:pPr>
    </w:p>
    <w:p>
      <w:pPr>
        <w:ind w:left="260" w:hanging="253"/>
        <w:spacing w:after="0"/>
        <w:tabs>
          <w:tab w:leader="none" w:pos="260" w:val="left"/>
        </w:tabs>
        <w:numPr>
          <w:ilvl w:val="0"/>
          <w:numId w:val="25"/>
        </w:numPr>
        <w:rPr>
          <w:rFonts w:ascii="Arial" w:cs="Arial" w:eastAsia="Arial" w:hAnsi="Arial"/>
          <w:sz w:val="17"/>
          <w:szCs w:val="17"/>
          <w:i w:val="1"/>
          <w:iCs w:val="1"/>
          <w:color w:val="auto"/>
        </w:rPr>
      </w:pPr>
      <w:r>
        <w:rPr>
          <w:rFonts w:ascii="Arial" w:cs="Arial" w:eastAsia="Arial" w:hAnsi="Arial"/>
          <w:sz w:val="20"/>
          <w:szCs w:val="20"/>
          <w:i w:val="1"/>
          <w:iCs w:val="1"/>
          <w:color w:val="auto"/>
        </w:rPr>
        <w:t>Volume/pricing variances reflect the percentage increase/(decrease) from the comparable period in the prior year.</w:t>
      </w:r>
    </w:p>
    <w:p>
      <w:pPr>
        <w:spacing w:after="0" w:line="225"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Six Months Ended</w:t>
      </w:r>
    </w:p>
    <w:p>
      <w:pPr>
        <w:spacing w:after="0" w:line="19"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1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2016</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7880" w:type="dxa"/>
            <w:vAlign w:val="bottom"/>
          </w:tcPr>
          <w:p>
            <w:pPr>
              <w:spacing w:after="0"/>
              <w:rPr>
                <w:sz w:val="20"/>
                <w:szCs w:val="20"/>
                <w:color w:val="auto"/>
              </w:rPr>
            </w:pPr>
          </w:p>
        </w:tc>
        <w:tc>
          <w:tcPr>
            <w:tcW w:w="2840" w:type="dxa"/>
            <w:vAlign w:val="bottom"/>
            <w:gridSpan w:val="4"/>
          </w:tcPr>
          <w:p>
            <w:pPr>
              <w:jc w:val="right"/>
              <w:ind w:right="340"/>
              <w:spacing w:after="0"/>
              <w:rPr>
                <w:sz w:val="20"/>
                <w:szCs w:val="20"/>
                <w:color w:val="auto"/>
              </w:rPr>
            </w:pPr>
            <w:r>
              <w:rPr>
                <w:rFonts w:ascii="Arial" w:cs="Arial" w:eastAsia="Arial" w:hAnsi="Arial"/>
                <w:sz w:val="20"/>
                <w:szCs w:val="20"/>
                <w:i w:val="1"/>
                <w:iCs w:val="1"/>
                <w:color w:val="auto"/>
              </w:rPr>
              <w:t>(Tons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8860" w:type="dxa"/>
            <w:vAlign w:val="bottom"/>
            <w:gridSpan w:val="2"/>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1"/>
        </w:trPr>
        <w:tc>
          <w:tcPr>
            <w:tcW w:w="8860" w:type="dxa"/>
            <w:vAlign w:val="bottom"/>
            <w:gridSpan w:val="2"/>
          </w:tcPr>
          <w:p>
            <w:pPr>
              <w:ind w:left="260"/>
              <w:spacing w:after="0"/>
              <w:rPr>
                <w:sz w:val="20"/>
                <w:szCs w:val="20"/>
                <w:color w:val="auto"/>
              </w:rPr>
            </w:pPr>
            <w:r>
              <w:rPr>
                <w:rFonts w:ascii="Arial" w:cs="Arial" w:eastAsia="Arial" w:hAnsi="Arial"/>
                <w:sz w:val="20"/>
                <w:szCs w:val="20"/>
                <w:color w:val="auto"/>
              </w:rPr>
              <w:t>Mid-America Group</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33,251</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8"/>
              </w:rPr>
              <w:t>33,054</w:t>
            </w:r>
          </w:p>
        </w:tc>
        <w:tc>
          <w:tcPr>
            <w:tcW w:w="120" w:type="dxa"/>
            <w:vAlign w:val="bottom"/>
          </w:tcPr>
          <w:p>
            <w:pPr>
              <w:spacing w:after="0"/>
              <w:rPr>
                <w:sz w:val="20"/>
                <w:szCs w:val="20"/>
                <w:color w:val="auto"/>
              </w:rPr>
            </w:pPr>
          </w:p>
        </w:tc>
      </w:tr>
      <w:tr>
        <w:trPr>
          <w:trHeight w:val="241"/>
        </w:trPr>
        <w:tc>
          <w:tcPr>
            <w:tcW w:w="88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10,231</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9,693</w:t>
            </w:r>
          </w:p>
        </w:tc>
        <w:tc>
          <w:tcPr>
            <w:tcW w:w="120" w:type="dxa"/>
            <w:vAlign w:val="bottom"/>
            <w:shd w:val="clear" w:color="auto" w:fill="CFF0FC"/>
          </w:tcPr>
          <w:p>
            <w:pPr>
              <w:spacing w:after="0"/>
              <w:rPr>
                <w:sz w:val="20"/>
                <w:szCs w:val="20"/>
                <w:color w:val="auto"/>
              </w:rPr>
            </w:pPr>
          </w:p>
        </w:tc>
      </w:tr>
      <w:tr>
        <w:trPr>
          <w:trHeight w:val="241"/>
        </w:trPr>
        <w:tc>
          <w:tcPr>
            <w:tcW w:w="8860" w:type="dxa"/>
            <w:vAlign w:val="bottom"/>
            <w:gridSpan w:val="2"/>
          </w:tcPr>
          <w:p>
            <w:pPr>
              <w:ind w:left="260"/>
              <w:spacing w:after="0"/>
              <w:rPr>
                <w:sz w:val="20"/>
                <w:szCs w:val="20"/>
                <w:color w:val="auto"/>
              </w:rPr>
            </w:pPr>
            <w:r>
              <w:rPr>
                <w:rFonts w:ascii="Arial" w:cs="Arial" w:eastAsia="Arial" w:hAnsi="Arial"/>
                <w:sz w:val="20"/>
                <w:szCs w:val="20"/>
                <w:color w:val="auto"/>
              </w:rPr>
              <w:t>West Group</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32,552</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8"/>
              </w:rPr>
              <w:t>32,515</w:t>
            </w:r>
          </w:p>
        </w:tc>
        <w:tc>
          <w:tcPr>
            <w:tcW w:w="120" w:type="dxa"/>
            <w:vAlign w:val="bottom"/>
          </w:tcPr>
          <w:p>
            <w:pPr>
              <w:spacing w:after="0"/>
              <w:rPr>
                <w:sz w:val="20"/>
                <w:szCs w:val="20"/>
                <w:color w:val="auto"/>
              </w:rPr>
            </w:pPr>
          </w:p>
        </w:tc>
      </w:tr>
      <w:tr>
        <w:trPr>
          <w:trHeight w:val="234"/>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Aggregates Product Line</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76,034</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75,262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720" w:type="dxa"/>
            <w:vAlign w:val="bottom"/>
            <w:gridSpan w:val="2"/>
          </w:tcPr>
          <w:p>
            <w:pPr>
              <w:spacing w:after="0"/>
              <w:rPr>
                <w:sz w:val="20"/>
                <w:szCs w:val="20"/>
                <w:color w:val="auto"/>
              </w:rPr>
            </w:pPr>
            <w:r>
              <w:rPr>
                <w:rFonts w:ascii="Arial" w:cs="Arial" w:eastAsia="Arial" w:hAnsi="Arial"/>
                <w:sz w:val="20"/>
                <w:szCs w:val="20"/>
                <w:color w:val="auto"/>
              </w:rPr>
              <w:t>Unit shipments by product line for the Company is as follows:</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gridSpan w:val="7"/>
          </w:tcPr>
          <w:p>
            <w:pPr>
              <w:jc w:val="center"/>
              <w:ind w:right="260"/>
              <w:spacing w:after="0"/>
              <w:rPr>
                <w:sz w:val="20"/>
                <w:szCs w:val="20"/>
                <w:color w:val="auto"/>
              </w:rPr>
            </w:pPr>
            <w:r>
              <w:rPr>
                <w:rFonts w:ascii="Arial" w:cs="Arial" w:eastAsia="Arial" w:hAnsi="Arial"/>
                <w:sz w:val="20"/>
                <w:szCs w:val="20"/>
                <w:color w:val="auto"/>
                <w:w w:val="89"/>
              </w:rPr>
              <w:t>Six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center"/>
              <w:ind w:left="1122"/>
              <w:spacing w:after="0"/>
              <w:rPr>
                <w:sz w:val="20"/>
                <w:szCs w:val="20"/>
                <w:color w:val="auto"/>
              </w:rPr>
            </w:pPr>
            <w:r>
              <w:rPr>
                <w:rFonts w:ascii="Arial" w:cs="Arial" w:eastAsia="Arial" w:hAnsi="Arial"/>
                <w:sz w:val="20"/>
                <w:szCs w:val="20"/>
                <w:color w:val="auto"/>
                <w:w w:val="83"/>
              </w:rPr>
              <w:t>June 30,</w:t>
            </w:r>
          </w:p>
        </w:tc>
        <w:tc>
          <w:tcPr>
            <w:tcW w:w="13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2017</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color w:val="auto"/>
              </w:rPr>
              <w:t>2016</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6"/>
          </w:tcPr>
          <w:p>
            <w:pPr>
              <w:jc w:val="center"/>
              <w:ind w:right="160"/>
              <w:spacing w:after="0"/>
              <w:rPr>
                <w:sz w:val="20"/>
                <w:szCs w:val="20"/>
                <w:color w:val="auto"/>
              </w:rPr>
            </w:pPr>
            <w:r>
              <w:rPr>
                <w:rFonts w:ascii="Arial" w:cs="Arial" w:eastAsia="Arial" w:hAnsi="Arial"/>
                <w:sz w:val="20"/>
                <w:szCs w:val="20"/>
                <w:i w:val="1"/>
                <w:iCs w:val="1"/>
                <w:color w:val="auto"/>
                <w:w w:val="87"/>
              </w:rPr>
              <w:t>(Tons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20"/>
                <w:szCs w:val="20"/>
                <w:color w:val="auto"/>
              </w:rPr>
              <w:t>Aggregates Product Line (in thousands):</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70,829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70,655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20" w:type="dxa"/>
            <w:vAlign w:val="bottom"/>
            <w:tcBorders>
              <w:bottom w:val="single" w:sz="8" w:color="CFF0FC"/>
            </w:tcBorders>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62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5,205</w:t>
            </w: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4,607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aggregates tons</w:t>
            </w:r>
          </w:p>
        </w:tc>
        <w:tc>
          <w:tcPr>
            <w:tcW w:w="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76,034</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75,262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restart"/>
          </w:tcPr>
          <w:p>
            <w:pPr>
              <w:spacing w:after="0"/>
              <w:rPr>
                <w:sz w:val="19"/>
                <w:szCs w:val="19"/>
                <w:color w:val="auto"/>
              </w:rPr>
            </w:pPr>
          </w:p>
        </w:tc>
        <w:tc>
          <w:tcPr>
            <w:tcW w:w="5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Cement (in thousands):</w:t>
            </w:r>
          </w:p>
        </w:tc>
        <w:tc>
          <w:tcPr>
            <w:tcW w:w="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Tons to external customers</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1,226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20"/>
                <w:szCs w:val="20"/>
                <w:color w:val="auto"/>
              </w:rPr>
              <w:t>1,263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Internal tons used in ready mixed concrete</w:t>
            </w:r>
          </w:p>
        </w:tc>
        <w:tc>
          <w:tcPr>
            <w:tcW w:w="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720" w:type="dxa"/>
            <w:vAlign w:val="bottom"/>
            <w:gridSpan w:val="2"/>
          </w:tcPr>
          <w:p>
            <w:pPr>
              <w:spacing w:after="0"/>
              <w:rPr>
                <w:sz w:val="20"/>
                <w:szCs w:val="20"/>
                <w:color w:val="auto"/>
              </w:rPr>
            </w:pPr>
            <w:r>
              <w:rPr>
                <w:rFonts w:ascii="Arial" w:cs="Arial" w:eastAsia="Arial" w:hAnsi="Arial"/>
                <w:sz w:val="20"/>
                <w:szCs w:val="20"/>
                <w:color w:val="auto"/>
              </w:rPr>
              <w:t>Total cement tons</w:t>
            </w:r>
          </w:p>
        </w:tc>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1,811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7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20" w:type="dxa"/>
            <w:vAlign w:val="bottom"/>
            <w:vMerge w:val="continue"/>
          </w:tcPr>
          <w:p>
            <w:pPr>
              <w:spacing w:after="0"/>
              <w:rPr>
                <w:sz w:val="24"/>
                <w:szCs w:val="24"/>
                <w:color w:val="auto"/>
              </w:rPr>
            </w:pPr>
          </w:p>
        </w:tc>
        <w:tc>
          <w:tcPr>
            <w:tcW w:w="57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Ready Mixed Concrete (in thousands of cubic yards)</w:t>
            </w:r>
          </w:p>
        </w:tc>
        <w:tc>
          <w:tcPr>
            <w:tcW w:w="20" w:type="dxa"/>
            <w:vAlign w:val="bottom"/>
            <w:tcBorders>
              <w:bottom w:val="single" w:sz="8" w:color="CFF0FC"/>
            </w:tcBorders>
          </w:tcPr>
          <w:p>
            <w:pPr>
              <w:spacing w:after="0"/>
              <w:rPr>
                <w:sz w:val="24"/>
                <w:szCs w:val="24"/>
                <w:color w:val="auto"/>
              </w:rPr>
            </w:pPr>
          </w:p>
        </w:tc>
        <w:tc>
          <w:tcPr>
            <w:tcW w:w="1120" w:type="dxa"/>
            <w:vAlign w:val="bottom"/>
            <w:tcBorders>
              <w:bottom w:val="single" w:sz="8" w:color="CFF0FC"/>
            </w:tcBorders>
          </w:tcPr>
          <w:p>
            <w:pPr>
              <w:spacing w:after="0"/>
              <w:rPr>
                <w:sz w:val="24"/>
                <w:szCs w:val="24"/>
                <w:color w:val="auto"/>
              </w:rPr>
            </w:pPr>
          </w:p>
        </w:tc>
        <w:tc>
          <w:tcPr>
            <w:tcW w:w="62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4,282</w:t>
            </w:r>
          </w:p>
        </w:tc>
        <w:tc>
          <w:tcPr>
            <w:tcW w:w="10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3,783</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20"/>
                <w:szCs w:val="20"/>
                <w:color w:val="auto"/>
              </w:rPr>
              <w:t>Asphalt (in thousands):</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343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Internal tons used in paving business</w:t>
            </w:r>
          </w:p>
        </w:tc>
        <w:tc>
          <w:tcPr>
            <w:tcW w:w="20" w:type="dxa"/>
            <w:vAlign w:val="bottom"/>
            <w:tcBorders>
              <w:bottom w:val="single" w:sz="8" w:color="CFF0FC"/>
            </w:tcBorders>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62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786</w:t>
            </w: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649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asphalt tons</w:t>
            </w:r>
          </w:p>
        </w:tc>
        <w:tc>
          <w:tcPr>
            <w:tcW w:w="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1,264</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992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20"/>
                <w:szCs w:val="20"/>
                <w:color w:val="auto"/>
                <w:w w:val="90"/>
              </w:rPr>
              <w:t>Average selling prices by product line for the Company were as follows:</w:t>
            </w: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gridSpan w:val="7"/>
          </w:tcPr>
          <w:p>
            <w:pPr>
              <w:jc w:val="center"/>
              <w:ind w:right="460"/>
              <w:spacing w:after="0"/>
              <w:rPr>
                <w:sz w:val="20"/>
                <w:szCs w:val="20"/>
                <w:color w:val="auto"/>
              </w:rPr>
            </w:pPr>
            <w:r>
              <w:rPr>
                <w:rFonts w:ascii="Arial" w:cs="Arial" w:eastAsia="Arial" w:hAnsi="Arial"/>
                <w:sz w:val="20"/>
                <w:szCs w:val="20"/>
                <w:color w:val="auto"/>
                <w:w w:val="89"/>
              </w:rPr>
              <w:t>Six Months Ended</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center"/>
              <w:ind w:right="980"/>
              <w:spacing w:after="0"/>
              <w:rPr>
                <w:sz w:val="20"/>
                <w:szCs w:val="20"/>
                <w:color w:val="auto"/>
              </w:rPr>
            </w:pPr>
            <w:r>
              <w:rPr>
                <w:rFonts w:ascii="Arial" w:cs="Arial" w:eastAsia="Arial" w:hAnsi="Arial"/>
                <w:sz w:val="20"/>
                <w:szCs w:val="20"/>
                <w:color w:val="auto"/>
                <w:w w:val="83"/>
              </w:rPr>
              <w:t>June 30,</w:t>
            </w:r>
          </w:p>
        </w:tc>
        <w:tc>
          <w:tcPr>
            <w:tcW w:w="13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color w:val="auto"/>
              </w:rPr>
              <w:t>2016</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 Change</w:t>
            </w:r>
          </w:p>
        </w:tc>
        <w:tc>
          <w:tcPr>
            <w:tcW w:w="180" w:type="dxa"/>
            <w:vAlign w:val="bottom"/>
            <w:tcBorders>
              <w:bottom w:val="single" w:sz="8" w:color="CFF0F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2"/>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13.45</w:t>
            </w:r>
          </w:p>
        </w:tc>
        <w:tc>
          <w:tcPr>
            <w:tcW w:w="3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w w:val="71"/>
              </w:rPr>
              <w:t>$</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12.88</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20"/>
                <w:szCs w:val="20"/>
                <w:color w:val="auto"/>
              </w:rPr>
              <w:t>Cement (per ton)</w:t>
            </w:r>
          </w:p>
        </w:tc>
        <w:tc>
          <w:tcPr>
            <w:tcW w:w="1140" w:type="dxa"/>
            <w:vAlign w:val="bottom"/>
            <w:gridSpan w:val="2"/>
          </w:tcPr>
          <w:p>
            <w:pPr>
              <w:jc w:val="right"/>
              <w:ind w:right="922"/>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8"/>
              </w:rPr>
              <w:t>104.44</w:t>
            </w:r>
          </w:p>
        </w:tc>
        <w:tc>
          <w:tcPr>
            <w:tcW w:w="5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100.51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1140" w:type="dxa"/>
            <w:vAlign w:val="bottom"/>
            <w:gridSpan w:val="2"/>
            <w:shd w:val="clear" w:color="auto" w:fill="CFF0FC"/>
          </w:tcPr>
          <w:p>
            <w:pPr>
              <w:jc w:val="right"/>
              <w:ind w:right="922"/>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8"/>
              </w:rPr>
              <w:t>106.39</w:t>
            </w: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103.99</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20"/>
                <w:szCs w:val="20"/>
                <w:color w:val="auto"/>
              </w:rPr>
              <w:t>Asphalt (per ton)</w:t>
            </w:r>
          </w:p>
        </w:tc>
        <w:tc>
          <w:tcPr>
            <w:tcW w:w="1140" w:type="dxa"/>
            <w:vAlign w:val="bottom"/>
            <w:gridSpan w:val="2"/>
          </w:tcPr>
          <w:p>
            <w:pPr>
              <w:jc w:val="right"/>
              <w:ind w:right="922"/>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41.49</w:t>
            </w:r>
          </w:p>
        </w:tc>
        <w:tc>
          <w:tcPr>
            <w:tcW w:w="5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spacing w:after="0"/>
              <w:rPr>
                <w:sz w:val="20"/>
                <w:szCs w:val="20"/>
                <w:color w:val="auto"/>
              </w:rPr>
            </w:pPr>
            <w:r>
              <w:rPr>
                <w:rFonts w:ascii="Arial" w:cs="Arial" w:eastAsia="Arial" w:hAnsi="Arial"/>
                <w:sz w:val="20"/>
                <w:szCs w:val="20"/>
                <w:color w:val="auto"/>
              </w:rPr>
              <w:t>38.89</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For the first six months of 2017, Magnesia Specialties reported net sales of $127.8 million, an 8% increase compared with the prior-year period. Earnings from operations were $41.0 million compared with $39.9 million. Production cost increases outpaced net sales growth due to higher natural gas prices and planned and unplanned maintenance costs at the Woodville and Manistee plants.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Consolidated gross margin (excluding freight and delivery revenues) was 23.6% for 2017 versus 23.8% for 2016. The following presents a rollforward of the Company’s gross profit (dollars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Consolidated gross profit, six months ended June 30, 2016</w:t>
            </w:r>
          </w:p>
        </w:tc>
        <w:tc>
          <w:tcPr>
            <w:tcW w:w="16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392,681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20" w:type="dxa"/>
            <w:vAlign w:val="bottom"/>
            <w:gridSpan w:val="3"/>
          </w:tcPr>
          <w:p>
            <w:pPr>
              <w:spacing w:after="0"/>
              <w:rPr>
                <w:sz w:val="20"/>
                <w:szCs w:val="20"/>
                <w:color w:val="auto"/>
              </w:rPr>
            </w:pPr>
            <w:r>
              <w:rPr>
                <w:rFonts w:ascii="Arial" w:cs="Arial" w:eastAsia="Arial" w:hAnsi="Arial"/>
                <w:sz w:val="20"/>
                <w:szCs w:val="20"/>
                <w:color w:val="auto"/>
              </w:rPr>
              <w:t>Aggregates product line:</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Volume</w:t>
            </w:r>
          </w:p>
        </w:tc>
        <w:tc>
          <w:tcPr>
            <w:tcW w:w="16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9,815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gridSpan w:val="2"/>
          </w:tcPr>
          <w:p>
            <w:pPr>
              <w:ind w:left="240"/>
              <w:spacing w:after="0"/>
              <w:rPr>
                <w:sz w:val="20"/>
                <w:szCs w:val="20"/>
                <w:color w:val="auto"/>
              </w:rPr>
            </w:pPr>
            <w:r>
              <w:rPr>
                <w:rFonts w:ascii="Arial" w:cs="Arial" w:eastAsia="Arial" w:hAnsi="Arial"/>
                <w:sz w:val="20"/>
                <w:szCs w:val="20"/>
                <w:color w:val="auto"/>
              </w:rPr>
              <w:t>Pricing</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20"/>
                <w:szCs w:val="20"/>
                <w:color w:val="auto"/>
              </w:rPr>
              <w:t>43,252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Cost increases, net</w:t>
            </w:r>
          </w:p>
        </w:tc>
        <w:tc>
          <w:tcPr>
            <w:tcW w:w="16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(47,382)</w:t>
            </w:r>
          </w:p>
        </w:tc>
        <w:tc>
          <w:tcPr>
            <w:tcW w:w="0" w:type="dxa"/>
            <w:vAlign w:val="bottom"/>
          </w:tcPr>
          <w:p>
            <w:pPr>
              <w:spacing w:after="0"/>
              <w:rPr>
                <w:sz w:val="1"/>
                <w:szCs w:val="1"/>
                <w:color w:val="auto"/>
              </w:rPr>
            </w:pPr>
          </w:p>
        </w:tc>
      </w:tr>
      <w:tr>
        <w:trPr>
          <w:trHeight w:val="234"/>
        </w:trPr>
        <w:tc>
          <w:tcPr>
            <w:tcW w:w="6220" w:type="dxa"/>
            <w:vAlign w:val="bottom"/>
            <w:gridSpan w:val="3"/>
          </w:tcPr>
          <w:p>
            <w:pPr>
              <w:spacing w:after="0"/>
              <w:rPr>
                <w:sz w:val="20"/>
                <w:szCs w:val="20"/>
                <w:color w:val="auto"/>
              </w:rPr>
            </w:pPr>
            <w:r>
              <w:rPr>
                <w:rFonts w:ascii="Arial" w:cs="Arial" w:eastAsia="Arial" w:hAnsi="Arial"/>
                <w:sz w:val="20"/>
                <w:szCs w:val="20"/>
                <w:color w:val="auto"/>
              </w:rPr>
              <w:t>Change in aggregates product line gross profit</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Vertically-integrated product lines</w:t>
            </w:r>
          </w:p>
        </w:tc>
        <w:tc>
          <w:tcPr>
            <w:tcW w:w="16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16,127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gridSpan w:val="2"/>
          </w:tcPr>
          <w:p>
            <w:pPr>
              <w:spacing w:after="0"/>
              <w:rPr>
                <w:sz w:val="20"/>
                <w:szCs w:val="20"/>
                <w:color w:val="auto"/>
              </w:rPr>
            </w:pPr>
            <w:r>
              <w:rPr>
                <w:rFonts w:ascii="Arial" w:cs="Arial" w:eastAsia="Arial" w:hAnsi="Arial"/>
                <w:sz w:val="20"/>
                <w:szCs w:val="20"/>
                <w:color w:val="auto"/>
              </w:rPr>
              <w:t>Magnesia Specialties</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20"/>
                <w:szCs w:val="20"/>
                <w:color w:val="auto"/>
              </w:rPr>
              <w:t>1,221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Corporate</w:t>
            </w:r>
          </w:p>
        </w:tc>
        <w:tc>
          <w:tcPr>
            <w:tcW w:w="16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5,446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20" w:type="dxa"/>
            <w:vAlign w:val="bottom"/>
            <w:gridSpan w:val="3"/>
          </w:tcPr>
          <w:p>
            <w:pPr>
              <w:spacing w:after="0"/>
              <w:rPr>
                <w:sz w:val="20"/>
                <w:szCs w:val="20"/>
                <w:color w:val="auto"/>
              </w:rPr>
            </w:pPr>
            <w:r>
              <w:rPr>
                <w:rFonts w:ascii="Arial" w:cs="Arial" w:eastAsia="Arial" w:hAnsi="Arial"/>
                <w:sz w:val="20"/>
                <w:szCs w:val="20"/>
                <w:color w:val="auto"/>
              </w:rPr>
              <w:t>Change in consolidated gross profit</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20"/>
                <w:szCs w:val="20"/>
                <w:color w:val="auto"/>
              </w:rPr>
              <w:t>28,479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Consolidated gross profit, six months ended June 30, 2017</w:t>
            </w:r>
          </w:p>
        </w:tc>
        <w:tc>
          <w:tcPr>
            <w:tcW w:w="162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20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20"/>
                <w:szCs w:val="20"/>
                <w:color w:val="auto"/>
                <w:w w:val="71"/>
              </w:rPr>
              <w:t>$</w:t>
            </w:r>
          </w:p>
        </w:tc>
        <w:tc>
          <w:tcPr>
            <w:tcW w:w="6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421,160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20"/>
                <w:szCs w:val="20"/>
                <w:color w:val="auto"/>
              </w:rPr>
              <w:t>Gross profit (loss) by business is as follows:</w:t>
            </w: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2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4"/>
          </w:tcPr>
          <w:p>
            <w:pPr>
              <w:jc w:val="center"/>
              <w:ind w:left="542"/>
              <w:spacing w:after="0"/>
              <w:rPr>
                <w:sz w:val="20"/>
                <w:szCs w:val="20"/>
                <w:color w:val="auto"/>
              </w:rPr>
            </w:pPr>
            <w:r>
              <w:rPr>
                <w:rFonts w:ascii="Arial" w:cs="Arial" w:eastAsia="Arial" w:hAnsi="Arial"/>
                <w:sz w:val="20"/>
                <w:szCs w:val="20"/>
                <w:color w:val="auto"/>
                <w:w w:val="89"/>
              </w:rPr>
              <w:t>Six Months Ended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20"/>
                <w:szCs w:val="20"/>
                <w:color w:val="auto"/>
                <w:w w:val="85"/>
              </w:rPr>
              <w:t>June 30,</w:t>
            </w: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color w:val="auto"/>
              </w:rPr>
              <w:t>2017</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w w:val="85"/>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5"/>
          </w:tcPr>
          <w:p>
            <w:pPr>
              <w:jc w:val="center"/>
              <w:ind w:right="262"/>
              <w:spacing w:after="0"/>
              <w:rPr>
                <w:sz w:val="20"/>
                <w:szCs w:val="20"/>
                <w:color w:val="auto"/>
              </w:rPr>
            </w:pPr>
            <w:r>
              <w:rPr>
                <w:rFonts w:ascii="Arial" w:cs="Arial" w:eastAsia="Arial" w:hAnsi="Arial"/>
                <w:sz w:val="20"/>
                <w:szCs w:val="20"/>
                <w:i w:val="1"/>
                <w:iCs w:val="1"/>
                <w:color w:val="auto"/>
                <w:w w:val="90"/>
              </w:rPr>
              <w:t>(Dollars in Thousands)</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gridSpan w:val="2"/>
            <w:shd w:val="clear" w:color="auto" w:fill="CFF0FC"/>
          </w:tcPr>
          <w:p>
            <w:pPr>
              <w:spacing w:after="0" w:line="201" w:lineRule="exact"/>
              <w:rPr>
                <w:sz w:val="20"/>
                <w:szCs w:val="20"/>
                <w:color w:val="auto"/>
              </w:rPr>
            </w:pPr>
            <w:r>
              <w:rPr>
                <w:rFonts w:ascii="Arial" w:cs="Arial" w:eastAsia="Arial" w:hAnsi="Arial"/>
                <w:sz w:val="20"/>
                <w:szCs w:val="20"/>
                <w:color w:val="auto"/>
              </w:rPr>
              <w:t>Gross profit (loss):</w:t>
            </w:r>
          </w:p>
        </w:tc>
        <w:tc>
          <w:tcPr>
            <w:tcW w:w="1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shd w:val="clear" w:color="auto" w:fill="CFF0FC"/>
          </w:tcPr>
          <w:p>
            <w:pPr>
              <w:spacing w:after="0" w:line="20" w:lineRule="exact"/>
              <w:rPr>
                <w:sz w:val="1"/>
                <w:szCs w:val="1"/>
                <w:color w:val="auto"/>
              </w:rPr>
            </w:pPr>
          </w:p>
        </w:tc>
        <w:tc>
          <w:tcPr>
            <w:tcW w:w="47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vMerge w:val="continue"/>
          </w:tcPr>
          <w:p>
            <w:pPr>
              <w:spacing w:after="0"/>
              <w:rPr>
                <w:sz w:val="20"/>
                <w:szCs w:val="20"/>
                <w:color w:val="auto"/>
              </w:rPr>
            </w:pPr>
          </w:p>
        </w:tc>
        <w:tc>
          <w:tcPr>
            <w:tcW w:w="6200" w:type="dxa"/>
            <w:vAlign w:val="bottom"/>
            <w:gridSpan w:val="2"/>
          </w:tcPr>
          <w:p>
            <w:pPr>
              <w:spacing w:after="0"/>
              <w:rPr>
                <w:sz w:val="20"/>
                <w:szCs w:val="20"/>
                <w:color w:val="auto"/>
              </w:rPr>
            </w:pPr>
            <w:r>
              <w:rPr>
                <w:rFonts w:ascii="Arial" w:cs="Arial" w:eastAsia="Arial" w:hAnsi="Arial"/>
                <w:sz w:val="20"/>
                <w:szCs w:val="20"/>
                <w:color w:val="auto"/>
              </w:rPr>
              <w:t>Building Materials Business</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Aggregates</w:t>
            </w:r>
          </w:p>
        </w:tc>
        <w:tc>
          <w:tcPr>
            <w:tcW w:w="1980" w:type="dxa"/>
            <w:vAlign w:val="bottom"/>
            <w:gridSpan w:val="2"/>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252,765</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402"/>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247,080</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gridSpan w:val="2"/>
          </w:tcPr>
          <w:p>
            <w:pPr>
              <w:ind w:left="240"/>
              <w:spacing w:after="0"/>
              <w:rPr>
                <w:sz w:val="20"/>
                <w:szCs w:val="20"/>
                <w:color w:val="auto"/>
              </w:rPr>
            </w:pPr>
            <w:r>
              <w:rPr>
                <w:rFonts w:ascii="Arial" w:cs="Arial" w:eastAsia="Arial" w:hAnsi="Arial"/>
                <w:sz w:val="20"/>
                <w:szCs w:val="20"/>
                <w:color w:val="auto"/>
              </w:rPr>
              <w:t>Cement</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60,358</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56,663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Ready Mixed Concrete</w:t>
            </w:r>
          </w:p>
        </w:tc>
        <w:tc>
          <w:tcPr>
            <w:tcW w:w="16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46,655</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43,200</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Asphalt and Paving</w:t>
            </w:r>
          </w:p>
        </w:tc>
        <w:tc>
          <w:tcPr>
            <w:tcW w:w="16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15,568</w:t>
            </w:r>
          </w:p>
        </w:tc>
        <w:tc>
          <w:tcPr>
            <w:tcW w:w="280" w:type="dxa"/>
            <w:vAlign w:val="bottom"/>
            <w:tcBorders>
              <w:bottom w:val="single" w:sz="8" w:color="CFF0FC"/>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6,591</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6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375,346</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353,534</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gridSpan w:val="2"/>
          </w:tcPr>
          <w:p>
            <w:pPr>
              <w:ind w:left="240"/>
              <w:spacing w:after="0"/>
              <w:rPr>
                <w:sz w:val="20"/>
                <w:szCs w:val="20"/>
                <w:color w:val="auto"/>
              </w:rPr>
            </w:pPr>
            <w:r>
              <w:rPr>
                <w:rFonts w:ascii="Arial" w:cs="Arial" w:eastAsia="Arial" w:hAnsi="Arial"/>
                <w:sz w:val="20"/>
                <w:szCs w:val="20"/>
                <w:color w:val="auto"/>
              </w:rPr>
              <w:t>Magnesia Specialties</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45,939</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44,718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Corporate</w:t>
            </w:r>
          </w:p>
        </w:tc>
        <w:tc>
          <w:tcPr>
            <w:tcW w:w="16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200"/>
              <w:spacing w:after="0"/>
              <w:rPr>
                <w:sz w:val="20"/>
                <w:szCs w:val="20"/>
                <w:color w:val="auto"/>
              </w:rPr>
            </w:pPr>
            <w:r>
              <w:rPr>
                <w:rFonts w:ascii="Arial" w:cs="Arial" w:eastAsia="Arial" w:hAnsi="Arial"/>
                <w:sz w:val="20"/>
                <w:szCs w:val="20"/>
                <w:color w:val="auto"/>
              </w:rPr>
              <w:t>(125)</w:t>
            </w:r>
          </w:p>
        </w:tc>
        <w:tc>
          <w:tcPr>
            <w:tcW w:w="60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20"/>
                <w:szCs w:val="20"/>
                <w:color w:val="auto"/>
              </w:rPr>
              <w:t>(5,571)</w:t>
            </w:r>
          </w:p>
        </w:tc>
        <w:tc>
          <w:tcPr>
            <w:tcW w:w="0" w:type="dxa"/>
            <w:vAlign w:val="bottom"/>
          </w:tcPr>
          <w:p>
            <w:pPr>
              <w:spacing w:after="0"/>
              <w:rPr>
                <w:sz w:val="1"/>
                <w:szCs w:val="1"/>
                <w:color w:val="auto"/>
              </w:rPr>
            </w:pPr>
          </w:p>
        </w:tc>
      </w:tr>
      <w:tr>
        <w:trPr>
          <w:trHeight w:val="234"/>
        </w:trPr>
        <w:tc>
          <w:tcPr>
            <w:tcW w:w="6220" w:type="dxa"/>
            <w:vAlign w:val="bottom"/>
            <w:gridSpan w:val="3"/>
          </w:tcPr>
          <w:p>
            <w:pPr>
              <w:spacing w:after="0"/>
              <w:rPr>
                <w:sz w:val="20"/>
                <w:szCs w:val="20"/>
                <w:color w:val="auto"/>
              </w:rPr>
            </w:pPr>
            <w:r>
              <w:rPr>
                <w:rFonts w:ascii="Arial" w:cs="Arial" w:eastAsia="Arial" w:hAnsi="Arial"/>
                <w:sz w:val="20"/>
                <w:szCs w:val="20"/>
                <w:color w:val="auto"/>
              </w:rPr>
              <w:t>Total</w:t>
            </w:r>
          </w:p>
        </w:tc>
        <w:tc>
          <w:tcPr>
            <w:tcW w:w="16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421,160</w:t>
            </w:r>
          </w:p>
        </w:tc>
        <w:tc>
          <w:tcPr>
            <w:tcW w:w="2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392,681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Consolidated SG&amp;A expenses were 7.7% of net sales, up 50 basis points compared with the prior-year period, driven by higher incentive compensation, including share-based compensation and increased charitable support.</w:t>
      </w:r>
    </w:p>
    <w:p>
      <w:pPr>
        <w:spacing w:after="0" w:line="7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For the first six months, consolidated other operating income and expenses, net, was income of $8.8 million and $2.9 million in 2017 and 2016, respectively. The increase in 2017 over 2016 reflects a $13.5 million gain on the sale of real estate and a $6.1 million expense related to the pending retirement of the Chief Financial Officer (CFO). The vesting of the CFO’s shares of restricted stock awards, performance stock awards and stock options will continue on their original vesting schedules, which extend beyond the CFO’s retirement date. Accordingly, the Company recognized all remaining expense related to the stock-based awards.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Consolidated other nonoperating income and expenses, net, for the six months ended June 30, 2017 was income of $6.0 million compared with income of $3.8 million in 2016, primarily driven by lower pension expense in 2017.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Cash provided by operating activities for the six months ended June 30, 2017 was $229.6 million compared with $209.8 million for the same period in 2016. Operating cash flow is primarily derived from consolidated net earnings before deducting depreciation, depletion and amortization, and the impact of changes in working capital. Depreciation, depletion and amortization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gridSpan w:val="3"/>
          </w:tcPr>
          <w:p>
            <w:pPr>
              <w:jc w:val="center"/>
              <w:ind w:left="542"/>
              <w:spacing w:after="0"/>
              <w:rPr>
                <w:sz w:val="20"/>
                <w:szCs w:val="20"/>
                <w:color w:val="auto"/>
              </w:rPr>
            </w:pPr>
            <w:r>
              <w:rPr>
                <w:rFonts w:ascii="Arial" w:cs="Arial" w:eastAsia="Arial" w:hAnsi="Arial"/>
                <w:sz w:val="20"/>
                <w:szCs w:val="20"/>
                <w:color w:val="auto"/>
                <w:w w:val="89"/>
              </w:rPr>
              <w:t>Six Months Ended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4"/>
        </w:trPr>
        <w:tc>
          <w:tcPr>
            <w:tcW w:w="4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20"/>
                <w:szCs w:val="20"/>
                <w:color w:val="auto"/>
                <w:w w:val="85"/>
              </w:rPr>
              <w:t>June 30,</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rPr>
              <w:t>2017</w:t>
            </w: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color w:val="auto"/>
                <w:w w:val="85"/>
              </w:rPr>
              <w:t>2016</w:t>
            </w:r>
          </w:p>
        </w:tc>
        <w:tc>
          <w:tcPr>
            <w:tcW w:w="120" w:type="dxa"/>
            <w:vAlign w:val="bottom"/>
          </w:tcPr>
          <w:p>
            <w:pPr>
              <w:spacing w:after="0"/>
              <w:rPr>
                <w:sz w:val="20"/>
                <w:szCs w:val="20"/>
                <w:color w:val="auto"/>
              </w:rPr>
            </w:pPr>
          </w:p>
        </w:tc>
      </w:tr>
      <w:tr>
        <w:trPr>
          <w:trHeight w:val="234"/>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4"/>
          </w:tcPr>
          <w:p>
            <w:pPr>
              <w:jc w:val="center"/>
              <w:ind w:right="262"/>
              <w:spacing w:after="0"/>
              <w:rPr>
                <w:sz w:val="20"/>
                <w:szCs w:val="20"/>
                <w:color w:val="auto"/>
              </w:rPr>
            </w:pPr>
            <w:r>
              <w:rPr>
                <w:rFonts w:ascii="Arial" w:cs="Arial" w:eastAsia="Arial" w:hAnsi="Arial"/>
                <w:sz w:val="20"/>
                <w:szCs w:val="20"/>
                <w:i w:val="1"/>
                <w:iCs w:val="1"/>
                <w:color w:val="auto"/>
                <w:w w:val="90"/>
              </w:rPr>
              <w:t>(Dollars in Thousands)</w:t>
            </w:r>
          </w:p>
        </w:tc>
        <w:tc>
          <w:tcPr>
            <w:tcW w:w="120" w:type="dxa"/>
            <w:vAlign w:val="bottom"/>
          </w:tcPr>
          <w:p>
            <w:pPr>
              <w:spacing w:after="0"/>
              <w:rPr>
                <w:sz w:val="20"/>
                <w:szCs w:val="20"/>
                <w:color w:val="auto"/>
              </w:rPr>
            </w:pPr>
          </w:p>
        </w:tc>
      </w:tr>
      <w:tr>
        <w:trPr>
          <w:trHeight w:val="241"/>
        </w:trPr>
        <w:tc>
          <w:tcPr>
            <w:tcW w:w="4460" w:type="dxa"/>
            <w:vAlign w:val="bottom"/>
            <w:shd w:val="clear" w:color="auto" w:fill="CFF0FC"/>
          </w:tcPr>
          <w:p>
            <w:pPr>
              <w:spacing w:after="0"/>
              <w:rPr>
                <w:sz w:val="20"/>
                <w:szCs w:val="20"/>
                <w:color w:val="auto"/>
              </w:rPr>
            </w:pPr>
            <w:r>
              <w:rPr>
                <w:rFonts w:ascii="Arial" w:cs="Arial" w:eastAsia="Arial" w:hAnsi="Arial"/>
                <w:sz w:val="20"/>
                <w:szCs w:val="20"/>
                <w:color w:val="auto"/>
              </w:rPr>
              <w:t>Depreciation</w:t>
            </w:r>
          </w:p>
        </w:tc>
        <w:tc>
          <w:tcPr>
            <w:tcW w:w="3740" w:type="dxa"/>
            <w:vAlign w:val="bottom"/>
            <w:gridSpan w:val="2"/>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128,543</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402"/>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124,627</w:t>
            </w:r>
          </w:p>
        </w:tc>
        <w:tc>
          <w:tcPr>
            <w:tcW w:w="120" w:type="dxa"/>
            <w:vAlign w:val="bottom"/>
            <w:shd w:val="clear" w:color="auto" w:fill="CFF0FC"/>
          </w:tcPr>
          <w:p>
            <w:pPr>
              <w:spacing w:after="0"/>
              <w:rPr>
                <w:sz w:val="20"/>
                <w:szCs w:val="20"/>
                <w:color w:val="auto"/>
              </w:rPr>
            </w:pPr>
          </w:p>
        </w:tc>
      </w:tr>
      <w:tr>
        <w:trPr>
          <w:trHeight w:val="241"/>
        </w:trPr>
        <w:tc>
          <w:tcPr>
            <w:tcW w:w="4460" w:type="dxa"/>
            <w:vAlign w:val="bottom"/>
          </w:tcPr>
          <w:p>
            <w:pPr>
              <w:spacing w:after="0"/>
              <w:rPr>
                <w:sz w:val="20"/>
                <w:szCs w:val="20"/>
                <w:color w:val="auto"/>
              </w:rPr>
            </w:pPr>
            <w:r>
              <w:rPr>
                <w:rFonts w:ascii="Arial" w:cs="Arial" w:eastAsia="Arial" w:hAnsi="Arial"/>
                <w:sz w:val="20"/>
                <w:szCs w:val="20"/>
                <w:color w:val="auto"/>
              </w:rPr>
              <w:t>Depletion</w:t>
            </w: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8,290</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7,293</w:t>
            </w:r>
          </w:p>
        </w:tc>
        <w:tc>
          <w:tcPr>
            <w:tcW w:w="120" w:type="dxa"/>
            <w:vAlign w:val="bottom"/>
          </w:tcPr>
          <w:p>
            <w:pPr>
              <w:spacing w:after="0"/>
              <w:rPr>
                <w:sz w:val="20"/>
                <w:szCs w:val="20"/>
                <w:color w:val="auto"/>
              </w:rPr>
            </w:pPr>
          </w:p>
        </w:tc>
      </w:tr>
      <w:tr>
        <w:trPr>
          <w:trHeight w:val="241"/>
        </w:trPr>
        <w:tc>
          <w:tcPr>
            <w:tcW w:w="446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33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9,269</w:t>
            </w:r>
          </w:p>
        </w:tc>
        <w:tc>
          <w:tcPr>
            <w:tcW w:w="280" w:type="dxa"/>
            <w:vAlign w:val="bottom"/>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7,697</w:t>
            </w:r>
          </w:p>
        </w:tc>
        <w:tc>
          <w:tcPr>
            <w:tcW w:w="120" w:type="dxa"/>
            <w:vAlign w:val="bottom"/>
            <w:shd w:val="clear" w:color="auto" w:fill="CFF0FC"/>
          </w:tcPr>
          <w:p>
            <w:pPr>
              <w:spacing w:after="0"/>
              <w:rPr>
                <w:sz w:val="20"/>
                <w:szCs w:val="20"/>
                <w:color w:val="auto"/>
              </w:rPr>
            </w:pPr>
          </w:p>
        </w:tc>
      </w:tr>
      <w:tr>
        <w:trPr>
          <w:trHeight w:val="234"/>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146,102</w:t>
            </w:r>
          </w:p>
        </w:tc>
        <w:tc>
          <w:tcPr>
            <w:tcW w:w="280" w:type="dxa"/>
            <w:vAlign w:val="bottom"/>
          </w:tcPr>
          <w:p>
            <w:pPr>
              <w:spacing w:after="0"/>
              <w:rPr>
                <w:sz w:val="20"/>
                <w:szCs w:val="20"/>
                <w:color w:val="auto"/>
              </w:rPr>
            </w:pPr>
          </w:p>
        </w:tc>
        <w:tc>
          <w:tcPr>
            <w:tcW w:w="60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139,617</w:t>
            </w:r>
          </w:p>
        </w:tc>
        <w:tc>
          <w:tcPr>
            <w:tcW w:w="12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344" w:lineRule="auto"/>
        <w:rPr>
          <w:sz w:val="20"/>
          <w:szCs w:val="20"/>
          <w:color w:val="auto"/>
        </w:rPr>
      </w:pPr>
      <w:r>
        <w:rPr>
          <w:rFonts w:ascii="Arial" w:cs="Arial" w:eastAsia="Arial" w:hAnsi="Arial"/>
          <w:sz w:val="17"/>
          <w:szCs w:val="17"/>
          <w:color w:val="auto"/>
        </w:rPr>
        <w:t>The seasonal nature of the aggregates-led construction business impacts quarterly operating cash flow when compared with the full year. Full-year 2016 net cash provided by operating activities was $689.2 million compared with $209.8 million for the first six months of 2016.</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six months ended June 30, 2017, the Company had capital spending of $216.1 million. Full-year capital spending is expected to approximate $450 million to $500 million.</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did not make any repurchases of common stock during the second quarter. At June 30, 2017, 14,669,000 shares of common stock were remaining under the Company’s repurchase authorization.</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On June 26, 2017, the Company announced a definitive agreement to acquire Bluegrass Materials Company (Bluegrass) for $1.625 billion in cash. The purchase price will be increased dollar-for-dollar by any cash on hand held by Bluegrass and decreased by the amount of any outstanding debt of Bluegrass, each as of the closing of the transaction. Bluegrass is the largest privately held, pure-play aggregates business in the United States and has a portfolio of 23 active sites with more than 125 years of strategically-located, high-quality reserves, in Georgia, South Carolina, Tennessee, Maryland and Kentucky. These operations complement the Company’s existing southeastern footprint and provides a new growth platform within the southern portion of the Northeast Megaregion. The transaction is expected to close in the fourth quarter of 2017, subject to regulatory approvals and other customary closing conditions.</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 May 22, 2017, the Company issued $300 million aggregate principal amount of Floating Rate Senior Notes due in 2020 (the Floating Rate Notes) and $300 million principal amount of 3.450% Senior Notes due in 2027 (the 3.450% Senior Notes, and together with the Floating Rate Notes, the Senior Notes). The Senior Notes are senior unsecured obligations of the Company. The 3.450% Senior Notes may be redeemed in whole or in part prior to March 1, 2027 at a make-whole redemption price, or on or after March 1, 2027 at a redemption price equal to 100% of the principal amount of the notes to be redeemed, in either case plus unpaid interest, if any, accrued thereon to, but excluding, the date of redemption. The Floating Rate Notes may not be redeemed prior to their stated maturity date of May 22, 2020. The Floating Rate Notes bear interest at a rate, reset quarterly, equal to the three-month LIBOR for U.S. dollars plus 0.65% (or 65 basis points). If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 change of control repurchase event, as defined, occurs, the Company will be required to make an irrevocable offer to repurchase all or, at the election of each holder, any part of the outstanding Senior Notes at a repurchase price equal to 101% of their principal amount, plus unpaid interest, if any, accrued thereon to, but excluding, the date of repurchase, unless, in the case of the 3.450% Senior Notes, the Company has exercised its right to redeem such notes in full.</w:t>
      </w:r>
    </w:p>
    <w:p>
      <w:pPr>
        <w:spacing w:after="0" w:line="8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$700 million Revolving Facility requires the Company’s ratio of consolidated debt-to-consolidated EBITDA, as defined, for the trailing-twelve 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4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depletion and amortization expense for continuing operations. Additionally, stock-based compensation expense is added back and interest income is deducted in the calculation of consolidated EBITDA. Certain other nonrecurring items, if they occur, can affect the calculation of consolidated EBITDA.</w:t>
      </w:r>
    </w:p>
    <w:p>
      <w:pPr>
        <w:spacing w:after="0" w:line="8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At June 30, 2017, the Company’s ratio of consolidated debt-to-consolidated EBITDA, as defined by the Company’s Revolving Facility, for the trailing-twelve months was 1.78 times and was calculated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July 1, 2016 to</w:t>
            </w:r>
          </w:p>
        </w:tc>
        <w:tc>
          <w:tcPr>
            <w:tcW w:w="0" w:type="dxa"/>
            <w:vAlign w:val="bottom"/>
          </w:tcPr>
          <w:p>
            <w:pPr>
              <w:spacing w:after="0"/>
              <w:rPr>
                <w:sz w:val="1"/>
                <w:szCs w:val="1"/>
                <w:color w:val="auto"/>
              </w:rPr>
            </w:pPr>
          </w:p>
        </w:tc>
      </w:tr>
      <w:tr>
        <w:trPr>
          <w:trHeight w:val="244"/>
        </w:trPr>
        <w:tc>
          <w:tcPr>
            <w:tcW w:w="7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June 30, 2017</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center"/>
              <w:ind w:right="82"/>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shd w:val="clear" w:color="auto" w:fill="CFF0FC"/>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442,952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20"/>
                <w:szCs w:val="20"/>
                <w:color w:val="auto"/>
              </w:rPr>
              <w:t>Add back:</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w:t>
            </w:r>
          </w:p>
        </w:tc>
        <w:tc>
          <w:tcPr>
            <w:tcW w:w="1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86,245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260"/>
              <w:spacing w:after="0"/>
              <w:rPr>
                <w:sz w:val="20"/>
                <w:szCs w:val="20"/>
                <w:color w:val="auto"/>
              </w:rPr>
            </w:pPr>
            <w:r>
              <w:rPr>
                <w:rFonts w:ascii="Arial" w:cs="Arial" w:eastAsia="Arial" w:hAnsi="Arial"/>
                <w:sz w:val="20"/>
                <w:szCs w:val="20"/>
                <w:color w:val="auto"/>
              </w:rPr>
              <w:t>Income tax expense</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174,954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1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288,163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260"/>
              <w:spacing w:after="0"/>
              <w:rPr>
                <w:sz w:val="20"/>
                <w:szCs w:val="20"/>
                <w:color w:val="auto"/>
              </w:rPr>
            </w:pPr>
            <w:r>
              <w:rPr>
                <w:rFonts w:ascii="Arial" w:cs="Arial" w:eastAsia="Arial" w:hAnsi="Arial"/>
                <w:sz w:val="20"/>
                <w:szCs w:val="20"/>
                <w:color w:val="auto"/>
              </w:rPr>
              <w:t>Stock-based compensation expense</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25,406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shd w:val="clear" w:color="auto" w:fill="CFF0FC"/>
          </w:tcPr>
          <w:p>
            <w:pPr>
              <w:spacing w:after="0"/>
              <w:rPr>
                <w:sz w:val="20"/>
                <w:szCs w:val="20"/>
                <w:color w:val="auto"/>
              </w:rPr>
            </w:pPr>
            <w:r>
              <w:rPr>
                <w:rFonts w:ascii="Arial" w:cs="Arial" w:eastAsia="Arial" w:hAnsi="Arial"/>
                <w:sz w:val="20"/>
                <w:szCs w:val="20"/>
                <w:color w:val="auto"/>
              </w:rPr>
              <w:t>Deduct:</w:t>
            </w:r>
          </w:p>
        </w:tc>
        <w:tc>
          <w:tcPr>
            <w:tcW w:w="1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260"/>
              <w:spacing w:after="0"/>
              <w:rPr>
                <w:sz w:val="20"/>
                <w:szCs w:val="20"/>
                <w:color w:val="auto"/>
              </w:rPr>
            </w:pPr>
            <w:r>
              <w:rPr>
                <w:rFonts w:ascii="Arial" w:cs="Arial" w:eastAsia="Arial" w:hAnsi="Arial"/>
                <w:sz w:val="20"/>
                <w:szCs w:val="20"/>
                <w:color w:val="auto"/>
              </w:rPr>
              <w:t>Interest income</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2"/>
          </w:tcPr>
          <w:p>
            <w:pPr>
              <w:jc w:val="right"/>
              <w:ind w:right="60"/>
              <w:spacing w:after="0"/>
              <w:rPr>
                <w:sz w:val="20"/>
                <w:szCs w:val="20"/>
                <w:color w:val="auto"/>
              </w:rPr>
            </w:pPr>
            <w:r>
              <w:rPr>
                <w:rFonts w:ascii="Arial" w:cs="Arial" w:eastAsia="Arial" w:hAnsi="Arial"/>
                <w:sz w:val="20"/>
                <w:szCs w:val="20"/>
                <w:color w:val="auto"/>
              </w:rPr>
              <w:t>(316)</w:t>
            </w:r>
          </w:p>
        </w:tc>
        <w:tc>
          <w:tcPr>
            <w:tcW w:w="0" w:type="dxa"/>
            <w:vAlign w:val="bottom"/>
          </w:tcPr>
          <w:p>
            <w:pPr>
              <w:spacing w:after="0"/>
              <w:rPr>
                <w:sz w:val="1"/>
                <w:szCs w:val="1"/>
                <w:color w:val="auto"/>
              </w:rPr>
            </w:pPr>
          </w:p>
        </w:tc>
      </w:tr>
      <w:tr>
        <w:trPr>
          <w:trHeight w:val="241"/>
        </w:trPr>
        <w:tc>
          <w:tcPr>
            <w:tcW w:w="74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Nonrecurring gain</w:t>
            </w:r>
          </w:p>
        </w:tc>
        <w:tc>
          <w:tcPr>
            <w:tcW w:w="1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(5,863)</w:t>
            </w:r>
          </w:p>
        </w:tc>
        <w:tc>
          <w:tcPr>
            <w:tcW w:w="0" w:type="dxa"/>
            <w:vAlign w:val="bottom"/>
          </w:tcPr>
          <w:p>
            <w:pPr>
              <w:spacing w:after="0"/>
              <w:rPr>
                <w:sz w:val="1"/>
                <w:szCs w:val="1"/>
                <w:color w:val="auto"/>
              </w:rPr>
            </w:pPr>
          </w:p>
        </w:tc>
      </w:tr>
      <w:tr>
        <w:trPr>
          <w:trHeight w:val="274"/>
        </w:trPr>
        <w:tc>
          <w:tcPr>
            <w:tcW w:w="74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Consolidated EBITDA, as defined by the Company’s Revolving Facility</w:t>
            </w:r>
          </w:p>
        </w:tc>
        <w:tc>
          <w:tcPr>
            <w:tcW w:w="1580" w:type="dxa"/>
            <w:vAlign w:val="bottom"/>
            <w:tcBorders>
              <w:bottom w:val="single" w:sz="8" w:color="CFF0FC"/>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1,011,541</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7420" w:type="dxa"/>
            <w:vAlign w:val="bottom"/>
            <w:shd w:val="clear" w:color="auto" w:fill="CFF0FC"/>
          </w:tcPr>
          <w:p>
            <w:pPr>
              <w:spacing w:after="0" w:line="205" w:lineRule="exact"/>
              <w:rPr>
                <w:sz w:val="20"/>
                <w:szCs w:val="20"/>
                <w:color w:val="auto"/>
              </w:rPr>
            </w:pPr>
            <w:r>
              <w:rPr>
                <w:rFonts w:ascii="Arial" w:cs="Arial" w:eastAsia="Arial" w:hAnsi="Arial"/>
                <w:sz w:val="20"/>
                <w:szCs w:val="20"/>
                <w:color w:val="auto"/>
              </w:rPr>
              <w:t>Consolidated net debt, as defined and including debt for which the</w:t>
            </w: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4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Company is a co-borrower, at June 30, 2017</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1,800,190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20"/>
                <w:szCs w:val="20"/>
                <w:color w:val="auto"/>
              </w:rPr>
              <w:t>Consolidated debt-to-consolidated EBITDA, as defined by the Company’s</w:t>
            </w:r>
          </w:p>
        </w:tc>
        <w:tc>
          <w:tcPr>
            <w:tcW w:w="15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420" w:type="dxa"/>
            <w:vAlign w:val="bottom"/>
          </w:tcPr>
          <w:p>
            <w:pPr>
              <w:ind w:left="260"/>
              <w:spacing w:after="0" w:line="228" w:lineRule="exact"/>
              <w:rPr>
                <w:sz w:val="20"/>
                <w:szCs w:val="20"/>
                <w:color w:val="auto"/>
              </w:rPr>
            </w:pPr>
            <w:r>
              <w:rPr>
                <w:rFonts w:ascii="Arial" w:cs="Arial" w:eastAsia="Arial" w:hAnsi="Arial"/>
                <w:sz w:val="20"/>
                <w:szCs w:val="20"/>
                <w:color w:val="auto"/>
              </w:rPr>
              <w:t>Revolving Facility, at June 30, 2017 for the trailing-twelve</w:t>
            </w: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420" w:type="dxa"/>
            <w:vAlign w:val="bottom"/>
          </w:tcPr>
          <w:p>
            <w:pPr>
              <w:ind w:left="260"/>
              <w:spacing w:after="0"/>
              <w:rPr>
                <w:sz w:val="20"/>
                <w:szCs w:val="20"/>
                <w:color w:val="auto"/>
              </w:rPr>
            </w:pPr>
            <w:r>
              <w:rPr>
                <w:rFonts w:ascii="Arial" w:cs="Arial" w:eastAsia="Arial" w:hAnsi="Arial"/>
                <w:sz w:val="20"/>
                <w:szCs w:val="20"/>
                <w:color w:val="auto"/>
              </w:rPr>
              <w:t>months EBITDA</w:t>
            </w: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20"/>
                <w:szCs w:val="20"/>
                <w:color w:val="auto"/>
              </w:rPr>
              <w:t>1.78x</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1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Trade Receivable Facility contains a cross-default provision to the Company’s other debt agreements. In the event of a default on the Ratio, the lenders can terminate the Revolving Facility and Trade Receivable Facility and declare any outstanding balances as immediately due. Outstanding amounts on the Trade Receivable Facility have been classified as a current liability on the Company’s consolidated balance sheet.</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At June 30, 2017, the Company had $857.5 million of unused borrowing capacity under its Revolving Facility and Trade Receivable Facility, subject to complying with the related leverage covenant. The Revolving Facility expires on December 5, 2021 and the Trade Receivable Facility expires on September 27, 2017. Management intends to renew the Trade Receivable Facility beyond its expiration.</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6.65% Senior Notes, due 2018, have been classified as a noncurrent liability as the Company has the intent and ability to refinance on a long-term basis before or at its maturity on April 15, 2018.</w:t>
      </w:r>
    </w:p>
    <w:p>
      <w:pPr>
        <w:spacing w:after="0" w:line="6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Company may be required to obtain financing to fund certain strategic acquisitions, if any such opportunities arise, or to refinance outstanding debt. Any strategic acquisition of size for cash incremental to the pending Bluegrass acquisition would likely require an appropriate balance of newly-issued equity with debt in order to maintain a composite investment-grade credit rating. Furthermore, the Company is exposed to the credit markets, through the interest cost related to its variable-rate debt, which included borrowings under its Revolving Facility and Trade Receivable Facility at June 30, 2017 and the obligations in respect of the Floating Rate Notes. The Company is currently rated at an investment-grade level by all three credit rating agencies.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outlined the risks associated with its business in its Annual Report on Form 10-K for the year ended December 31, 2016. Management continues to evaluate its exposure to all operating risks on an ongoing basis.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OUTLOOK</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The Company is encouraged by positive trends in the markets it serves and its ability to execute its strategic business plans. Notably:</w:t>
      </w:r>
    </w:p>
    <w:p>
      <w:pPr>
        <w:spacing w:after="0" w:line="116" w:lineRule="exact"/>
        <w:rPr>
          <w:sz w:val="20"/>
          <w:szCs w:val="20"/>
          <w:color w:val="auto"/>
        </w:rPr>
      </w:pPr>
    </w:p>
    <w:p>
      <w:pPr>
        <w:jc w:val="both"/>
        <w:ind w:left="760" w:hanging="378"/>
        <w:spacing w:after="0" w:line="260" w:lineRule="auto"/>
        <w:tabs>
          <w:tab w:leader="none" w:pos="7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Public sector growth is expected to continue in 2017 as new monies flow into the system. FAST Act projects should accelerate through the year, supported by ongoing activity funded through </w:t>
      </w:r>
      <w:r>
        <w:rPr>
          <w:rFonts w:ascii="Arial" w:cs="Arial" w:eastAsia="Arial" w:hAnsi="Arial"/>
          <w:sz w:val="19"/>
          <w:szCs w:val="19"/>
          <w:i w:val="1"/>
          <w:iCs w:val="1"/>
          <w:color w:val="auto"/>
        </w:rPr>
        <w:t>Transportation Infrastructure Finance and Innovation Act</w:t>
      </w:r>
      <w:r>
        <w:rPr>
          <w:rFonts w:ascii="Arial" w:cs="Arial" w:eastAsia="Arial" w:hAnsi="Arial"/>
          <w:sz w:val="19"/>
          <w:szCs w:val="19"/>
          <w:color w:val="auto"/>
        </w:rPr>
        <w:t>. Additionally, state and local initiatives that support infrastructure funding, including gas tax increases and other ballot initiatives passed over the past 24 months, are expected to grow and continue to play an expanded role in public-sector activity.</w:t>
      </w:r>
    </w:p>
    <w:p>
      <w:pPr>
        <w:spacing w:after="0" w:line="70" w:lineRule="exact"/>
        <w:rPr>
          <w:rFonts w:ascii="Arial" w:cs="Arial" w:eastAsia="Arial" w:hAnsi="Arial"/>
          <w:sz w:val="19"/>
          <w:szCs w:val="19"/>
          <w:color w:val="auto"/>
        </w:rPr>
      </w:pPr>
    </w:p>
    <w:p>
      <w:pPr>
        <w:jc w:val="both"/>
        <w:ind w:left="760" w:hanging="378"/>
        <w:spacing w:after="0" w:line="260" w:lineRule="auto"/>
        <w:tabs>
          <w:tab w:leader="none" w:pos="7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Nonresidential construction is expected to modestly increase in both the heavy industrial and commercial sectors. The Dodge Momentum Index is at its highest level since 2009, signaling continued growth. Additional energy-related economic activity, including follow-on public and private construction, will be mixed. While $61.5 billion of new energy-related projects are scheduled to start in 2017 and 2018, the certainty and timing of commencement will affect nonresidential growth.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jc w:val="both"/>
        <w:ind w:left="760" w:hanging="378"/>
        <w:spacing w:after="0" w:line="247" w:lineRule="auto"/>
        <w:tabs>
          <w:tab w:leader="none" w:pos="7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Residential construction is expected to continue growing, particularly in key Martin Marietta markets, driven by employment gains, historically low levels of construction activity over the previous years, low mortgage rates, higher lot development and higher multi-family rental rates.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Forward-looking statements give the investor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Factors that the Company currently believes could cause actual results to differ materially from the forward-looking statements in this Form 10-Q include the performance of the United States economy; widespread decline in aggregates pricing; the history of both cement and ready mixed concrete being subject to significant changes in supply, demand and price; the termination, capping and/or reduction or suspension of the federal and/or state gasoline tax(es) or other revenue related to infrastructure construction; the level and timing of federal and state transportation funding, most particularly in Texas, North Carolina, Iowa, Colorado and Georgia;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a further slowdown in energy-related construction activity, particularly in Texas; a slowdown in residential construction recovery; a reduction in construction activity and related shipments due to a decline in funding under the domestic farm bill; unfavorable weather conditions, particularly Atlantic Ocean hurricane activity, the late start to spring or the early onset of winter and the impact of a drought or excessive rainfall in the markets served by the Company; the volatility of fuel costs, particularly diesel fuel, and the impact on the cost of other consumables, namely steel, explosives, tires and conveyor belts, and with respect to the Magnesia Specialties business, natural gas; continued increases in the cost of other repair and supply parts; unexpected equipment failures, unscheduled maintenance, industrial accident or other prolonged and/or significant disruption to production facilities; increasing governmental regulation, including environmental laws; transportation availability, notably the availability of railcars and locomotive power to move trains to supply the Company’s Texas, Florida, and Gulf Coast markets; increased transportation costs, including increases from higher passed-through energy and other costs to comply with tightening regulations as well as higher volumes of rail and water shipments; availability of trucks and licensed drivers for transport of the Company’s materials; availability and cost of construction equipment in the United States; weakening in the steel industry markets served by the Company’s dolomitic lime products; proper functioning of information technology and automated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43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line="237" w:lineRule="auto"/>
        <w:rPr>
          <w:sz w:val="20"/>
          <w:szCs w:val="20"/>
          <w:color w:val="auto"/>
        </w:rPr>
      </w:pPr>
      <w:r>
        <w:rPr>
          <w:rFonts w:ascii="Arial" w:cs="Arial" w:eastAsia="Arial" w:hAnsi="Arial"/>
          <w:sz w:val="20"/>
          <w:szCs w:val="20"/>
          <w:color w:val="auto"/>
        </w:rPr>
        <w:t>Second Quarter Ended June 30, 2017</w:t>
      </w: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operating systems to manage or support operations; inflation and its effect on both production and interest costs; ability to successfully integrate acquisitions quickly and in a cost-effective manner and achieve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downward pressure on the Company’s common stock price and its impact on goodwill impairment evaluations; reduction of the Company’s credit rating to non-investment grade resulting from strategic acquisitions; and other risk factors listed from time to time found in the Company’s filings with the SEC. Other factors besides those listed here may also adversely affect the Company, and may be material to the Company. The Company assumes no obligation to update any such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Shareholders may obtain, without charge, a copy of Martin Marietta’s Annual Report on Form 10-K, as filed with the Securities and Exchange Commission for the fiscal year ended December 31, 2016, by writing to:</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line="237" w:lineRule="auto"/>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8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510-4776</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05" w:lineRule="exact"/>
        <w:rPr>
          <w:sz w:val="20"/>
          <w:szCs w:val="20"/>
          <w:color w:val="auto"/>
        </w:rPr>
      </w:pPr>
    </w:p>
    <w:p>
      <w:pPr>
        <w:jc w:val="both"/>
        <w:ind w:right="20"/>
        <w:spacing w:after="0" w:line="344" w:lineRule="auto"/>
        <w:rPr>
          <w:sz w:val="20"/>
          <w:szCs w:val="20"/>
          <w:color w:val="auto"/>
        </w:rPr>
      </w:pPr>
      <w:r>
        <w:rPr>
          <w:rFonts w:ascii="Arial" w:cs="Arial" w:eastAsia="Arial" w:hAnsi="Arial"/>
          <w:sz w:val="17"/>
          <w:szCs w:val="17"/>
          <w:color w:val="auto"/>
        </w:rPr>
        <w:t>The Company’s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2"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3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Demand in the residential construction market is affected by interest rates. The Federal Reserve kept the federal funds rate near one percent during the six months ended June 30, 2017. The residential construction market accounted for 21% of the Company’s aggregates product line shipments in 2016.</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Aside from these inherent risks from within its operations, the Company’s earnings are also affected by changes in short-term interest rates. However, rising interest rates are not necessarily predictive of weaker operating results. Historically, the Company’s profitability increased during periods of rising interest rates. In essence, the Company’s underlying business generally serves as a natural hedge to rising interest rates.</w:t>
      </w:r>
    </w:p>
    <w:p>
      <w:pPr>
        <w:spacing w:after="0" w:line="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Variable-Rate Borrowing Facilities. </w:t>
      </w:r>
      <w:r>
        <w:rPr>
          <w:rFonts w:ascii="Arial" w:cs="Arial" w:eastAsia="Arial" w:hAnsi="Arial"/>
          <w:sz w:val="20"/>
          <w:szCs w:val="20"/>
          <w:color w:val="auto"/>
        </w:rPr>
        <w:t>At June 30, 2017, the Company had a $700 million Credit Agreement and a $300 million Trade Receivable</w:t>
      </w:r>
      <w:r>
        <w:rPr>
          <w:rFonts w:ascii="Arial" w:cs="Arial" w:eastAsia="Arial" w:hAnsi="Arial"/>
          <w:sz w:val="20"/>
          <w:szCs w:val="20"/>
          <w:i w:val="1"/>
          <w:iCs w:val="1"/>
          <w:color w:val="auto"/>
        </w:rPr>
        <w:t xml:space="preserve"> </w:t>
      </w:r>
      <w:r>
        <w:rPr>
          <w:rFonts w:ascii="Arial" w:cs="Arial" w:eastAsia="Arial" w:hAnsi="Arial"/>
          <w:sz w:val="20"/>
          <w:szCs w:val="20"/>
          <w:color w:val="auto"/>
        </w:rPr>
        <w:t>Facility. The Company also has $300 million variable-rate senior notes. Borrowings under these facilities bear interest at a variable interest rate. A hypothetical 100-basis-point increase in interest rates on borrowings of $440.0 million, which was the collective outstanding balance at June 30, 2017, would increase interest expense by $4.4 million on an annual basis.</w:t>
      </w:r>
    </w:p>
    <w:p>
      <w:pPr>
        <w:spacing w:after="0" w:line="8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i w:val="1"/>
          <w:iCs w:val="1"/>
          <w:color w:val="auto"/>
        </w:rPr>
        <w:t xml:space="preserve">Pension Expense. </w:t>
      </w:r>
      <w:r>
        <w:rPr>
          <w:rFonts w:ascii="Arial" w:cs="Arial" w:eastAsia="Arial" w:hAnsi="Arial"/>
          <w:sz w:val="17"/>
          <w:szCs w:val="17"/>
          <w:color w:val="auto"/>
        </w:rPr>
        <w:t>The Company’s results of operations are affected by its pension expense. Assumptions that affect pension expense include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and, for the defined benefit pension plans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2016.</w:t>
      </w:r>
    </w:p>
    <w:p>
      <w:pPr>
        <w:spacing w:after="0" w:line="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coal and liquid asphalt, represent significant production costs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The cement operations and Magnesia Specialties business have fixed price agreements covering 100% of its 2017 coal requirements. A hypothetical 10% change in the Company’s energy prices in 2017 as compared with 2016, assuming constant volumes, would change 2017 energy expense by $23.1 million.</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i w:val="1"/>
          <w:iCs w:val="1"/>
          <w:color w:val="auto"/>
        </w:rPr>
        <w:t xml:space="preserve">Commodity risk. </w:t>
      </w:r>
      <w:r>
        <w:rPr>
          <w:rFonts w:ascii="Arial" w:cs="Arial" w:eastAsia="Arial" w:hAnsi="Arial"/>
          <w:sz w:val="19"/>
          <w:szCs w:val="19"/>
          <w:color w:val="auto"/>
        </w:rPr>
        <w:t>Cement is a commodity and competition is based principally on price, which is highly sensitive to changes in supply and</w:t>
      </w:r>
      <w:r>
        <w:rPr>
          <w:rFonts w:ascii="Arial" w:cs="Arial" w:eastAsia="Arial" w:hAnsi="Arial"/>
          <w:sz w:val="19"/>
          <w:szCs w:val="19"/>
          <w:i w:val="1"/>
          <w:iCs w:val="1"/>
          <w:color w:val="auto"/>
        </w:rPr>
        <w:t xml:space="preserve"> </w:t>
      </w:r>
      <w:r>
        <w:rPr>
          <w:rFonts w:ascii="Arial" w:cs="Arial" w:eastAsia="Arial" w:hAnsi="Arial"/>
          <w:sz w:val="19"/>
          <w:szCs w:val="19"/>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net sales for the cement product line for full-year 2017 of $380 million to $400 million, a hypothetical 10% change in sales price would impact net sales by $38 million to $40 million.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45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line="237" w:lineRule="auto"/>
        <w:rPr>
          <w:sz w:val="20"/>
          <w:szCs w:val="20"/>
          <w:color w:val="auto"/>
        </w:rPr>
      </w:pPr>
      <w:r>
        <w:rPr>
          <w:rFonts w:ascii="Arial" w:cs="Arial" w:eastAsia="Arial" w:hAnsi="Arial"/>
          <w:sz w:val="20"/>
          <w:szCs w:val="20"/>
          <w:color w:val="auto"/>
        </w:rPr>
        <w:t>For the Quarter Ended June 30, 2017</w:t>
      </w:r>
    </w:p>
    <w:p>
      <w:pPr>
        <w:jc w:val="center"/>
        <w:ind w:right="-19"/>
        <w:spacing w:after="0"/>
        <w:rPr>
          <w:sz w:val="20"/>
          <w:szCs w:val="20"/>
          <w:color w:val="auto"/>
        </w:rPr>
      </w:pPr>
      <w:r>
        <w:rPr>
          <w:rFonts w:ascii="Arial" w:cs="Arial" w:eastAsia="Arial" w:hAnsi="Arial"/>
          <w:sz w:val="20"/>
          <w:szCs w:val="20"/>
          <w:color w:val="auto"/>
        </w:rPr>
        <w:t>(Continued)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As of June 30, 2017, an evaluation was performed under the supervision and with the 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June 30, 2017.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46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w:t>
      </w:r>
      <w:r>
        <w:rPr>
          <w:rFonts w:ascii="Arial" w:cs="Arial" w:eastAsia="Arial" w:hAnsi="Arial"/>
          <w:sz w:val="20"/>
          <w:szCs w:val="20"/>
          <w:color w:val="auto"/>
        </w:rPr>
        <w:t xml:space="preserve">. </w:t>
      </w:r>
      <w:r>
        <w:rPr>
          <w:rFonts w:ascii="Arial" w:cs="Arial" w:eastAsia="Arial" w:hAnsi="Arial"/>
          <w:sz w:val="20"/>
          <w:szCs w:val="20"/>
          <w:i w:val="1"/>
          <w:iCs w:val="1"/>
          <w:color w:val="auto"/>
        </w:rPr>
        <w:t>Item 3. Legal Proceedings</w:t>
      </w:r>
      <w:r>
        <w:rPr>
          <w:rFonts w:ascii="Arial" w:cs="Arial" w:eastAsia="Arial" w:hAnsi="Arial"/>
          <w:sz w:val="20"/>
          <w:szCs w:val="20"/>
          <w:color w:val="auto"/>
        </w:rPr>
        <w:t xml:space="preserve"> of the Martin Marietta Annual Report on Form 10-K for the year ended December 31, 2016.</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2016.</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80" w:type="dxa"/>
            <w:vAlign w:val="bottom"/>
            <w:gridSpan w:val="3"/>
          </w:tcPr>
          <w:p>
            <w:pPr>
              <w:jc w:val="right"/>
              <w:ind w:right="260"/>
              <w:spacing w:after="0"/>
              <w:rPr>
                <w:sz w:val="20"/>
                <w:szCs w:val="20"/>
                <w:color w:val="auto"/>
              </w:rPr>
            </w:pPr>
            <w:r>
              <w:rPr>
                <w:rFonts w:ascii="Arial" w:cs="Arial" w:eastAsia="Arial" w:hAnsi="Arial"/>
                <w:sz w:val="20"/>
                <w:szCs w:val="20"/>
                <w:color w:val="auto"/>
                <w:w w:val="98"/>
              </w:rPr>
              <w:t>Total Number of Shares</w:t>
            </w:r>
          </w:p>
        </w:tc>
        <w:tc>
          <w:tcPr>
            <w:tcW w:w="184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Maximum Number of</w:t>
            </w:r>
          </w:p>
        </w:tc>
      </w:tr>
      <w:tr>
        <w:trPr>
          <w:trHeight w:val="241"/>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20"/>
                <w:szCs w:val="20"/>
                <w:color w:val="auto"/>
                <w:w w:val="85"/>
              </w:rPr>
              <w:t>Purchased as Part of</w:t>
            </w:r>
          </w:p>
        </w:tc>
        <w:tc>
          <w:tcPr>
            <w:tcW w:w="1840" w:type="dxa"/>
            <w:vAlign w:val="bottom"/>
            <w:gridSpan w:val="2"/>
          </w:tcPr>
          <w:p>
            <w:pPr>
              <w:ind w:left="60"/>
              <w:spacing w:after="0"/>
              <w:rPr>
                <w:sz w:val="20"/>
                <w:szCs w:val="20"/>
                <w:color w:val="auto"/>
              </w:rPr>
            </w:pPr>
            <w:r>
              <w:rPr>
                <w:rFonts w:ascii="Arial" w:cs="Arial" w:eastAsia="Arial" w:hAnsi="Arial"/>
                <w:sz w:val="20"/>
                <w:szCs w:val="20"/>
                <w:color w:val="auto"/>
                <w:w w:val="97"/>
              </w:rPr>
              <w:t>Shares that May Yet</w:t>
            </w:r>
          </w:p>
        </w:tc>
      </w:tr>
      <w:tr>
        <w:trPr>
          <w:trHeight w:val="241"/>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20"/>
                <w:szCs w:val="20"/>
                <w:color w:val="auto"/>
                <w:w w:val="92"/>
              </w:rPr>
              <w:t>Total Number of</w:t>
            </w:r>
          </w:p>
        </w:tc>
        <w:tc>
          <w:tcPr>
            <w:tcW w:w="1220" w:type="dxa"/>
            <w:vAlign w:val="bottom"/>
            <w:gridSpan w:val="2"/>
          </w:tcPr>
          <w:p>
            <w:pPr>
              <w:ind w:left="60"/>
              <w:spacing w:after="0"/>
              <w:rPr>
                <w:sz w:val="20"/>
                <w:szCs w:val="20"/>
                <w:color w:val="auto"/>
              </w:rPr>
            </w:pPr>
            <w:r>
              <w:rPr>
                <w:rFonts w:ascii="Arial" w:cs="Arial" w:eastAsia="Arial" w:hAnsi="Arial"/>
                <w:sz w:val="20"/>
                <w:szCs w:val="20"/>
                <w:color w:val="auto"/>
                <w:w w:val="90"/>
              </w:rPr>
              <w:t>Average Price</w:t>
            </w:r>
          </w:p>
        </w:tc>
        <w:tc>
          <w:tcPr>
            <w:tcW w:w="240" w:type="dxa"/>
            <w:vAlign w:val="bottom"/>
          </w:tcPr>
          <w:p>
            <w:pPr>
              <w:spacing w:after="0"/>
              <w:rPr>
                <w:sz w:val="20"/>
                <w:szCs w:val="20"/>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Publicly Announced</w:t>
            </w:r>
          </w:p>
        </w:tc>
        <w:tc>
          <w:tcPr>
            <w:tcW w:w="1840" w:type="dxa"/>
            <w:vAlign w:val="bottom"/>
            <w:gridSpan w:val="2"/>
          </w:tcPr>
          <w:p>
            <w:pPr>
              <w:ind w:left="60"/>
              <w:spacing w:after="0"/>
              <w:rPr>
                <w:sz w:val="20"/>
                <w:szCs w:val="20"/>
                <w:color w:val="auto"/>
              </w:rPr>
            </w:pPr>
            <w:r>
              <w:rPr>
                <w:rFonts w:ascii="Arial" w:cs="Arial" w:eastAsia="Arial" w:hAnsi="Arial"/>
                <w:sz w:val="20"/>
                <w:szCs w:val="20"/>
                <w:color w:val="auto"/>
                <w:w w:val="95"/>
              </w:rPr>
              <w:t>be Purchased Under</w:t>
            </w:r>
          </w:p>
        </w:tc>
      </w:tr>
      <w:tr>
        <w:trPr>
          <w:trHeight w:val="244"/>
        </w:trPr>
        <w:tc>
          <w:tcPr>
            <w:tcW w:w="4220" w:type="dxa"/>
            <w:vAlign w:val="bottom"/>
            <w:gridSpan w:val="2"/>
          </w:tcPr>
          <w:p>
            <w:pPr>
              <w:ind w:left="1780"/>
              <w:spacing w:after="0"/>
              <w:rPr>
                <w:sz w:val="20"/>
                <w:szCs w:val="20"/>
                <w:color w:val="auto"/>
              </w:rPr>
            </w:pPr>
            <w:r>
              <w:rPr>
                <w:rFonts w:ascii="Arial" w:cs="Arial" w:eastAsia="Arial" w:hAnsi="Arial"/>
                <w:sz w:val="20"/>
                <w:szCs w:val="20"/>
                <w:color w:val="auto"/>
              </w:rPr>
              <w:t>Period</w:t>
            </w:r>
          </w:p>
        </w:tc>
        <w:tc>
          <w:tcPr>
            <w:tcW w:w="1760" w:type="dxa"/>
            <w:vAlign w:val="bottom"/>
            <w:gridSpan w:val="2"/>
          </w:tcPr>
          <w:p>
            <w:pPr>
              <w:jc w:val="center"/>
              <w:ind w:right="260"/>
              <w:spacing w:after="0"/>
              <w:rPr>
                <w:sz w:val="20"/>
                <w:szCs w:val="20"/>
                <w:color w:val="auto"/>
              </w:rPr>
            </w:pPr>
            <w:r>
              <w:rPr>
                <w:rFonts w:ascii="Arial" w:cs="Arial" w:eastAsia="Arial" w:hAnsi="Arial"/>
                <w:sz w:val="20"/>
                <w:szCs w:val="20"/>
                <w:color w:val="auto"/>
                <w:w w:val="83"/>
              </w:rPr>
              <w:t>Shares Purchased</w:t>
            </w:r>
          </w:p>
        </w:tc>
        <w:tc>
          <w:tcPr>
            <w:tcW w:w="1220" w:type="dxa"/>
            <w:vAlign w:val="bottom"/>
            <w:gridSpan w:val="2"/>
          </w:tcPr>
          <w:p>
            <w:pPr>
              <w:ind w:left="40"/>
              <w:spacing w:after="0"/>
              <w:rPr>
                <w:sz w:val="20"/>
                <w:szCs w:val="20"/>
                <w:color w:val="auto"/>
              </w:rPr>
            </w:pPr>
            <w:r>
              <w:rPr>
                <w:rFonts w:ascii="Arial" w:cs="Arial" w:eastAsia="Arial" w:hAnsi="Arial"/>
                <w:sz w:val="20"/>
                <w:szCs w:val="20"/>
                <w:color w:val="auto"/>
                <w:w w:val="86"/>
              </w:rPr>
              <w:t>Paid per Share</w:t>
            </w:r>
          </w:p>
        </w:tc>
        <w:tc>
          <w:tcPr>
            <w:tcW w:w="240" w:type="dxa"/>
            <w:vAlign w:val="bottom"/>
          </w:tcPr>
          <w:p>
            <w:pPr>
              <w:spacing w:after="0"/>
              <w:rPr>
                <w:sz w:val="21"/>
                <w:szCs w:val="21"/>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20"/>
                <w:szCs w:val="20"/>
                <w:color w:val="auto"/>
                <w:w w:val="86"/>
              </w:rPr>
              <w:t>Plans or Programs</w:t>
            </w:r>
          </w:p>
        </w:tc>
        <w:tc>
          <w:tcPr>
            <w:tcW w:w="1840" w:type="dxa"/>
            <w:vAlign w:val="bottom"/>
            <w:gridSpan w:val="2"/>
          </w:tcPr>
          <w:p>
            <w:pPr>
              <w:jc w:val="right"/>
              <w:ind w:right="120"/>
              <w:spacing w:after="0"/>
              <w:rPr>
                <w:sz w:val="20"/>
                <w:szCs w:val="20"/>
                <w:color w:val="auto"/>
              </w:rPr>
            </w:pPr>
            <w:r>
              <w:rPr>
                <w:rFonts w:ascii="Arial" w:cs="Arial" w:eastAsia="Arial" w:hAnsi="Arial"/>
                <w:sz w:val="20"/>
                <w:szCs w:val="20"/>
                <w:color w:val="auto"/>
                <w:w w:val="85"/>
              </w:rPr>
              <w:t>the Plans or Programs</w:t>
            </w:r>
          </w:p>
        </w:tc>
      </w:tr>
      <w:tr>
        <w:trPr>
          <w:trHeight w:val="234"/>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April 1, 2017 - April 30, 2017</w:t>
            </w:r>
          </w:p>
        </w:tc>
        <w:tc>
          <w:tcPr>
            <w:tcW w:w="140" w:type="dxa"/>
            <w:vAlign w:val="bottom"/>
            <w:tcBorders>
              <w:top w:val="single" w:sz="8" w:color="CFF0FC"/>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ind w:left="1320"/>
              <w:spacing w:after="0"/>
              <w:rPr>
                <w:sz w:val="20"/>
                <w:szCs w:val="20"/>
                <w:color w:val="auto"/>
              </w:rPr>
            </w:pPr>
            <w:r>
              <w:rPr>
                <w:rFonts w:ascii="Arial" w:cs="Arial" w:eastAsia="Arial" w:hAnsi="Arial"/>
                <w:sz w:val="20"/>
                <w:szCs w:val="20"/>
                <w:color w:val="auto"/>
                <w:w w:val="89"/>
              </w:rPr>
              <w:t>—</w:t>
            </w:r>
          </w:p>
        </w:tc>
        <w:tc>
          <w:tcPr>
            <w:tcW w:w="240" w:type="dxa"/>
            <w:vAlign w:val="bottom"/>
            <w:tcBorders>
              <w:top w:val="single" w:sz="8" w:color="CFF0FC"/>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ind w:right="362"/>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shd w:val="clear" w:color="auto" w:fill="CFF0FC"/>
          </w:tcPr>
          <w:p>
            <w:pPr>
              <w:ind w:left="460"/>
              <w:spacing w:after="0"/>
              <w:rPr>
                <w:sz w:val="20"/>
                <w:szCs w:val="20"/>
                <w:color w:val="auto"/>
              </w:rPr>
            </w:pPr>
            <w:r>
              <w:rPr>
                <w:rFonts w:ascii="Arial" w:cs="Arial" w:eastAsia="Arial" w:hAnsi="Arial"/>
                <w:sz w:val="20"/>
                <w:szCs w:val="20"/>
                <w:color w:val="auto"/>
                <w:w w:val="89"/>
              </w:rPr>
              <w:t>—</w:t>
            </w:r>
          </w:p>
        </w:tc>
        <w:tc>
          <w:tcPr>
            <w:tcW w:w="240" w:type="dxa"/>
            <w:vAlign w:val="bottom"/>
            <w:tcBorders>
              <w:top w:val="single" w:sz="8" w:color="CFF0FC"/>
            </w:tcBorders>
            <w:shd w:val="clear" w:color="auto" w:fill="CFF0FC"/>
          </w:tcPr>
          <w:p>
            <w:pPr>
              <w:spacing w:after="0"/>
              <w:rPr>
                <w:sz w:val="20"/>
                <w:szCs w:val="20"/>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top w:val="single" w:sz="8" w:color="CFF0FC"/>
            </w:tcBorders>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14,668,891</w:t>
            </w:r>
          </w:p>
        </w:tc>
        <w:tc>
          <w:tcPr>
            <w:tcW w:w="100" w:type="dxa"/>
            <w:vAlign w:val="bottom"/>
            <w:tcBorders>
              <w:top w:val="single" w:sz="8" w:color="CFF0FC"/>
            </w:tcBorders>
            <w:shd w:val="clear" w:color="auto" w:fill="CFF0FC"/>
          </w:tcPr>
          <w:p>
            <w:pPr>
              <w:spacing w:after="0"/>
              <w:rPr>
                <w:sz w:val="20"/>
                <w:szCs w:val="20"/>
                <w:color w:val="auto"/>
              </w:rPr>
            </w:pPr>
          </w:p>
        </w:tc>
      </w:tr>
      <w:tr>
        <w:trPr>
          <w:trHeight w:val="241"/>
        </w:trPr>
        <w:tc>
          <w:tcPr>
            <w:tcW w:w="4220" w:type="dxa"/>
            <w:vAlign w:val="bottom"/>
            <w:gridSpan w:val="2"/>
          </w:tcPr>
          <w:p>
            <w:pPr>
              <w:spacing w:after="0"/>
              <w:rPr>
                <w:sz w:val="20"/>
                <w:szCs w:val="20"/>
                <w:color w:val="auto"/>
              </w:rPr>
            </w:pPr>
            <w:r>
              <w:rPr>
                <w:rFonts w:ascii="Arial" w:cs="Arial" w:eastAsia="Arial" w:hAnsi="Arial"/>
                <w:sz w:val="20"/>
                <w:szCs w:val="20"/>
                <w:color w:val="auto"/>
              </w:rPr>
              <w:t>May 1, 2017 - May 31, 2017</w:t>
            </w:r>
          </w:p>
        </w:tc>
        <w:tc>
          <w:tcPr>
            <w:tcW w:w="1760" w:type="dxa"/>
            <w:vAlign w:val="bottom"/>
            <w:gridSpan w:val="2"/>
          </w:tcPr>
          <w:p>
            <w:pPr>
              <w:ind w:left="1320"/>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362"/>
              <w:spacing w:after="0"/>
              <w:rPr>
                <w:sz w:val="20"/>
                <w:szCs w:val="20"/>
                <w:color w:val="auto"/>
              </w:rPr>
            </w:pPr>
            <w:r>
              <w:rPr>
                <w:rFonts w:ascii="Arial" w:cs="Arial" w:eastAsia="Arial" w:hAnsi="Arial"/>
                <w:sz w:val="20"/>
                <w:szCs w:val="20"/>
                <w:color w:val="auto"/>
                <w:w w:val="71"/>
              </w:rPr>
              <w:t>$</w:t>
            </w:r>
          </w:p>
        </w:tc>
        <w:tc>
          <w:tcPr>
            <w:tcW w:w="660" w:type="dxa"/>
            <w:vAlign w:val="bottom"/>
          </w:tcPr>
          <w:p>
            <w:pPr>
              <w:ind w:left="460"/>
              <w:spacing w:after="0"/>
              <w:rPr>
                <w:sz w:val="20"/>
                <w:szCs w:val="20"/>
                <w:color w:val="auto"/>
              </w:rPr>
            </w:pPr>
            <w:r>
              <w:rPr>
                <w:rFonts w:ascii="Arial" w:cs="Arial" w:eastAsia="Arial" w:hAnsi="Arial"/>
                <w:sz w:val="20"/>
                <w:szCs w:val="20"/>
                <w:color w:val="auto"/>
                <w:w w:val="89"/>
              </w:rPr>
              <w:t>—</w:t>
            </w:r>
          </w:p>
        </w:tc>
        <w:tc>
          <w:tcPr>
            <w:tcW w:w="240" w:type="dxa"/>
            <w:vAlign w:val="bottom"/>
          </w:tcPr>
          <w:p>
            <w:pPr>
              <w:spacing w:after="0"/>
              <w:rPr>
                <w:sz w:val="20"/>
                <w:szCs w:val="20"/>
                <w:color w:val="auto"/>
              </w:rPr>
            </w:pPr>
          </w:p>
        </w:tc>
        <w:tc>
          <w:tcPr>
            <w:tcW w:w="214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14,668,891</w:t>
            </w:r>
          </w:p>
        </w:tc>
        <w:tc>
          <w:tcPr>
            <w:tcW w:w="100" w:type="dxa"/>
            <w:vAlign w:val="bottom"/>
          </w:tcPr>
          <w:p>
            <w:pPr>
              <w:spacing w:after="0"/>
              <w:rPr>
                <w:sz w:val="20"/>
                <w:szCs w:val="20"/>
                <w:color w:val="auto"/>
              </w:rPr>
            </w:pPr>
          </w:p>
        </w:tc>
      </w:tr>
      <w:tr>
        <w:trPr>
          <w:trHeight w:val="241"/>
        </w:trPr>
        <w:tc>
          <w:tcPr>
            <w:tcW w:w="42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June 1, 2017 - June 30, 2017</w:t>
            </w:r>
          </w:p>
        </w:tc>
        <w:tc>
          <w:tcPr>
            <w:tcW w:w="1760" w:type="dxa"/>
            <w:vAlign w:val="bottom"/>
            <w:gridSpan w:val="2"/>
            <w:shd w:val="clear" w:color="auto" w:fill="CFF0FC"/>
          </w:tcPr>
          <w:p>
            <w:pPr>
              <w:ind w:left="1320"/>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362"/>
              <w:spacing w:after="0"/>
              <w:rPr>
                <w:sz w:val="20"/>
                <w:szCs w:val="20"/>
                <w:color w:val="auto"/>
              </w:rPr>
            </w:pPr>
            <w:r>
              <w:rPr>
                <w:rFonts w:ascii="Arial" w:cs="Arial" w:eastAsia="Arial" w:hAnsi="Arial"/>
                <w:sz w:val="20"/>
                <w:szCs w:val="20"/>
                <w:color w:val="auto"/>
                <w:w w:val="71"/>
              </w:rPr>
              <w:t>$</w:t>
            </w:r>
          </w:p>
        </w:tc>
        <w:tc>
          <w:tcPr>
            <w:tcW w:w="660" w:type="dxa"/>
            <w:vAlign w:val="bottom"/>
            <w:shd w:val="clear" w:color="auto" w:fill="CFF0FC"/>
          </w:tcPr>
          <w:p>
            <w:pPr>
              <w:ind w:left="460"/>
              <w:spacing w:after="0"/>
              <w:rPr>
                <w:sz w:val="20"/>
                <w:szCs w:val="20"/>
                <w:color w:val="auto"/>
              </w:rPr>
            </w:pPr>
            <w:r>
              <w:rPr>
                <w:rFonts w:ascii="Arial" w:cs="Arial" w:eastAsia="Arial" w:hAnsi="Arial"/>
                <w:sz w:val="20"/>
                <w:szCs w:val="20"/>
                <w:color w:val="auto"/>
                <w:w w:val="89"/>
              </w:rPr>
              <w:t>—</w:t>
            </w:r>
          </w:p>
        </w:tc>
        <w:tc>
          <w:tcPr>
            <w:tcW w:w="240" w:type="dxa"/>
            <w:vAlign w:val="bottom"/>
            <w:shd w:val="clear" w:color="auto" w:fill="CFF0FC"/>
          </w:tcPr>
          <w:p>
            <w:pPr>
              <w:spacing w:after="0"/>
              <w:rPr>
                <w:sz w:val="20"/>
                <w:szCs w:val="20"/>
                <w:color w:val="auto"/>
              </w:rPr>
            </w:pPr>
          </w:p>
        </w:tc>
        <w:tc>
          <w:tcPr>
            <w:tcW w:w="21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14,668,891</w:t>
            </w:r>
          </w:p>
        </w:tc>
        <w:tc>
          <w:tcPr>
            <w:tcW w:w="100" w:type="dxa"/>
            <w:vAlign w:val="bottom"/>
            <w:shd w:val="clear" w:color="auto" w:fill="CFF0FC"/>
          </w:tcPr>
          <w:p>
            <w:pPr>
              <w:spacing w:after="0"/>
              <w:rPr>
                <w:sz w:val="20"/>
                <w:szCs w:val="20"/>
                <w:color w:val="auto"/>
              </w:rPr>
            </w:pPr>
          </w:p>
        </w:tc>
      </w:tr>
    </w:tbl>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47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02"/>
              <w:spacing w:after="0"/>
              <w:rPr>
                <w:sz w:val="20"/>
                <w:szCs w:val="20"/>
                <w:color w:val="auto"/>
              </w:rPr>
            </w:pPr>
            <w:r>
              <w:rPr>
                <w:rFonts w:ascii="Arial" w:cs="Arial" w:eastAsia="Arial" w:hAnsi="Arial"/>
                <w:sz w:val="20"/>
                <w:szCs w:val="20"/>
                <w:color w:val="auto"/>
                <w:w w:val="96"/>
              </w:rPr>
              <w:t>MARTIN MARIETTA MATERIALS, INC. AND CONSOLIDATED SUBSIDIARIES</w:t>
            </w:r>
          </w:p>
        </w:tc>
      </w:tr>
      <w:tr>
        <w:trPr>
          <w:trHeight w:val="227"/>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02"/>
              <w:spacing w:after="0" w:line="228" w:lineRule="exact"/>
              <w:rPr>
                <w:sz w:val="20"/>
                <w:szCs w:val="20"/>
                <w:color w:val="auto"/>
              </w:rPr>
            </w:pPr>
            <w:r>
              <w:rPr>
                <w:rFonts w:ascii="Arial" w:cs="Arial" w:eastAsia="Arial" w:hAnsi="Arial"/>
                <w:sz w:val="20"/>
                <w:szCs w:val="20"/>
                <w:color w:val="auto"/>
                <w:w w:val="91"/>
              </w:rPr>
              <w:t>FORM 10-Q</w:t>
            </w:r>
          </w:p>
        </w:tc>
      </w:tr>
      <w:tr>
        <w:trPr>
          <w:trHeight w:val="249"/>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87"/>
              </w:rPr>
              <w:t>For the Quarter Ended June 30, 2017</w:t>
            </w:r>
          </w:p>
        </w:tc>
      </w:tr>
      <w:tr>
        <w:trPr>
          <w:trHeight w:val="420"/>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94"/>
              </w:rPr>
              <w:t>PART II- OTHER INFORMATION</w:t>
            </w:r>
          </w:p>
        </w:tc>
      </w:tr>
      <w:tr>
        <w:trPr>
          <w:trHeight w:val="249"/>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jc w:val="center"/>
              <w:ind w:right="1222"/>
              <w:spacing w:after="0"/>
              <w:rPr>
                <w:sz w:val="20"/>
                <w:szCs w:val="20"/>
                <w:color w:val="auto"/>
              </w:rPr>
            </w:pPr>
            <w:r>
              <w:rPr>
                <w:rFonts w:ascii="Arial" w:cs="Arial" w:eastAsia="Arial" w:hAnsi="Arial"/>
                <w:sz w:val="20"/>
                <w:szCs w:val="20"/>
                <w:color w:val="auto"/>
                <w:w w:val="89"/>
              </w:rPr>
              <w:t>(Continued)</w:t>
            </w:r>
          </w:p>
        </w:tc>
      </w:tr>
      <w:tr>
        <w:trPr>
          <w:trHeight w:val="330"/>
        </w:trPr>
        <w:tc>
          <w:tcPr>
            <w:tcW w:w="11420" w:type="dxa"/>
            <w:vAlign w:val="bottom"/>
            <w:gridSpan w:val="4"/>
          </w:tcPr>
          <w:p>
            <w:pPr>
              <w:spacing w:after="0"/>
              <w:rPr>
                <w:sz w:val="20"/>
                <w:szCs w:val="20"/>
                <w:color w:val="auto"/>
              </w:rPr>
            </w:pPr>
            <w:r>
              <w:rPr>
                <w:rFonts w:ascii="Arial" w:cs="Arial" w:eastAsia="Arial" w:hAnsi="Arial"/>
                <w:sz w:val="20"/>
                <w:szCs w:val="20"/>
                <w:color w:val="auto"/>
              </w:rPr>
              <w:t>Item 6. Exhibits.</w:t>
            </w:r>
          </w:p>
        </w:tc>
      </w:tr>
      <w:tr>
        <w:trPr>
          <w:trHeight w:val="475"/>
        </w:trPr>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20"/>
                <w:szCs w:val="20"/>
                <w:color w:val="auto"/>
              </w:rPr>
              <w:t>Exhibit No.</w:t>
            </w:r>
          </w:p>
        </w:tc>
        <w:tc>
          <w:tcPr>
            <w:tcW w:w="140" w:type="dxa"/>
            <w:vAlign w:val="bottom"/>
            <w:tcBorders>
              <w:top w:val="single" w:sz="8" w:color="auto"/>
            </w:tcBorders>
          </w:tcPr>
          <w:p>
            <w:pPr>
              <w:spacing w:after="0"/>
              <w:rPr>
                <w:sz w:val="24"/>
                <w:szCs w:val="24"/>
                <w:color w:val="auto"/>
              </w:rPr>
            </w:pPr>
          </w:p>
        </w:tc>
        <w:tc>
          <w:tcPr>
            <w:tcW w:w="10100" w:type="dxa"/>
            <w:vAlign w:val="bottom"/>
          </w:tcPr>
          <w:p>
            <w:pPr>
              <w:ind w:left="4560"/>
              <w:spacing w:after="0"/>
              <w:rPr>
                <w:sz w:val="20"/>
                <w:szCs w:val="20"/>
                <w:color w:val="auto"/>
              </w:rPr>
            </w:pPr>
            <w:r>
              <w:rPr>
                <w:rFonts w:ascii="Arial" w:cs="Arial" w:eastAsia="Arial" w:hAnsi="Arial"/>
                <w:sz w:val="20"/>
                <w:szCs w:val="20"/>
                <w:color w:val="auto"/>
              </w:rPr>
              <w:t>Document</w:t>
            </w:r>
          </w:p>
        </w:tc>
      </w:tr>
      <w:tr>
        <w:trPr>
          <w:trHeight w:val="346"/>
        </w:trPr>
        <w:tc>
          <w:tcPr>
            <w:tcW w:w="10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10.01</w:t>
            </w:r>
          </w:p>
        </w:tc>
        <w:tc>
          <w:tcPr>
            <w:tcW w:w="120" w:type="dxa"/>
            <w:vAlign w:val="bottom"/>
          </w:tcPr>
          <w:p>
            <w:pPr>
              <w:spacing w:after="0"/>
              <w:rPr>
                <w:sz w:val="24"/>
                <w:szCs w:val="24"/>
                <w:color w:val="auto"/>
              </w:rPr>
            </w:pPr>
          </w:p>
        </w:tc>
        <w:tc>
          <w:tcPr>
            <w:tcW w:w="102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Offer Letter, dated as of June 9, 2017, by and between Martin Marietta Materials, Inc. and James A. J. Nickolas</w:t>
            </w:r>
          </w:p>
        </w:tc>
      </w:tr>
      <w:tr>
        <w:trPr>
          <w:trHeight w:val="327"/>
        </w:trPr>
        <w:tc>
          <w:tcPr>
            <w:tcW w:w="1060" w:type="dxa"/>
            <w:vAlign w:val="bottom"/>
          </w:tcPr>
          <w:p>
            <w:pPr>
              <w:spacing w:after="0"/>
              <w:rPr>
                <w:sz w:val="20"/>
                <w:szCs w:val="20"/>
                <w:color w:val="auto"/>
              </w:rPr>
            </w:pPr>
            <w:r>
              <w:rPr>
                <w:rFonts w:ascii="Arial" w:cs="Arial" w:eastAsia="Arial" w:hAnsi="Arial"/>
                <w:sz w:val="20"/>
                <w:szCs w:val="20"/>
                <w:color w:val="auto"/>
              </w:rPr>
              <w:t>31.01</w:t>
            </w:r>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2"/>
              </w:rPr>
              <w:t>Certification dated August 1, 2017 of Chief Executive Officer pursuant to Securities and Exchange Act of 1934 rule 13a-14 as</w:t>
            </w:r>
          </w:p>
        </w:tc>
      </w:tr>
      <w:tr>
        <w:trPr>
          <w:trHeight w:val="249"/>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27"/>
        </w:trPr>
        <w:tc>
          <w:tcPr>
            <w:tcW w:w="1060" w:type="dxa"/>
            <w:vAlign w:val="bottom"/>
          </w:tcPr>
          <w:p>
            <w:pPr>
              <w:spacing w:after="0"/>
              <w:rPr>
                <w:sz w:val="20"/>
                <w:szCs w:val="20"/>
                <w:color w:val="auto"/>
              </w:rPr>
            </w:pPr>
            <w:r>
              <w:rPr>
                <w:rFonts w:ascii="Arial" w:cs="Arial" w:eastAsia="Arial" w:hAnsi="Arial"/>
                <w:sz w:val="20"/>
                <w:szCs w:val="20"/>
                <w:color w:val="auto"/>
              </w:rPr>
              <w:t>31.02</w:t>
            </w:r>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3"/>
              </w:rPr>
              <w:t>Certification dated August 1, 2017 of Chief Financial Officer pursuant to Securities and Exchange Act of 1934 rule 13a-14 as</w:t>
            </w:r>
          </w:p>
        </w:tc>
      </w:tr>
      <w:tr>
        <w:trPr>
          <w:trHeight w:val="249"/>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27"/>
        </w:trPr>
        <w:tc>
          <w:tcPr>
            <w:tcW w:w="1060" w:type="dxa"/>
            <w:vAlign w:val="bottom"/>
          </w:tcPr>
          <w:p>
            <w:pPr>
              <w:spacing w:after="0"/>
              <w:rPr>
                <w:sz w:val="20"/>
                <w:szCs w:val="20"/>
                <w:color w:val="auto"/>
              </w:rPr>
            </w:pPr>
            <w:r>
              <w:rPr>
                <w:rFonts w:ascii="Arial" w:cs="Arial" w:eastAsia="Arial" w:hAnsi="Arial"/>
                <w:sz w:val="20"/>
                <w:szCs w:val="20"/>
                <w:color w:val="auto"/>
              </w:rPr>
              <w:t>32.01</w:t>
            </w:r>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7"/>
              </w:rPr>
              <w:t>Written Statement dated August 1, 2017 of Chief Executive Officer required by 18 U.S.C. 1350, as adopted pursuant to</w:t>
            </w:r>
          </w:p>
        </w:tc>
      </w:tr>
      <w:tr>
        <w:trPr>
          <w:trHeight w:val="249"/>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r>
        <w:trPr>
          <w:trHeight w:val="327"/>
        </w:trPr>
        <w:tc>
          <w:tcPr>
            <w:tcW w:w="1060" w:type="dxa"/>
            <w:vAlign w:val="bottom"/>
          </w:tcPr>
          <w:p>
            <w:pPr>
              <w:spacing w:after="0"/>
              <w:rPr>
                <w:sz w:val="20"/>
                <w:szCs w:val="20"/>
                <w:color w:val="auto"/>
              </w:rPr>
            </w:pPr>
            <w:r>
              <w:rPr>
                <w:rFonts w:ascii="Arial" w:cs="Arial" w:eastAsia="Arial" w:hAnsi="Arial"/>
                <w:sz w:val="20"/>
                <w:szCs w:val="20"/>
                <w:color w:val="auto"/>
              </w:rPr>
              <w:t>32.02</w:t>
            </w:r>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7"/>
              </w:rPr>
              <w:t>Written Statement dated August 1, 2017 of Chief Financial Officer required by 18 U.S.C. 1350, as adopted pursuant to</w:t>
            </w:r>
          </w:p>
        </w:tc>
      </w:tr>
      <w:tr>
        <w:trPr>
          <w:trHeight w:val="249"/>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r>
        <w:trPr>
          <w:trHeight w:val="348"/>
        </w:trPr>
        <w:tc>
          <w:tcPr>
            <w:tcW w:w="1060" w:type="dxa"/>
            <w:vAlign w:val="bottom"/>
          </w:tcPr>
          <w:p>
            <w:pPr>
              <w:spacing w:after="0"/>
              <w:rPr>
                <w:sz w:val="20"/>
                <w:szCs w:val="20"/>
                <w:color w:val="auto"/>
              </w:rPr>
            </w:pPr>
            <w:r>
              <w:rPr>
                <w:rFonts w:ascii="Arial" w:cs="Arial" w:eastAsia="Arial" w:hAnsi="Arial"/>
                <w:sz w:val="20"/>
                <w:szCs w:val="20"/>
                <w:color w:val="auto"/>
              </w:rPr>
              <w:t>95</w:t>
            </w:r>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Mine Safety Disclosures</w:t>
            </w:r>
          </w:p>
        </w:tc>
      </w:tr>
      <w:tr>
        <w:trPr>
          <w:trHeight w:val="348"/>
        </w:trPr>
        <w:tc>
          <w:tcPr>
            <w:tcW w:w="1180" w:type="dxa"/>
            <w:vAlign w:val="bottom"/>
            <w:gridSpan w:val="2"/>
          </w:tcPr>
          <w:p>
            <w:pPr>
              <w:spacing w:after="0"/>
              <w:rPr>
                <w:sz w:val="20"/>
                <w:szCs w:val="20"/>
                <w:color w:val="auto"/>
              </w:rPr>
            </w:pPr>
            <w:r>
              <w:rPr>
                <w:rFonts w:ascii="Arial" w:cs="Arial" w:eastAsia="Arial" w:hAnsi="Arial"/>
                <w:sz w:val="20"/>
                <w:szCs w:val="20"/>
                <w:color w:val="auto"/>
              </w:rPr>
              <w:t>101.INS</w:t>
            </w:r>
          </w:p>
        </w:tc>
        <w:tc>
          <w:tcPr>
            <w:tcW w:w="10240" w:type="dxa"/>
            <w:vAlign w:val="bottom"/>
            <w:gridSpan w:val="2"/>
          </w:tcPr>
          <w:p>
            <w:pPr>
              <w:spacing w:after="0"/>
              <w:rPr>
                <w:sz w:val="20"/>
                <w:szCs w:val="20"/>
                <w:color w:val="auto"/>
              </w:rPr>
            </w:pPr>
            <w:r>
              <w:rPr>
                <w:rFonts w:ascii="Arial" w:cs="Arial" w:eastAsia="Arial" w:hAnsi="Arial"/>
                <w:sz w:val="20"/>
                <w:szCs w:val="20"/>
                <w:color w:val="auto"/>
              </w:rPr>
              <w:t>XBRL Instance Document</w:t>
            </w:r>
          </w:p>
        </w:tc>
      </w:tr>
      <w:tr>
        <w:trPr>
          <w:trHeight w:val="348"/>
        </w:trPr>
        <w:tc>
          <w:tcPr>
            <w:tcW w:w="1180" w:type="dxa"/>
            <w:vAlign w:val="bottom"/>
            <w:gridSpan w:val="2"/>
          </w:tcPr>
          <w:p>
            <w:pPr>
              <w:spacing w:after="0"/>
              <w:rPr>
                <w:sz w:val="20"/>
                <w:szCs w:val="20"/>
                <w:color w:val="auto"/>
              </w:rPr>
            </w:pPr>
            <w:r>
              <w:rPr>
                <w:rFonts w:ascii="Arial" w:cs="Arial" w:eastAsia="Arial" w:hAnsi="Arial"/>
                <w:sz w:val="20"/>
                <w:szCs w:val="20"/>
                <w:color w:val="auto"/>
              </w:rPr>
              <w:t>101.SCH</w:t>
            </w:r>
          </w:p>
        </w:tc>
        <w:tc>
          <w:tcPr>
            <w:tcW w:w="10240" w:type="dxa"/>
            <w:vAlign w:val="bottom"/>
            <w:gridSpan w:val="2"/>
          </w:tcPr>
          <w:p>
            <w:pPr>
              <w:spacing w:after="0"/>
              <w:rPr>
                <w:sz w:val="20"/>
                <w:szCs w:val="20"/>
                <w:color w:val="auto"/>
              </w:rPr>
            </w:pPr>
            <w:r>
              <w:rPr>
                <w:rFonts w:ascii="Arial" w:cs="Arial" w:eastAsia="Arial" w:hAnsi="Arial"/>
                <w:sz w:val="20"/>
                <w:szCs w:val="20"/>
                <w:color w:val="auto"/>
              </w:rPr>
              <w:t>XBRL Taxonomy Extension Schema Document</w:t>
            </w:r>
          </w:p>
        </w:tc>
      </w:tr>
      <w:tr>
        <w:trPr>
          <w:trHeight w:val="348"/>
        </w:trPr>
        <w:tc>
          <w:tcPr>
            <w:tcW w:w="1180" w:type="dxa"/>
            <w:vAlign w:val="bottom"/>
            <w:gridSpan w:val="2"/>
          </w:tcPr>
          <w:p>
            <w:pPr>
              <w:spacing w:after="0"/>
              <w:rPr>
                <w:sz w:val="20"/>
                <w:szCs w:val="20"/>
                <w:color w:val="auto"/>
              </w:rPr>
            </w:pPr>
            <w:r>
              <w:rPr>
                <w:rFonts w:ascii="Arial" w:cs="Arial" w:eastAsia="Arial" w:hAnsi="Arial"/>
                <w:sz w:val="20"/>
                <w:szCs w:val="20"/>
                <w:color w:val="auto"/>
              </w:rPr>
              <w:t>101.CAL</w:t>
            </w:r>
          </w:p>
        </w:tc>
        <w:tc>
          <w:tcPr>
            <w:tcW w:w="10240" w:type="dxa"/>
            <w:vAlign w:val="bottom"/>
            <w:gridSpan w:val="2"/>
          </w:tcPr>
          <w:p>
            <w:pPr>
              <w:spacing w:after="0"/>
              <w:rPr>
                <w:sz w:val="20"/>
                <w:szCs w:val="20"/>
                <w:color w:val="auto"/>
              </w:rPr>
            </w:pPr>
            <w:r>
              <w:rPr>
                <w:rFonts w:ascii="Arial" w:cs="Arial" w:eastAsia="Arial" w:hAnsi="Arial"/>
                <w:sz w:val="20"/>
                <w:szCs w:val="20"/>
                <w:color w:val="auto"/>
              </w:rPr>
              <w:t>XBRL Taxonomy Extension Calculation Linkbase Document</w:t>
            </w:r>
          </w:p>
        </w:tc>
      </w:tr>
      <w:tr>
        <w:trPr>
          <w:trHeight w:val="348"/>
        </w:trPr>
        <w:tc>
          <w:tcPr>
            <w:tcW w:w="1180" w:type="dxa"/>
            <w:vAlign w:val="bottom"/>
            <w:gridSpan w:val="2"/>
          </w:tcPr>
          <w:p>
            <w:pPr>
              <w:spacing w:after="0"/>
              <w:rPr>
                <w:sz w:val="20"/>
                <w:szCs w:val="20"/>
                <w:color w:val="auto"/>
              </w:rPr>
            </w:pPr>
            <w:r>
              <w:rPr>
                <w:rFonts w:ascii="Arial" w:cs="Arial" w:eastAsia="Arial" w:hAnsi="Arial"/>
                <w:sz w:val="20"/>
                <w:szCs w:val="20"/>
                <w:color w:val="auto"/>
              </w:rPr>
              <w:t>101.LAB</w:t>
            </w:r>
          </w:p>
        </w:tc>
        <w:tc>
          <w:tcPr>
            <w:tcW w:w="10240" w:type="dxa"/>
            <w:vAlign w:val="bottom"/>
            <w:gridSpan w:val="2"/>
          </w:tcPr>
          <w:p>
            <w:pPr>
              <w:spacing w:after="0"/>
              <w:rPr>
                <w:sz w:val="20"/>
                <w:szCs w:val="20"/>
                <w:color w:val="auto"/>
              </w:rPr>
            </w:pPr>
            <w:r>
              <w:rPr>
                <w:rFonts w:ascii="Arial" w:cs="Arial" w:eastAsia="Arial" w:hAnsi="Arial"/>
                <w:sz w:val="20"/>
                <w:szCs w:val="20"/>
                <w:color w:val="auto"/>
              </w:rPr>
              <w:t>XBRL Taxonomy Extension Label Linkbase Document</w:t>
            </w:r>
          </w:p>
        </w:tc>
      </w:tr>
      <w:tr>
        <w:trPr>
          <w:trHeight w:val="348"/>
        </w:trPr>
        <w:tc>
          <w:tcPr>
            <w:tcW w:w="1180" w:type="dxa"/>
            <w:vAlign w:val="bottom"/>
            <w:gridSpan w:val="2"/>
          </w:tcPr>
          <w:p>
            <w:pPr>
              <w:spacing w:after="0"/>
              <w:rPr>
                <w:sz w:val="20"/>
                <w:szCs w:val="20"/>
                <w:color w:val="auto"/>
              </w:rPr>
            </w:pPr>
            <w:r>
              <w:rPr>
                <w:rFonts w:ascii="Arial" w:cs="Arial" w:eastAsia="Arial" w:hAnsi="Arial"/>
                <w:sz w:val="20"/>
                <w:szCs w:val="20"/>
                <w:color w:val="auto"/>
              </w:rPr>
              <w:t>101.PRE</w:t>
            </w:r>
          </w:p>
        </w:tc>
        <w:tc>
          <w:tcPr>
            <w:tcW w:w="10240" w:type="dxa"/>
            <w:vAlign w:val="bottom"/>
            <w:gridSpan w:val="2"/>
          </w:tcPr>
          <w:p>
            <w:pPr>
              <w:spacing w:after="0"/>
              <w:rPr>
                <w:sz w:val="20"/>
                <w:szCs w:val="20"/>
                <w:color w:val="auto"/>
              </w:rPr>
            </w:pPr>
            <w:r>
              <w:rPr>
                <w:rFonts w:ascii="Arial" w:cs="Arial" w:eastAsia="Arial" w:hAnsi="Arial"/>
                <w:sz w:val="20"/>
                <w:szCs w:val="20"/>
                <w:color w:val="auto"/>
              </w:rPr>
              <w:t>XBRL Taxonomy Extension Presentation Linkbase Document</w:t>
            </w:r>
          </w:p>
        </w:tc>
      </w:tr>
      <w:tr>
        <w:trPr>
          <w:trHeight w:val="348"/>
        </w:trPr>
        <w:tc>
          <w:tcPr>
            <w:tcW w:w="1180" w:type="dxa"/>
            <w:vAlign w:val="bottom"/>
            <w:gridSpan w:val="2"/>
          </w:tcPr>
          <w:p>
            <w:pPr>
              <w:spacing w:after="0"/>
              <w:rPr>
                <w:sz w:val="20"/>
                <w:szCs w:val="20"/>
                <w:color w:val="auto"/>
              </w:rPr>
            </w:pPr>
            <w:r>
              <w:rPr>
                <w:rFonts w:ascii="Arial" w:cs="Arial" w:eastAsia="Arial" w:hAnsi="Arial"/>
                <w:sz w:val="20"/>
                <w:szCs w:val="20"/>
                <w:color w:val="auto"/>
              </w:rPr>
              <w:t>101.DEF</w:t>
            </w:r>
          </w:p>
        </w:tc>
        <w:tc>
          <w:tcPr>
            <w:tcW w:w="10240" w:type="dxa"/>
            <w:vAlign w:val="bottom"/>
            <w:gridSpan w:val="2"/>
          </w:tcPr>
          <w:p>
            <w:pPr>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48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SIGNATURES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49"/>
        </w:trPr>
        <w:tc>
          <w:tcPr>
            <w:tcW w:w="42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220" w:type="dxa"/>
            <w:vAlign w:val="bottom"/>
          </w:tcPr>
          <w:p>
            <w:pPr>
              <w:jc w:val="center"/>
              <w:ind w:right="1982"/>
              <w:spacing w:after="0"/>
              <w:rPr>
                <w:sz w:val="20"/>
                <w:szCs w:val="20"/>
                <w:color w:val="auto"/>
              </w:rPr>
            </w:pPr>
            <w:r>
              <w:rPr>
                <w:rFonts w:ascii="Arial" w:cs="Arial" w:eastAsia="Arial" w:hAnsi="Arial"/>
                <w:sz w:val="20"/>
                <w:szCs w:val="20"/>
                <w:color w:val="auto"/>
                <w:w w:val="89"/>
              </w:rPr>
              <w:t>(Registrant)</w:t>
            </w:r>
          </w:p>
        </w:tc>
      </w:tr>
      <w:tr>
        <w:trPr>
          <w:trHeight w:val="450"/>
        </w:trPr>
        <w:tc>
          <w:tcPr>
            <w:tcW w:w="4240" w:type="dxa"/>
            <w:vAlign w:val="bottom"/>
          </w:tcPr>
          <w:p>
            <w:pPr>
              <w:spacing w:after="0"/>
              <w:rPr>
                <w:sz w:val="20"/>
                <w:szCs w:val="20"/>
                <w:color w:val="auto"/>
              </w:rPr>
            </w:pPr>
            <w:r>
              <w:rPr>
                <w:rFonts w:ascii="Arial" w:cs="Arial" w:eastAsia="Arial" w:hAnsi="Arial"/>
                <w:sz w:val="20"/>
                <w:szCs w:val="20"/>
                <w:color w:val="auto"/>
              </w:rPr>
              <w:t>Date: August 1, 2017</w:t>
            </w:r>
          </w:p>
        </w:tc>
        <w:tc>
          <w:tcPr>
            <w:tcW w:w="7180" w:type="dxa"/>
            <w:vAlign w:val="bottom"/>
            <w:gridSpan w:val="2"/>
          </w:tcPr>
          <w:p>
            <w:pPr>
              <w:ind w:left="2560"/>
              <w:spacing w:after="0"/>
              <w:rPr>
                <w:sz w:val="20"/>
                <w:szCs w:val="20"/>
                <w:color w:val="auto"/>
              </w:rPr>
            </w:pPr>
            <w:r>
              <w:rPr>
                <w:rFonts w:ascii="Arial" w:cs="Arial" w:eastAsia="Arial" w:hAnsi="Arial"/>
                <w:sz w:val="20"/>
                <w:szCs w:val="20"/>
                <w:color w:val="auto"/>
              </w:rPr>
              <w:t>By: /s/ Anne H. Lloyd</w:t>
            </w:r>
          </w:p>
        </w:tc>
      </w:tr>
      <w:tr>
        <w:trPr>
          <w:trHeight w:val="204"/>
        </w:trPr>
        <w:tc>
          <w:tcPr>
            <w:tcW w:w="42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220" w:type="dxa"/>
            <w:vAlign w:val="bottom"/>
            <w:tcBorders>
              <w:top w:val="single" w:sz="8" w:color="auto"/>
            </w:tcBorders>
          </w:tcPr>
          <w:p>
            <w:pPr>
              <w:spacing w:after="0" w:line="204" w:lineRule="exact"/>
              <w:rPr>
                <w:sz w:val="20"/>
                <w:szCs w:val="20"/>
                <w:color w:val="auto"/>
              </w:rPr>
            </w:pPr>
            <w:r>
              <w:rPr>
                <w:rFonts w:ascii="Arial" w:cs="Arial" w:eastAsia="Arial" w:hAnsi="Arial"/>
                <w:sz w:val="20"/>
                <w:szCs w:val="20"/>
                <w:color w:val="auto"/>
              </w:rPr>
              <w:t>Anne H. Lloyd</w:t>
            </w:r>
          </w:p>
        </w:tc>
      </w:tr>
      <w:tr>
        <w:trPr>
          <w:trHeight w:val="227"/>
        </w:trPr>
        <w:tc>
          <w:tcPr>
            <w:tcW w:w="42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20" w:type="dxa"/>
            <w:vAlign w:val="bottom"/>
          </w:tcPr>
          <w:p>
            <w:pPr>
              <w:spacing w:after="0" w:line="228" w:lineRule="exact"/>
              <w:rPr>
                <w:sz w:val="20"/>
                <w:szCs w:val="20"/>
                <w:color w:val="auto"/>
              </w:rPr>
            </w:pPr>
            <w:r>
              <w:rPr>
                <w:rFonts w:ascii="Arial" w:cs="Arial" w:eastAsia="Arial" w:hAnsi="Arial"/>
                <w:sz w:val="20"/>
                <w:szCs w:val="20"/>
                <w:color w:val="auto"/>
              </w:rPr>
              <w:t>Executive Vice President and</w:t>
            </w:r>
          </w:p>
        </w:tc>
      </w:tr>
      <w:tr>
        <w:trPr>
          <w:trHeight w:val="249"/>
        </w:trPr>
        <w:tc>
          <w:tcPr>
            <w:tcW w:w="42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220" w:type="dxa"/>
            <w:vAlign w:val="bottom"/>
          </w:tcPr>
          <w:p>
            <w:pPr>
              <w:jc w:val="center"/>
              <w:ind w:right="1982"/>
              <w:spacing w:after="0"/>
              <w:rPr>
                <w:sz w:val="20"/>
                <w:szCs w:val="20"/>
                <w:color w:val="auto"/>
              </w:rPr>
            </w:pPr>
            <w:r>
              <w:rPr>
                <w:rFonts w:ascii="Arial" w:cs="Arial" w:eastAsia="Arial" w:hAnsi="Arial"/>
                <w:sz w:val="20"/>
                <w:szCs w:val="20"/>
                <w:color w:val="auto"/>
                <w:w w:val="92"/>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49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64135</wp:posOffset>
            </wp:positionV>
            <wp:extent cx="729043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40" w:type="dxa"/>
            <w:vAlign w:val="bottom"/>
          </w:tcPr>
          <w:p>
            <w:pPr>
              <w:jc w:val="center"/>
              <w:ind w:right="1062"/>
              <w:spacing w:after="0"/>
              <w:rPr>
                <w:sz w:val="20"/>
                <w:szCs w:val="20"/>
                <w:color w:val="auto"/>
              </w:rPr>
            </w:pPr>
            <w:r>
              <w:rPr>
                <w:rFonts w:ascii="Arial" w:cs="Arial" w:eastAsia="Arial" w:hAnsi="Arial"/>
                <w:sz w:val="20"/>
                <w:szCs w:val="20"/>
                <w:color w:val="auto"/>
                <w:w w:val="96"/>
              </w:rPr>
              <w:t>MARTIN MARIETTA MATERIALS, INC. AND CONSOLIDATED SUBSIDIARIES</w:t>
            </w:r>
          </w:p>
        </w:tc>
      </w:tr>
      <w:tr>
        <w:trPr>
          <w:trHeight w:val="227"/>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40" w:type="dxa"/>
            <w:vAlign w:val="bottom"/>
          </w:tcPr>
          <w:p>
            <w:pPr>
              <w:jc w:val="center"/>
              <w:ind w:right="1062"/>
              <w:spacing w:after="0" w:line="228" w:lineRule="exact"/>
              <w:rPr>
                <w:sz w:val="20"/>
                <w:szCs w:val="20"/>
                <w:color w:val="auto"/>
              </w:rPr>
            </w:pPr>
            <w:r>
              <w:rPr>
                <w:rFonts w:ascii="Arial" w:cs="Arial" w:eastAsia="Arial" w:hAnsi="Arial"/>
                <w:sz w:val="20"/>
                <w:szCs w:val="20"/>
                <w:color w:val="auto"/>
                <w:w w:val="91"/>
              </w:rPr>
              <w:t>FORM 10-Q</w:t>
            </w:r>
          </w:p>
        </w:tc>
      </w:tr>
      <w:tr>
        <w:trPr>
          <w:trHeight w:val="249"/>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jc w:val="center"/>
              <w:ind w:right="1082"/>
              <w:spacing w:after="0"/>
              <w:rPr>
                <w:sz w:val="20"/>
                <w:szCs w:val="20"/>
                <w:color w:val="auto"/>
              </w:rPr>
            </w:pPr>
            <w:r>
              <w:rPr>
                <w:rFonts w:ascii="Arial" w:cs="Arial" w:eastAsia="Arial" w:hAnsi="Arial"/>
                <w:sz w:val="20"/>
                <w:szCs w:val="20"/>
                <w:color w:val="auto"/>
                <w:w w:val="87"/>
              </w:rPr>
              <w:t>For the Quarter Ended June 30, 2017</w:t>
            </w:r>
          </w:p>
        </w:tc>
      </w:tr>
      <w:tr>
        <w:trPr>
          <w:trHeight w:val="442"/>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tcPr>
          <w:p>
            <w:pPr>
              <w:jc w:val="center"/>
              <w:ind w:right="1062"/>
              <w:spacing w:after="0"/>
              <w:rPr>
                <w:sz w:val="20"/>
                <w:szCs w:val="20"/>
                <w:color w:val="auto"/>
              </w:rPr>
            </w:pPr>
            <w:r>
              <w:rPr>
                <w:rFonts w:ascii="Arial" w:cs="Arial" w:eastAsia="Arial" w:hAnsi="Arial"/>
                <w:sz w:val="20"/>
                <w:szCs w:val="20"/>
                <w:color w:val="auto"/>
                <w:w w:val="99"/>
              </w:rPr>
              <w:t>EXHIBIT INDEX</w:t>
            </w:r>
          </w:p>
        </w:tc>
      </w:tr>
      <w:tr>
        <w:trPr>
          <w:trHeight w:val="446"/>
        </w:trPr>
        <w:tc>
          <w:tcPr>
            <w:tcW w:w="1180" w:type="dxa"/>
            <w:vAlign w:val="bottom"/>
            <w:gridSpan w:val="2"/>
          </w:tcPr>
          <w:p>
            <w:pPr>
              <w:ind w:left="80"/>
              <w:spacing w:after="0"/>
              <w:rPr>
                <w:sz w:val="20"/>
                <w:szCs w:val="20"/>
                <w:color w:val="auto"/>
              </w:rPr>
            </w:pPr>
            <w:r>
              <w:rPr>
                <w:rFonts w:ascii="Arial" w:cs="Arial" w:eastAsia="Arial" w:hAnsi="Arial"/>
                <w:sz w:val="20"/>
                <w:szCs w:val="20"/>
                <w:color w:val="auto"/>
              </w:rPr>
              <w:t>Exhibit No.</w:t>
            </w:r>
          </w:p>
        </w:tc>
        <w:tc>
          <w:tcPr>
            <w:tcW w:w="10240" w:type="dxa"/>
            <w:vAlign w:val="bottom"/>
          </w:tcPr>
          <w:p>
            <w:pPr>
              <w:ind w:left="4700"/>
              <w:spacing w:after="0"/>
              <w:rPr>
                <w:sz w:val="20"/>
                <w:szCs w:val="20"/>
                <w:color w:val="auto"/>
              </w:rPr>
            </w:pPr>
            <w:r>
              <w:rPr>
                <w:rFonts w:ascii="Arial" w:cs="Arial" w:eastAsia="Arial" w:hAnsi="Arial"/>
                <w:sz w:val="20"/>
                <w:szCs w:val="20"/>
                <w:color w:val="auto"/>
              </w:rPr>
              <w:t>Document</w:t>
            </w:r>
          </w:p>
        </w:tc>
      </w:tr>
      <w:tr>
        <w:trPr>
          <w:trHeight w:val="350"/>
        </w:trPr>
        <w:tc>
          <w:tcPr>
            <w:tcW w:w="10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10.01</w:t>
            </w:r>
          </w:p>
        </w:tc>
        <w:tc>
          <w:tcPr>
            <w:tcW w:w="120" w:type="dxa"/>
            <w:vAlign w:val="bottom"/>
          </w:tcPr>
          <w:p>
            <w:pPr>
              <w:spacing w:after="0"/>
              <w:rPr>
                <w:sz w:val="24"/>
                <w:szCs w:val="24"/>
                <w:color w:val="auto"/>
              </w:rPr>
            </w:pPr>
          </w:p>
        </w:tc>
        <w:tc>
          <w:tcPr>
            <w:tcW w:w="102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Offer Letter, dated as of June 9, 2017, by and between Martin Marietta Materials, Inc. and James A. J. Nickolas</w:t>
            </w:r>
          </w:p>
        </w:tc>
      </w:tr>
      <w:tr>
        <w:trPr>
          <w:trHeight w:val="327"/>
        </w:trPr>
        <w:tc>
          <w:tcPr>
            <w:tcW w:w="1060" w:type="dxa"/>
            <w:vAlign w:val="bottom"/>
          </w:tcPr>
          <w:p>
            <w:pPr>
              <w:spacing w:after="0"/>
              <w:rPr>
                <w:sz w:val="20"/>
                <w:szCs w:val="20"/>
                <w:color w:val="auto"/>
              </w:rPr>
            </w:pPr>
            <w:r>
              <w:rPr>
                <w:rFonts w:ascii="Arial" w:cs="Arial" w:eastAsia="Arial" w:hAnsi="Arial"/>
                <w:sz w:val="20"/>
                <w:szCs w:val="20"/>
                <w:color w:val="auto"/>
              </w:rPr>
              <w:t>31.01</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w w:val="92"/>
              </w:rPr>
              <w:t>Certification dated August 1, 2017 of Chief Executive Officer pursuant to Securities and Exchange Act of 1934 rule 13a-14 as</w:t>
            </w:r>
          </w:p>
        </w:tc>
      </w:tr>
      <w:tr>
        <w:trPr>
          <w:trHeight w:val="249"/>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27"/>
        </w:trPr>
        <w:tc>
          <w:tcPr>
            <w:tcW w:w="1060" w:type="dxa"/>
            <w:vAlign w:val="bottom"/>
          </w:tcPr>
          <w:p>
            <w:pPr>
              <w:spacing w:after="0"/>
              <w:rPr>
                <w:sz w:val="20"/>
                <w:szCs w:val="20"/>
                <w:color w:val="auto"/>
              </w:rPr>
            </w:pPr>
            <w:r>
              <w:rPr>
                <w:rFonts w:ascii="Arial" w:cs="Arial" w:eastAsia="Arial" w:hAnsi="Arial"/>
                <w:sz w:val="20"/>
                <w:szCs w:val="20"/>
                <w:color w:val="auto"/>
              </w:rPr>
              <w:t>31.02</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w w:val="93"/>
              </w:rPr>
              <w:t>Certification dated August 1, 2017 of Chief Financial Officer pursuant to Securities and Exchange Act of 1934 rule 13a-14 as</w:t>
            </w:r>
          </w:p>
        </w:tc>
      </w:tr>
      <w:tr>
        <w:trPr>
          <w:trHeight w:val="249"/>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27"/>
        </w:trPr>
        <w:tc>
          <w:tcPr>
            <w:tcW w:w="1060" w:type="dxa"/>
            <w:vAlign w:val="bottom"/>
          </w:tcPr>
          <w:p>
            <w:pPr>
              <w:spacing w:after="0"/>
              <w:rPr>
                <w:sz w:val="20"/>
                <w:szCs w:val="20"/>
                <w:color w:val="auto"/>
              </w:rPr>
            </w:pPr>
            <w:r>
              <w:rPr>
                <w:rFonts w:ascii="Arial" w:cs="Arial" w:eastAsia="Arial" w:hAnsi="Arial"/>
                <w:sz w:val="20"/>
                <w:szCs w:val="20"/>
                <w:color w:val="auto"/>
              </w:rPr>
              <w:t>32.01</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w w:val="91"/>
              </w:rPr>
              <w:t>Written Statement dated August 1, 2017 of Chief Executive Officer required by 18 U.S.C. 1350, as adopted pursuant to Section</w:t>
            </w:r>
          </w:p>
        </w:tc>
      </w:tr>
      <w:tr>
        <w:trPr>
          <w:trHeight w:val="249"/>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906 of the Sarbanes-Oxley Act of 2002</w:t>
            </w:r>
          </w:p>
        </w:tc>
      </w:tr>
      <w:tr>
        <w:trPr>
          <w:trHeight w:val="327"/>
        </w:trPr>
        <w:tc>
          <w:tcPr>
            <w:tcW w:w="1060" w:type="dxa"/>
            <w:vAlign w:val="bottom"/>
          </w:tcPr>
          <w:p>
            <w:pPr>
              <w:spacing w:after="0"/>
              <w:rPr>
                <w:sz w:val="20"/>
                <w:szCs w:val="20"/>
                <w:color w:val="auto"/>
              </w:rPr>
            </w:pPr>
            <w:r>
              <w:rPr>
                <w:rFonts w:ascii="Arial" w:cs="Arial" w:eastAsia="Arial" w:hAnsi="Arial"/>
                <w:sz w:val="20"/>
                <w:szCs w:val="20"/>
                <w:color w:val="auto"/>
              </w:rPr>
              <w:t>32.02</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w w:val="91"/>
              </w:rPr>
              <w:t>Written Statement dated August 1, 2017 of Chief Financial Officer required by 18 U.S.C. 1350, as adopted pursuant to Section</w:t>
            </w:r>
          </w:p>
        </w:tc>
      </w:tr>
      <w:tr>
        <w:trPr>
          <w:trHeight w:val="249"/>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906 of the Sarbanes-Oxley Act of 2002</w:t>
            </w:r>
          </w:p>
        </w:tc>
      </w:tr>
      <w:tr>
        <w:trPr>
          <w:trHeight w:val="348"/>
        </w:trPr>
        <w:tc>
          <w:tcPr>
            <w:tcW w:w="1060" w:type="dxa"/>
            <w:vAlign w:val="bottom"/>
          </w:tcPr>
          <w:p>
            <w:pPr>
              <w:spacing w:after="0"/>
              <w:rPr>
                <w:sz w:val="20"/>
                <w:szCs w:val="20"/>
                <w:color w:val="auto"/>
              </w:rPr>
            </w:pPr>
            <w:r>
              <w:rPr>
                <w:rFonts w:ascii="Arial" w:cs="Arial" w:eastAsia="Arial" w:hAnsi="Arial"/>
                <w:sz w:val="20"/>
                <w:szCs w:val="20"/>
                <w:color w:val="auto"/>
              </w:rPr>
              <w:t>95</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Mine Safety Disclosures</w:t>
            </w:r>
          </w:p>
        </w:tc>
      </w:tr>
      <w:tr>
        <w:trPr>
          <w:trHeight w:val="348"/>
        </w:trPr>
        <w:tc>
          <w:tcPr>
            <w:tcW w:w="1180" w:type="dxa"/>
            <w:vAlign w:val="bottom"/>
            <w:gridSpan w:val="2"/>
          </w:tcPr>
          <w:p>
            <w:pPr>
              <w:spacing w:after="0"/>
              <w:rPr>
                <w:sz w:val="20"/>
                <w:szCs w:val="20"/>
                <w:color w:val="auto"/>
              </w:rPr>
            </w:pPr>
            <w:r>
              <w:rPr>
                <w:rFonts w:ascii="Arial" w:cs="Arial" w:eastAsia="Arial" w:hAnsi="Arial"/>
                <w:sz w:val="20"/>
                <w:szCs w:val="20"/>
                <w:color w:val="auto"/>
              </w:rPr>
              <w:t>101.INS</w:t>
            </w:r>
          </w:p>
        </w:tc>
        <w:tc>
          <w:tcPr>
            <w:tcW w:w="10240" w:type="dxa"/>
            <w:vAlign w:val="bottom"/>
          </w:tcPr>
          <w:p>
            <w:pPr>
              <w:spacing w:after="0"/>
              <w:rPr>
                <w:sz w:val="20"/>
                <w:szCs w:val="20"/>
                <w:color w:val="auto"/>
              </w:rPr>
            </w:pPr>
            <w:r>
              <w:rPr>
                <w:rFonts w:ascii="Arial" w:cs="Arial" w:eastAsia="Arial" w:hAnsi="Arial"/>
                <w:sz w:val="20"/>
                <w:szCs w:val="20"/>
                <w:color w:val="auto"/>
              </w:rPr>
              <w:t>XBRL Instance Document</w:t>
            </w:r>
          </w:p>
        </w:tc>
      </w:tr>
      <w:tr>
        <w:trPr>
          <w:trHeight w:val="348"/>
        </w:trPr>
        <w:tc>
          <w:tcPr>
            <w:tcW w:w="1180" w:type="dxa"/>
            <w:vAlign w:val="bottom"/>
            <w:gridSpan w:val="2"/>
          </w:tcPr>
          <w:p>
            <w:pPr>
              <w:spacing w:after="0"/>
              <w:rPr>
                <w:sz w:val="20"/>
                <w:szCs w:val="20"/>
                <w:color w:val="auto"/>
              </w:rPr>
            </w:pPr>
            <w:r>
              <w:rPr>
                <w:rFonts w:ascii="Arial" w:cs="Arial" w:eastAsia="Arial" w:hAnsi="Arial"/>
                <w:sz w:val="20"/>
                <w:szCs w:val="20"/>
                <w:color w:val="auto"/>
              </w:rPr>
              <w:t>101.SCH</w:t>
            </w: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Schema Document</w:t>
            </w:r>
          </w:p>
        </w:tc>
      </w:tr>
      <w:tr>
        <w:trPr>
          <w:trHeight w:val="348"/>
        </w:trPr>
        <w:tc>
          <w:tcPr>
            <w:tcW w:w="1180" w:type="dxa"/>
            <w:vAlign w:val="bottom"/>
            <w:gridSpan w:val="2"/>
          </w:tcPr>
          <w:p>
            <w:pPr>
              <w:spacing w:after="0"/>
              <w:rPr>
                <w:sz w:val="20"/>
                <w:szCs w:val="20"/>
                <w:color w:val="auto"/>
              </w:rPr>
            </w:pPr>
            <w:r>
              <w:rPr>
                <w:rFonts w:ascii="Arial" w:cs="Arial" w:eastAsia="Arial" w:hAnsi="Arial"/>
                <w:sz w:val="20"/>
                <w:szCs w:val="20"/>
                <w:color w:val="auto"/>
              </w:rPr>
              <w:t>101.CAL</w:t>
            </w: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Calculation Linkbase Document</w:t>
            </w:r>
          </w:p>
        </w:tc>
      </w:tr>
      <w:tr>
        <w:trPr>
          <w:trHeight w:val="348"/>
        </w:trPr>
        <w:tc>
          <w:tcPr>
            <w:tcW w:w="1180" w:type="dxa"/>
            <w:vAlign w:val="bottom"/>
            <w:gridSpan w:val="2"/>
          </w:tcPr>
          <w:p>
            <w:pPr>
              <w:spacing w:after="0"/>
              <w:rPr>
                <w:sz w:val="20"/>
                <w:szCs w:val="20"/>
                <w:color w:val="auto"/>
              </w:rPr>
            </w:pPr>
            <w:r>
              <w:rPr>
                <w:rFonts w:ascii="Arial" w:cs="Arial" w:eastAsia="Arial" w:hAnsi="Arial"/>
                <w:sz w:val="20"/>
                <w:szCs w:val="20"/>
                <w:color w:val="auto"/>
              </w:rPr>
              <w:t>101.LAB</w:t>
            </w: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Label Linkbase Document</w:t>
            </w:r>
          </w:p>
        </w:tc>
      </w:tr>
      <w:tr>
        <w:trPr>
          <w:trHeight w:val="348"/>
        </w:trPr>
        <w:tc>
          <w:tcPr>
            <w:tcW w:w="1180" w:type="dxa"/>
            <w:vAlign w:val="bottom"/>
            <w:gridSpan w:val="2"/>
          </w:tcPr>
          <w:p>
            <w:pPr>
              <w:spacing w:after="0"/>
              <w:rPr>
                <w:sz w:val="20"/>
                <w:szCs w:val="20"/>
                <w:color w:val="auto"/>
              </w:rPr>
            </w:pPr>
            <w:r>
              <w:rPr>
                <w:rFonts w:ascii="Arial" w:cs="Arial" w:eastAsia="Arial" w:hAnsi="Arial"/>
                <w:sz w:val="20"/>
                <w:szCs w:val="20"/>
                <w:color w:val="auto"/>
              </w:rPr>
              <w:t>101.PRE</w:t>
            </w: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Presentation Linkbase Document</w:t>
            </w:r>
          </w:p>
        </w:tc>
      </w:tr>
      <w:tr>
        <w:trPr>
          <w:trHeight w:val="348"/>
        </w:trPr>
        <w:tc>
          <w:tcPr>
            <w:tcW w:w="1180" w:type="dxa"/>
            <w:vAlign w:val="bottom"/>
            <w:gridSpan w:val="2"/>
          </w:tcPr>
          <w:p>
            <w:pPr>
              <w:spacing w:after="0"/>
              <w:rPr>
                <w:sz w:val="20"/>
                <w:szCs w:val="20"/>
                <w:color w:val="auto"/>
              </w:rPr>
            </w:pPr>
            <w:r>
              <w:rPr>
                <w:rFonts w:ascii="Arial" w:cs="Arial" w:eastAsia="Arial" w:hAnsi="Arial"/>
                <w:sz w:val="20"/>
                <w:szCs w:val="20"/>
                <w:color w:val="auto"/>
              </w:rPr>
              <w:t>101.DEF</w:t>
            </w: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50 of 50</w:t>
      </w:r>
    </w:p>
    <w:p>
      <w:pPr>
        <w:sectPr>
          <w:pgSz w:w="11900" w:h="16838" w:orient="portrait"/>
          <w:cols w:equalWidth="0" w:num="1">
            <w:col w:w="11420"/>
          </w:cols>
          <w:pgMar w:left="240" w:top="348" w:right="239" w:bottom="1440" w:gutter="0" w:footer="0" w:header="0"/>
        </w:sectPr>
      </w:pPr>
    </w:p>
    <w:bookmarkStart w:id="50" w:name="page51"/>
    <w:bookmarkEnd w:id="50"/>
    <w:p>
      <w:pPr>
        <w:ind w:left="9960"/>
        <w:spacing w:after="0"/>
        <w:rPr>
          <w:sz w:val="20"/>
          <w:szCs w:val="20"/>
          <w:color w:val="auto"/>
        </w:rPr>
      </w:pPr>
      <w:r>
        <w:rPr>
          <w:rFonts w:ascii="Arial" w:cs="Arial" w:eastAsia="Arial" w:hAnsi="Arial"/>
          <w:sz w:val="21"/>
          <w:szCs w:val="21"/>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June 9, 2017</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Via Federal Express</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color w:val="auto"/>
        </w:rPr>
        <w:t>Mr. James A. J. Nickolas</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2318 Indian Ridge Drive</w:t>
      </w:r>
    </w:p>
    <w:p>
      <w:pPr>
        <w:spacing w:after="0"/>
        <w:rPr>
          <w:sz w:val="20"/>
          <w:szCs w:val="20"/>
          <w:color w:val="auto"/>
        </w:rPr>
      </w:pPr>
      <w:r>
        <w:rPr>
          <w:rFonts w:ascii="Arial" w:cs="Arial" w:eastAsia="Arial" w:hAnsi="Arial"/>
          <w:sz w:val="21"/>
          <w:szCs w:val="21"/>
          <w:color w:val="auto"/>
        </w:rPr>
        <w:t>Glenview, IL</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Dear Jim:</w:t>
      </w:r>
    </w:p>
    <w:p>
      <w:pPr>
        <w:spacing w:after="0" w:line="240" w:lineRule="exact"/>
        <w:rPr>
          <w:sz w:val="20"/>
          <w:szCs w:val="20"/>
          <w:color w:val="auto"/>
        </w:rPr>
      </w:pPr>
    </w:p>
    <w:p>
      <w:pPr>
        <w:jc w:val="both"/>
        <w:spacing w:after="0" w:line="324" w:lineRule="auto"/>
        <w:rPr>
          <w:sz w:val="20"/>
          <w:szCs w:val="20"/>
          <w:color w:val="auto"/>
        </w:rPr>
      </w:pPr>
      <w:r>
        <w:rPr>
          <w:rFonts w:ascii="Arial" w:cs="Arial" w:eastAsia="Arial" w:hAnsi="Arial"/>
          <w:sz w:val="19"/>
          <w:szCs w:val="19"/>
          <w:color w:val="auto"/>
        </w:rPr>
        <w:t>Based on our recent meetings and dialogue, together with your background and experience, I am pleased to offer you what I believe is an extremely attractive opportunity to join Martin Marietta. This letter sets out the offer terms and a brief position description.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Starting on or around August 1, 2017, you will assume the position of Senior Vice President and Chief Financial Officer to provide exceptional financial leadership for the Company. Based in Raleigh, NC, you will serve as a business partner and strategic advisor to me, the leadership team and the Board of Directors on a wide range of financial, strategic, operational and organizational issues. You will play a critical role to help increase shareholder value by driving operational and financial goals, helping the business identify and capture revenue growth, operational efficiencies and investment opportunities.</w:t>
      </w:r>
    </w:p>
    <w:p>
      <w:pPr>
        <w:spacing w:after="0" w:line="190" w:lineRule="exact"/>
        <w:rPr>
          <w:sz w:val="20"/>
          <w:szCs w:val="20"/>
          <w:color w:val="auto"/>
        </w:rPr>
      </w:pPr>
    </w:p>
    <w:p>
      <w:pPr>
        <w:jc w:val="both"/>
        <w:ind w:left="440" w:hanging="433"/>
        <w:spacing w:after="0" w:line="273" w:lineRule="auto"/>
        <w:tabs>
          <w:tab w:leader="none" w:pos="440" w:val="left"/>
        </w:tabs>
        <w:numPr>
          <w:ilvl w:val="0"/>
          <w:numId w:val="28"/>
        </w:numPr>
        <w:rPr>
          <w:rFonts w:ascii="MS PGothic" w:cs="MS PGothic" w:eastAsia="MS PGothic" w:hAnsi="MS PGothic"/>
          <w:sz w:val="20"/>
          <w:szCs w:val="20"/>
          <w:color w:val="auto"/>
        </w:rPr>
      </w:pPr>
      <w:r>
        <w:rPr>
          <w:rFonts w:ascii="Arial" w:cs="Arial" w:eastAsia="Arial" w:hAnsi="Arial"/>
          <w:sz w:val="20"/>
          <w:szCs w:val="20"/>
          <w:color w:val="auto"/>
        </w:rPr>
        <w:t>Annual base pay for your first year of employment will be $470,000. You will be paid $19,583.33 on a semi-monthly basis. For all subsequent years, your salary will be determined in accordance with our standard corporate practices and policies in effect from time to time with respect to performance and salary reviews, which are reviewed as of March of each year.</w:t>
      </w:r>
    </w:p>
    <w:p>
      <w:pPr>
        <w:spacing w:after="0" w:line="178" w:lineRule="exact"/>
        <w:rPr>
          <w:rFonts w:ascii="MS PGothic" w:cs="MS PGothic" w:eastAsia="MS PGothic" w:hAnsi="MS PGothic"/>
          <w:sz w:val="20"/>
          <w:szCs w:val="20"/>
          <w:color w:val="auto"/>
        </w:rPr>
      </w:pPr>
    </w:p>
    <w:p>
      <w:pPr>
        <w:jc w:val="both"/>
        <w:ind w:left="440" w:hanging="433"/>
        <w:spacing w:after="0" w:line="243" w:lineRule="auto"/>
        <w:tabs>
          <w:tab w:leader="none" w:pos="440" w:val="left"/>
        </w:tabs>
        <w:numPr>
          <w:ilvl w:val="0"/>
          <w:numId w:val="28"/>
        </w:numPr>
        <w:rPr>
          <w:rFonts w:ascii="MS PGothic" w:cs="MS PGothic" w:eastAsia="MS PGothic" w:hAnsi="MS PGothic"/>
          <w:sz w:val="21"/>
          <w:szCs w:val="21"/>
          <w:color w:val="auto"/>
        </w:rPr>
      </w:pPr>
      <w:r>
        <w:rPr>
          <w:rFonts w:ascii="Arial" w:cs="Arial" w:eastAsia="Arial" w:hAnsi="Arial"/>
          <w:sz w:val="21"/>
          <w:szCs w:val="21"/>
          <w:color w:val="auto"/>
        </w:rPr>
        <w:t>Upon hire, the Company will award you a special one-time grant of restricted stock units, pursuant to the terms of a Restricted Stock Unit Award Agreement, with a grant date fair value equal to three times your annual base salary, or $1,410,000. These units assume continuous employment through the fifth (5</w:t>
      </w:r>
      <w:r>
        <w:rPr>
          <w:rFonts w:ascii="Arial" w:cs="Arial" w:eastAsia="Arial" w:hAnsi="Arial"/>
          <w:sz w:val="18"/>
          <w:szCs w:val="18"/>
          <w:color w:val="auto"/>
        </w:rPr>
        <w:t>th</w:t>
      </w:r>
      <w:r>
        <w:rPr>
          <w:rFonts w:ascii="Arial" w:cs="Arial" w:eastAsia="Arial" w:hAnsi="Arial"/>
          <w:sz w:val="21"/>
          <w:szCs w:val="21"/>
          <w:color w:val="auto"/>
        </w:rPr>
        <w:t>) anniversary of your hire date, and will vest on the following schedule: a portion with a grant date value of $320,000 will vest on 12/31/2018, a portion with a grant date value of $230,000 will vest on 12/31/2019, and the remaining units will vest immediately following your fifth (5</w:t>
      </w:r>
      <w:r>
        <w:rPr>
          <w:rFonts w:ascii="Arial" w:cs="Arial" w:eastAsia="Arial" w:hAnsi="Arial"/>
          <w:sz w:val="18"/>
          <w:szCs w:val="18"/>
          <w:color w:val="auto"/>
        </w:rPr>
        <w:t>th</w:t>
      </w:r>
      <w:r>
        <w:rPr>
          <w:rFonts w:ascii="Arial" w:cs="Arial" w:eastAsia="Arial" w:hAnsi="Arial"/>
          <w:sz w:val="21"/>
          <w:szCs w:val="21"/>
          <w:color w:val="auto"/>
        </w:rPr>
        <w:t>) year of employment. However, if you voluntarily terminate employment with the Company, or are terminated for cause, within five (5) years from your hire date, you will be obligated to repay the full award that was distributed in cash the value of the units at the time of their vesting within 30 days of the date of your termination. The remaining portion of the award that has not yet been distributed will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489585</wp:posOffset>
            </wp:positionV>
            <wp:extent cx="729043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51" w:name="page52"/>
    <w:bookmarkEnd w:id="51"/>
    <w:p>
      <w:pPr>
        <w:spacing w:after="0"/>
        <w:rPr>
          <w:sz w:val="20"/>
          <w:szCs w:val="20"/>
          <w:color w:val="auto"/>
        </w:rPr>
      </w:pPr>
      <w:r>
        <w:rPr>
          <w:rFonts w:ascii="Arial" w:cs="Arial" w:eastAsia="Arial" w:hAnsi="Arial"/>
          <w:sz w:val="21"/>
          <w:szCs w:val="21"/>
          <w:color w:val="auto"/>
        </w:rPr>
        <w:t>Mr. James A. J. Nickolas</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Page 2</w:t>
      </w:r>
    </w:p>
    <w:p>
      <w:pPr>
        <w:spacing w:after="0" w:line="222" w:lineRule="exact"/>
        <w:rPr>
          <w:sz w:val="20"/>
          <w:szCs w:val="20"/>
          <w:color w:val="auto"/>
        </w:rPr>
      </w:pPr>
    </w:p>
    <w:p>
      <w:pPr>
        <w:jc w:val="both"/>
        <w:ind w:left="440" w:hanging="433"/>
        <w:spacing w:after="0" w:line="266" w:lineRule="auto"/>
        <w:tabs>
          <w:tab w:leader="none" w:pos="440" w:val="left"/>
        </w:tabs>
        <w:numPr>
          <w:ilvl w:val="0"/>
          <w:numId w:val="29"/>
        </w:numPr>
        <w:rPr>
          <w:rFonts w:ascii="MS PGothic" w:cs="MS PGothic" w:eastAsia="MS PGothic" w:hAnsi="MS PGothic"/>
          <w:sz w:val="20"/>
          <w:szCs w:val="20"/>
          <w:color w:val="auto"/>
        </w:rPr>
      </w:pPr>
      <w:r>
        <w:rPr>
          <w:rFonts w:ascii="Arial" w:cs="Arial" w:eastAsia="Arial" w:hAnsi="Arial"/>
          <w:sz w:val="20"/>
          <w:szCs w:val="20"/>
          <w:color w:val="auto"/>
        </w:rPr>
        <w:t>Following 30 days of employment, the Company will pay you a signing bonus of $100,000, less applicable taxes. This payment is an expression of the Company’s confidence in your ability with the expectation of continued future employment. However, if you voluntarily terminate employment with the Company, or are terminated for cause, within 24 months from your hire date, you will be obligated to repay this one-time bonus within 30 days of the date of your termination.</w:t>
      </w:r>
    </w:p>
    <w:p>
      <w:pPr>
        <w:spacing w:after="0" w:line="184" w:lineRule="exact"/>
        <w:rPr>
          <w:rFonts w:ascii="MS PGothic" w:cs="MS PGothic" w:eastAsia="MS PGothic" w:hAnsi="MS PGothic"/>
          <w:sz w:val="20"/>
          <w:szCs w:val="20"/>
          <w:color w:val="auto"/>
        </w:rPr>
      </w:pPr>
    </w:p>
    <w:p>
      <w:pPr>
        <w:jc w:val="both"/>
        <w:ind w:left="440" w:hanging="433"/>
        <w:spacing w:after="0" w:line="284" w:lineRule="auto"/>
        <w:tabs>
          <w:tab w:leader="none" w:pos="440" w:val="left"/>
        </w:tabs>
        <w:numPr>
          <w:ilvl w:val="0"/>
          <w:numId w:val="29"/>
        </w:numPr>
        <w:rPr>
          <w:rFonts w:ascii="MS PGothic" w:cs="MS PGothic" w:eastAsia="MS PGothic" w:hAnsi="MS PGothic"/>
          <w:sz w:val="19"/>
          <w:szCs w:val="19"/>
          <w:color w:val="auto"/>
        </w:rPr>
      </w:pPr>
      <w:r>
        <w:rPr>
          <w:rFonts w:ascii="Arial" w:cs="Arial" w:eastAsia="Arial" w:hAnsi="Arial"/>
          <w:sz w:val="19"/>
          <w:szCs w:val="19"/>
          <w:color w:val="auto"/>
        </w:rPr>
        <w:t>You will participate in our Executive Incentive Compensation Plan (“EIC”) at a target of 75% of your calendar year earnings starting in 2017. Awards under the EIC are paid in cash and are based on (i) the Company’s annual performance and (ii) your performance toward personal goals established each year. Awards under the EIC generally range from 70% to 150% of target. For plan year 2017, contingent upon satisfactory performance, you will receive a minimum of 100% of your target EIC award.</w:t>
      </w:r>
    </w:p>
    <w:p>
      <w:pPr>
        <w:spacing w:after="0" w:line="170" w:lineRule="exact"/>
        <w:rPr>
          <w:rFonts w:ascii="MS PGothic" w:cs="MS PGothic" w:eastAsia="MS PGothic" w:hAnsi="MS PGothic"/>
          <w:sz w:val="19"/>
          <w:szCs w:val="19"/>
          <w:color w:val="auto"/>
        </w:rPr>
      </w:pPr>
    </w:p>
    <w:p>
      <w:pPr>
        <w:jc w:val="both"/>
        <w:ind w:left="440" w:hanging="433"/>
        <w:spacing w:after="0" w:line="244" w:lineRule="auto"/>
        <w:tabs>
          <w:tab w:leader="none" w:pos="440" w:val="left"/>
        </w:tabs>
        <w:numPr>
          <w:ilvl w:val="0"/>
          <w:numId w:val="29"/>
        </w:numPr>
        <w:rPr>
          <w:rFonts w:ascii="MS PGothic" w:cs="MS PGothic" w:eastAsia="MS PGothic" w:hAnsi="MS PGothic"/>
          <w:sz w:val="21"/>
          <w:szCs w:val="21"/>
          <w:color w:val="auto"/>
        </w:rPr>
      </w:pPr>
      <w:r>
        <w:rPr>
          <w:rFonts w:ascii="Arial" w:cs="Arial" w:eastAsia="Arial" w:hAnsi="Arial"/>
          <w:sz w:val="21"/>
          <w:szCs w:val="21"/>
          <w:color w:val="auto"/>
        </w:rPr>
        <w:t>Starting in 2018, you will participate in our Long Term Incentive Plan (“LTIP”), under which awards are made in restricted stock units and performance share units. LTIP awards have a target value and grant amount as determined each year by the Management Development and Compensation Committee of the Board of Directors. Management will recommend to the Committee that your target value be 170% of your annual base salary. Forty-five percent (45%) of the award will be granted in restricted stock units, which vest ratably over three years. The remaining fifty-five percent (55%) will be granted in performance share units, which cliff vest in three years subject to the Company’s performance achievements that will be determined for the award.</w:t>
      </w:r>
    </w:p>
    <w:p>
      <w:pPr>
        <w:spacing w:after="0" w:line="208" w:lineRule="exact"/>
        <w:rPr>
          <w:rFonts w:ascii="MS PGothic" w:cs="MS PGothic" w:eastAsia="MS PGothic" w:hAnsi="MS PGothic"/>
          <w:sz w:val="21"/>
          <w:szCs w:val="21"/>
          <w:color w:val="auto"/>
        </w:rPr>
      </w:pPr>
    </w:p>
    <w:p>
      <w:pPr>
        <w:jc w:val="both"/>
        <w:ind w:left="440" w:hanging="433"/>
        <w:spacing w:after="0" w:line="254" w:lineRule="auto"/>
        <w:tabs>
          <w:tab w:leader="none" w:pos="440" w:val="left"/>
        </w:tabs>
        <w:numPr>
          <w:ilvl w:val="0"/>
          <w:numId w:val="29"/>
        </w:numPr>
        <w:rPr>
          <w:rFonts w:ascii="MS PGothic" w:cs="MS PGothic" w:eastAsia="MS PGothic" w:hAnsi="MS PGothic"/>
          <w:sz w:val="21"/>
          <w:szCs w:val="21"/>
          <w:color w:val="auto"/>
        </w:rPr>
      </w:pPr>
      <w:r>
        <w:rPr>
          <w:rFonts w:ascii="Arial" w:cs="Arial" w:eastAsia="Arial" w:hAnsi="Arial"/>
          <w:sz w:val="21"/>
          <w:szCs w:val="21"/>
          <w:color w:val="auto"/>
        </w:rPr>
        <w:t>You will be provided with an Employment Protection Agreement in the same form as other Company executives, which, if triggered by a “change in control,” provides for certain benefits comparable to those provided to other Martin Marietta senior executives.</w:t>
      </w:r>
    </w:p>
    <w:p>
      <w:pPr>
        <w:spacing w:after="0" w:line="196" w:lineRule="exact"/>
        <w:rPr>
          <w:rFonts w:ascii="MS PGothic" w:cs="MS PGothic" w:eastAsia="MS PGothic" w:hAnsi="MS PGothic"/>
          <w:sz w:val="21"/>
          <w:szCs w:val="21"/>
          <w:color w:val="auto"/>
        </w:rPr>
      </w:pPr>
    </w:p>
    <w:p>
      <w:pPr>
        <w:jc w:val="both"/>
        <w:ind w:left="440" w:hanging="433"/>
        <w:spacing w:after="0" w:line="254" w:lineRule="auto"/>
        <w:tabs>
          <w:tab w:leader="none" w:pos="440" w:val="left"/>
        </w:tabs>
        <w:numPr>
          <w:ilvl w:val="0"/>
          <w:numId w:val="29"/>
        </w:numPr>
        <w:rPr>
          <w:rFonts w:ascii="MS PGothic" w:cs="MS PGothic" w:eastAsia="MS PGothic" w:hAnsi="MS PGothic"/>
          <w:sz w:val="21"/>
          <w:szCs w:val="21"/>
          <w:color w:val="auto"/>
        </w:rPr>
      </w:pPr>
      <w:r>
        <w:rPr>
          <w:rFonts w:ascii="Arial" w:cs="Arial" w:eastAsia="Arial" w:hAnsi="Arial"/>
          <w:sz w:val="21"/>
          <w:szCs w:val="21"/>
          <w:color w:val="auto"/>
        </w:rPr>
        <w:t>You will be eligible to participate in our health and welfare plans. All employees contribute toward the cost of benefit coverage according to plan terms. Importantly, you will be eligible to participate in the medical and dental plans from your first day of employment.</w:t>
      </w:r>
    </w:p>
    <w:p>
      <w:pPr>
        <w:spacing w:after="0" w:line="196" w:lineRule="exact"/>
        <w:rPr>
          <w:rFonts w:ascii="MS PGothic" w:cs="MS PGothic" w:eastAsia="MS PGothic" w:hAnsi="MS PGothic"/>
          <w:sz w:val="21"/>
          <w:szCs w:val="21"/>
          <w:color w:val="auto"/>
        </w:rPr>
      </w:pPr>
    </w:p>
    <w:p>
      <w:pPr>
        <w:jc w:val="both"/>
        <w:ind w:left="440" w:hanging="433"/>
        <w:spacing w:after="0" w:line="254" w:lineRule="auto"/>
        <w:tabs>
          <w:tab w:leader="none" w:pos="440" w:val="left"/>
        </w:tabs>
        <w:numPr>
          <w:ilvl w:val="0"/>
          <w:numId w:val="29"/>
        </w:numPr>
        <w:rPr>
          <w:rFonts w:ascii="MS PGothic" w:cs="MS PGothic" w:eastAsia="MS PGothic" w:hAnsi="MS PGothic"/>
          <w:sz w:val="21"/>
          <w:szCs w:val="21"/>
          <w:color w:val="auto"/>
        </w:rPr>
      </w:pPr>
      <w:r>
        <w:rPr>
          <w:rFonts w:ascii="Arial" w:cs="Arial" w:eastAsia="Arial" w:hAnsi="Arial"/>
          <w:sz w:val="21"/>
          <w:szCs w:val="21"/>
          <w:color w:val="auto"/>
        </w:rPr>
        <w:t>You will be eligible to participate in our retirement plans, which are currently comprised of a defined benefit pension plan and a defined contribution plan. The defined contribution plan is voluntary and provides a matching contribution from the Company for participants.</w:t>
      </w:r>
    </w:p>
    <w:p>
      <w:pPr>
        <w:spacing w:after="0" w:line="196" w:lineRule="exact"/>
        <w:rPr>
          <w:rFonts w:ascii="MS PGothic" w:cs="MS PGothic" w:eastAsia="MS PGothic" w:hAnsi="MS PGothic"/>
          <w:sz w:val="21"/>
          <w:szCs w:val="21"/>
          <w:color w:val="auto"/>
        </w:rPr>
      </w:pPr>
    </w:p>
    <w:p>
      <w:pPr>
        <w:ind w:left="440" w:right="20" w:hanging="433"/>
        <w:spacing w:after="0" w:line="270" w:lineRule="auto"/>
        <w:tabs>
          <w:tab w:leader="none" w:pos="440" w:val="left"/>
        </w:tabs>
        <w:numPr>
          <w:ilvl w:val="0"/>
          <w:numId w:val="29"/>
        </w:numPr>
        <w:rPr>
          <w:rFonts w:ascii="MS PGothic" w:cs="MS PGothic" w:eastAsia="MS PGothic" w:hAnsi="MS PGothic"/>
          <w:sz w:val="21"/>
          <w:szCs w:val="21"/>
          <w:color w:val="auto"/>
        </w:rPr>
      </w:pPr>
      <w:r>
        <w:rPr>
          <w:rFonts w:ascii="Arial" w:cs="Arial" w:eastAsia="Arial" w:hAnsi="Arial"/>
          <w:sz w:val="21"/>
          <w:szCs w:val="21"/>
          <w:color w:val="auto"/>
        </w:rPr>
        <w:t>You will be eligible under the Martin Marietta vacation policy for four weeks of paid vacation on an annual basis, which accrues monthly.</w:t>
      </w:r>
    </w:p>
    <w:p>
      <w:pPr>
        <w:spacing w:after="0" w:line="179" w:lineRule="exact"/>
        <w:rPr>
          <w:rFonts w:ascii="MS PGothic" w:cs="MS PGothic" w:eastAsia="MS PGothic" w:hAnsi="MS PGothic"/>
          <w:sz w:val="21"/>
          <w:szCs w:val="21"/>
          <w:color w:val="auto"/>
        </w:rPr>
      </w:pPr>
    </w:p>
    <w:p>
      <w:pPr>
        <w:jc w:val="both"/>
        <w:ind w:left="440" w:hanging="433"/>
        <w:spacing w:after="0" w:line="254" w:lineRule="auto"/>
        <w:tabs>
          <w:tab w:leader="none" w:pos="440" w:val="left"/>
        </w:tabs>
        <w:numPr>
          <w:ilvl w:val="0"/>
          <w:numId w:val="29"/>
        </w:numPr>
        <w:rPr>
          <w:rFonts w:ascii="MS PGothic" w:cs="MS PGothic" w:eastAsia="MS PGothic" w:hAnsi="MS PGothic"/>
          <w:sz w:val="21"/>
          <w:szCs w:val="21"/>
          <w:color w:val="auto"/>
        </w:rPr>
      </w:pPr>
      <w:r>
        <w:rPr>
          <w:rFonts w:ascii="Arial" w:cs="Arial" w:eastAsia="Arial" w:hAnsi="Arial"/>
          <w:sz w:val="21"/>
          <w:szCs w:val="21"/>
          <w:color w:val="auto"/>
        </w:rPr>
        <w:t>You will be eligible under the Company’s relocation program for comprehensive reimbursement of moving costs, relocation travel, and temporary housing expense in Raleigh; specific details are included in the Company’s policy HR-7.4a. You will also be paid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440055</wp:posOffset>
            </wp:positionV>
            <wp:extent cx="72904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sz w:val="20"/>
          <w:szCs w:val="20"/>
          <w:color w:val="auto"/>
        </w:rPr>
      </w:pPr>
      <w:r>
        <w:rPr>
          <w:rFonts w:ascii="Arial" w:cs="Arial" w:eastAsia="Arial" w:hAnsi="Arial"/>
          <w:sz w:val="21"/>
          <w:szCs w:val="21"/>
          <w:color w:val="auto"/>
        </w:rPr>
        <w:t>Mr. James A. J. Nickolas</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Page 3</w:t>
      </w:r>
    </w:p>
    <w:p>
      <w:pPr>
        <w:spacing w:after="0" w:line="222" w:lineRule="exact"/>
        <w:rPr>
          <w:sz w:val="20"/>
          <w:szCs w:val="20"/>
          <w:color w:val="auto"/>
        </w:rPr>
      </w:pPr>
    </w:p>
    <w:p>
      <w:pPr>
        <w:ind w:left="440"/>
        <w:spacing w:after="0" w:line="270" w:lineRule="auto"/>
        <w:rPr>
          <w:sz w:val="20"/>
          <w:szCs w:val="20"/>
          <w:color w:val="auto"/>
        </w:rPr>
      </w:pPr>
      <w:r>
        <w:rPr>
          <w:rFonts w:ascii="Arial" w:cs="Arial" w:eastAsia="Arial" w:hAnsi="Arial"/>
          <w:sz w:val="21"/>
          <w:szCs w:val="21"/>
          <w:color w:val="auto"/>
        </w:rPr>
        <w:t>relocation allowance equal to two months’ salary that will be grossed up for taxes in accordance with the policy. A summary of this policy is enclosed.</w:t>
      </w:r>
    </w:p>
    <w:p>
      <w:pPr>
        <w:spacing w:after="0" w:line="112" w:lineRule="exact"/>
        <w:rPr>
          <w:sz w:val="20"/>
          <w:szCs w:val="20"/>
          <w:color w:val="auto"/>
        </w:rPr>
      </w:pPr>
    </w:p>
    <w:p>
      <w:pPr>
        <w:jc w:val="both"/>
        <w:ind w:right="20"/>
        <w:spacing w:after="0" w:line="270" w:lineRule="auto"/>
        <w:rPr>
          <w:sz w:val="20"/>
          <w:szCs w:val="20"/>
          <w:color w:val="auto"/>
        </w:rPr>
      </w:pPr>
      <w:r>
        <w:rPr>
          <w:rFonts w:ascii="Arial" w:cs="Arial" w:eastAsia="Arial" w:hAnsi="Arial"/>
          <w:sz w:val="21"/>
          <w:szCs w:val="21"/>
          <w:color w:val="auto"/>
        </w:rPr>
        <w:t xml:space="preserve">Enclosed also is a brochure describing our health and welfare plans and retirement plans available to salaried employees, as well as our </w:t>
      </w:r>
      <w:r>
        <w:rPr>
          <w:rFonts w:ascii="Arial" w:cs="Arial" w:eastAsia="Arial" w:hAnsi="Arial"/>
          <w:sz w:val="21"/>
          <w:szCs w:val="21"/>
          <w:i w:val="1"/>
          <w:iCs w:val="1"/>
          <w:color w:val="auto"/>
        </w:rPr>
        <w:t>Code of Ethical Business Conduct</w:t>
      </w:r>
      <w:r>
        <w:rPr>
          <w:rFonts w:ascii="Arial" w:cs="Arial" w:eastAsia="Arial" w:hAnsi="Arial"/>
          <w:sz w:val="21"/>
          <w:szCs w:val="21"/>
          <w:color w:val="auto"/>
        </w:rPr>
        <w:t>.</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There are two contingencies. First, you must successfully pass our pre-employment drug screening (to which all our employees are subject). Second, a background check must be concluded to the Company’s satisfaction. Finally, I would be remiss if I didn’t underscore this employment offer should in no way be considered an employment agreement between you and Martin Marietta. Either the Company or you may terminate employment at any time with or without cause.</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Jim, I know you will want to review this offer thoroughly, but I look forward to your prompt response – and hope then to officially welcome you to our team. If you have any questions, please don’t hesitate to call me or Don McCunniff. Otherwise, please sign where indicated below, keep one original for your files and please return the duplicate to me for our files in Raleigh.</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Sincerely yours,</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color w:val="auto"/>
        </w:rPr>
        <w:t>/s/ C. Howard Nye</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color w:val="auto"/>
        </w:rPr>
        <w:t>C. Howard Nye</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Chairman, President and Chief Executive Officer</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480" w:type="dxa"/>
            <w:vAlign w:val="bottom"/>
            <w:gridSpan w:val="3"/>
          </w:tcPr>
          <w:p>
            <w:pPr>
              <w:spacing w:after="0"/>
              <w:rPr>
                <w:sz w:val="20"/>
                <w:szCs w:val="20"/>
                <w:color w:val="auto"/>
              </w:rPr>
            </w:pPr>
            <w:r>
              <w:rPr>
                <w:rFonts w:ascii="Arial" w:cs="Arial" w:eastAsia="Arial" w:hAnsi="Arial"/>
                <w:sz w:val="21"/>
                <w:szCs w:val="21"/>
                <w:color w:val="auto"/>
              </w:rPr>
              <w:t>Enclosures</w:t>
            </w:r>
          </w:p>
        </w:tc>
        <w:tc>
          <w:tcPr>
            <w:tcW w:w="3180" w:type="dxa"/>
            <w:vAlign w:val="bottom"/>
          </w:tcPr>
          <w:p>
            <w:pPr>
              <w:spacing w:after="0"/>
              <w:rPr>
                <w:sz w:val="23"/>
                <w:szCs w:val="23"/>
                <w:color w:val="auto"/>
              </w:rPr>
            </w:pPr>
          </w:p>
        </w:tc>
      </w:tr>
      <w:tr>
        <w:trPr>
          <w:trHeight w:val="723"/>
        </w:trPr>
        <w:tc>
          <w:tcPr>
            <w:tcW w:w="7480" w:type="dxa"/>
            <w:vAlign w:val="bottom"/>
            <w:gridSpan w:val="3"/>
          </w:tcPr>
          <w:p>
            <w:pPr>
              <w:spacing w:after="0"/>
              <w:rPr>
                <w:sz w:val="20"/>
                <w:szCs w:val="20"/>
                <w:color w:val="auto"/>
              </w:rPr>
            </w:pPr>
            <w:r>
              <w:rPr>
                <w:rFonts w:ascii="Arial" w:cs="Arial" w:eastAsia="Arial" w:hAnsi="Arial"/>
                <w:sz w:val="21"/>
                <w:szCs w:val="21"/>
                <w:color w:val="auto"/>
              </w:rPr>
              <w:t>I accept this offer of employment as outlined in this letter.</w:t>
            </w:r>
          </w:p>
        </w:tc>
        <w:tc>
          <w:tcPr>
            <w:tcW w:w="3180" w:type="dxa"/>
            <w:vAlign w:val="bottom"/>
          </w:tcPr>
          <w:p>
            <w:pPr>
              <w:spacing w:after="0"/>
              <w:rPr>
                <w:sz w:val="24"/>
                <w:szCs w:val="24"/>
                <w:color w:val="auto"/>
              </w:rPr>
            </w:pPr>
          </w:p>
        </w:tc>
      </w:tr>
      <w:tr>
        <w:trPr>
          <w:trHeight w:val="471"/>
        </w:trPr>
        <w:tc>
          <w:tcPr>
            <w:tcW w:w="780" w:type="dxa"/>
            <w:vAlign w:val="bottom"/>
          </w:tcPr>
          <w:p>
            <w:pPr>
              <w:spacing w:after="0"/>
              <w:rPr>
                <w:sz w:val="24"/>
                <w:szCs w:val="24"/>
                <w:color w:val="auto"/>
              </w:rPr>
            </w:pPr>
          </w:p>
        </w:tc>
        <w:tc>
          <w:tcPr>
            <w:tcW w:w="6700" w:type="dxa"/>
            <w:vAlign w:val="bottom"/>
            <w:gridSpan w:val="2"/>
          </w:tcPr>
          <w:p>
            <w:pPr>
              <w:ind w:left="100"/>
              <w:spacing w:after="0"/>
              <w:rPr>
                <w:sz w:val="20"/>
                <w:szCs w:val="20"/>
                <w:color w:val="auto"/>
              </w:rPr>
            </w:pPr>
            <w:r>
              <w:rPr>
                <w:rFonts w:ascii="Arial" w:cs="Arial" w:eastAsia="Arial" w:hAnsi="Arial"/>
                <w:sz w:val="21"/>
                <w:szCs w:val="21"/>
                <w:color w:val="auto"/>
              </w:rPr>
              <w:t>/s/ James A. J. Nickolas</w:t>
            </w:r>
          </w:p>
        </w:tc>
        <w:tc>
          <w:tcPr>
            <w:tcW w:w="3180" w:type="dxa"/>
            <w:vAlign w:val="bottom"/>
          </w:tcPr>
          <w:p>
            <w:pPr>
              <w:ind w:left="160"/>
              <w:spacing w:after="0"/>
              <w:rPr>
                <w:sz w:val="20"/>
                <w:szCs w:val="20"/>
                <w:color w:val="auto"/>
              </w:rPr>
            </w:pPr>
            <w:r>
              <w:rPr>
                <w:rFonts w:ascii="Arial" w:cs="Arial" w:eastAsia="Arial" w:hAnsi="Arial"/>
                <w:sz w:val="21"/>
                <w:szCs w:val="21"/>
                <w:color w:val="auto"/>
              </w:rPr>
              <w:t>June 12, 2017</w:t>
            </w:r>
          </w:p>
        </w:tc>
      </w:tr>
      <w:tr>
        <w:trPr>
          <w:trHeight w:val="266"/>
        </w:trPr>
        <w:tc>
          <w:tcPr>
            <w:tcW w:w="780" w:type="dxa"/>
            <w:vAlign w:val="bottom"/>
          </w:tcPr>
          <w:p>
            <w:pPr>
              <w:spacing w:after="0"/>
              <w:rPr>
                <w:sz w:val="23"/>
                <w:szCs w:val="23"/>
                <w:color w:val="auto"/>
              </w:rPr>
            </w:pPr>
          </w:p>
        </w:tc>
        <w:tc>
          <w:tcPr>
            <w:tcW w:w="6180" w:type="dxa"/>
            <w:vAlign w:val="bottom"/>
            <w:tcBorders>
              <w:top w:val="single" w:sz="8" w:color="auto"/>
            </w:tcBorders>
          </w:tcPr>
          <w:p>
            <w:pPr>
              <w:ind w:left="420"/>
              <w:spacing w:after="0"/>
              <w:rPr>
                <w:sz w:val="20"/>
                <w:szCs w:val="20"/>
                <w:color w:val="auto"/>
              </w:rPr>
            </w:pPr>
            <w:r>
              <w:rPr>
                <w:rFonts w:ascii="Arial" w:cs="Arial" w:eastAsia="Arial" w:hAnsi="Arial"/>
                <w:sz w:val="21"/>
                <w:szCs w:val="21"/>
                <w:color w:val="auto"/>
              </w:rPr>
              <w:t>James A. J. Nickolas</w:t>
            </w:r>
          </w:p>
        </w:tc>
        <w:tc>
          <w:tcPr>
            <w:tcW w:w="520" w:type="dxa"/>
            <w:vAlign w:val="bottom"/>
          </w:tcPr>
          <w:p>
            <w:pPr>
              <w:spacing w:after="0"/>
              <w:rPr>
                <w:sz w:val="23"/>
                <w:szCs w:val="23"/>
                <w:color w:val="auto"/>
              </w:rPr>
            </w:pPr>
          </w:p>
        </w:tc>
        <w:tc>
          <w:tcPr>
            <w:tcW w:w="3180" w:type="dxa"/>
            <w:vAlign w:val="bottom"/>
            <w:tcBorders>
              <w:top w:val="single" w:sz="8" w:color="auto"/>
            </w:tcBorders>
          </w:tcPr>
          <w:p>
            <w:pPr>
              <w:ind w:left="220"/>
              <w:spacing w:after="0"/>
              <w:rPr>
                <w:sz w:val="20"/>
                <w:szCs w:val="20"/>
                <w:color w:val="auto"/>
              </w:rPr>
            </w:pPr>
            <w:r>
              <w:rPr>
                <w:rFonts w:ascii="Arial" w:cs="Arial" w:eastAsia="Arial" w:hAnsi="Arial"/>
                <w:sz w:val="21"/>
                <w:szCs w:val="21"/>
                <w:color w:val="auto"/>
              </w:rPr>
              <w:t>Date</w:t>
            </w:r>
          </w:p>
        </w:tc>
      </w:tr>
    </w:tbl>
    <w:p>
      <w:pPr>
        <w:sectPr>
          <w:pgSz w:w="11900" w:h="16838" w:orient="portrait"/>
          <w:cols w:equalWidth="0" w:num="1">
            <w:col w:w="11420"/>
          </w:cols>
          <w:pgMar w:left="240" w:top="118"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79" w:lineRule="exact"/>
        <w:rPr>
          <w:sz w:val="20"/>
          <w:szCs w:val="20"/>
          <w:color w:val="auto"/>
        </w:rPr>
      </w:pPr>
    </w:p>
    <w:p>
      <w:pPr>
        <w:jc w:val="center"/>
        <w:spacing w:after="0" w:line="263"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5" w:lineRule="exact"/>
        <w:rPr>
          <w:sz w:val="20"/>
          <w:szCs w:val="20"/>
          <w:color w:val="auto"/>
        </w:rPr>
      </w:pPr>
    </w:p>
    <w:p>
      <w:pPr>
        <w:ind w:left="1300" w:hanging="423"/>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4" w:lineRule="exact"/>
        <w:rPr>
          <w:rFonts w:ascii="Arial" w:cs="Arial" w:eastAsia="Arial" w:hAnsi="Arial"/>
          <w:sz w:val="20"/>
          <w:szCs w:val="20"/>
          <w:color w:val="auto"/>
        </w:rPr>
      </w:pPr>
    </w:p>
    <w:p>
      <w:pPr>
        <w:jc w:val="both"/>
        <w:ind w:left="1300" w:hanging="423"/>
        <w:spacing w:after="0" w:line="247" w:lineRule="auto"/>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3"/>
        <w:spacing w:after="0" w:line="247" w:lineRule="auto"/>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hanging="423"/>
        <w:spacing w:after="0" w:line="247" w:lineRule="auto"/>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20"/>
        <w:spacing w:after="0" w:line="243" w:lineRule="auto"/>
        <w:tabs>
          <w:tab w:leader="none" w:pos="21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20"/>
        <w:spacing w:after="0" w:line="243" w:lineRule="auto"/>
        <w:tabs>
          <w:tab w:leader="none" w:pos="21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20"/>
        <w:spacing w:after="0" w:line="247" w:lineRule="auto"/>
        <w:tabs>
          <w:tab w:leader="none" w:pos="21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20"/>
        <w:spacing w:after="0" w:line="247" w:lineRule="auto"/>
        <w:tabs>
          <w:tab w:leader="none" w:pos="21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464820</wp:posOffset>
            </wp:positionV>
            <wp:extent cx="72904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54" w:name="page55"/>
    <w:bookmarkEnd w:id="54"/>
    <w:p>
      <w:pPr>
        <w:spacing w:after="0" w:line="35" w:lineRule="exact"/>
        <w:rPr>
          <w:sz w:val="20"/>
          <w:szCs w:val="20"/>
          <w:color w:val="auto"/>
        </w:rPr>
      </w:pPr>
    </w:p>
    <w:p>
      <w:pPr>
        <w:jc w:val="both"/>
        <w:ind w:left="1300" w:hanging="423"/>
        <w:spacing w:after="0" w:line="247" w:lineRule="auto"/>
        <w:tabs>
          <w:tab w:leader="none" w:pos="1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20"/>
        <w:spacing w:after="0" w:line="247" w:lineRule="auto"/>
        <w:tabs>
          <w:tab w:leader="none" w:pos="2180" w:val="left"/>
        </w:tabs>
        <w:numPr>
          <w:ilvl w:val="1"/>
          <w:numId w:val="3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20"/>
        <w:spacing w:after="0" w:line="257" w:lineRule="auto"/>
        <w:tabs>
          <w:tab w:leader="none" w:pos="2180" w:val="left"/>
        </w:tabs>
        <w:numPr>
          <w:ilvl w:val="1"/>
          <w:numId w:val="3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300" w:type="dxa"/>
            <w:vAlign w:val="bottom"/>
          </w:tcPr>
          <w:p>
            <w:pPr>
              <w:spacing w:after="0"/>
              <w:rPr>
                <w:sz w:val="20"/>
                <w:szCs w:val="20"/>
                <w:color w:val="auto"/>
              </w:rPr>
            </w:pPr>
            <w:r>
              <w:rPr>
                <w:rFonts w:ascii="Arial" w:cs="Arial" w:eastAsia="Arial" w:hAnsi="Arial"/>
                <w:sz w:val="20"/>
                <w:szCs w:val="20"/>
                <w:color w:val="auto"/>
              </w:rPr>
              <w:t>Date: August 1, 2017</w:t>
            </w:r>
          </w:p>
        </w:tc>
        <w:tc>
          <w:tcPr>
            <w:tcW w:w="7120" w:type="dxa"/>
            <w:vAlign w:val="bottom"/>
            <w:gridSpan w:val="2"/>
          </w:tcPr>
          <w:p>
            <w:pPr>
              <w:ind w:left="2580"/>
              <w:spacing w:after="0"/>
              <w:rPr>
                <w:sz w:val="20"/>
                <w:szCs w:val="20"/>
                <w:color w:val="auto"/>
              </w:rPr>
            </w:pPr>
            <w:r>
              <w:rPr>
                <w:rFonts w:ascii="Arial" w:cs="Arial" w:eastAsia="Arial" w:hAnsi="Arial"/>
                <w:sz w:val="20"/>
                <w:szCs w:val="20"/>
                <w:color w:val="auto"/>
              </w:rPr>
              <w:t>By:  /s/ C. Howard Nye</w:t>
            </w:r>
          </w:p>
        </w:tc>
      </w:tr>
      <w:tr>
        <w:trPr>
          <w:trHeight w:val="204"/>
        </w:trPr>
        <w:tc>
          <w:tcPr>
            <w:tcW w:w="4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100" w:type="dxa"/>
            <w:vAlign w:val="bottom"/>
            <w:tcBorders>
              <w:top w:val="single" w:sz="8" w:color="auto"/>
            </w:tcBorders>
          </w:tcPr>
          <w:p>
            <w:pPr>
              <w:spacing w:after="0" w:line="204" w:lineRule="exact"/>
              <w:rPr>
                <w:sz w:val="20"/>
                <w:szCs w:val="20"/>
                <w:color w:val="auto"/>
              </w:rPr>
            </w:pPr>
            <w:r>
              <w:rPr>
                <w:rFonts w:ascii="Arial" w:cs="Arial" w:eastAsia="Arial" w:hAnsi="Arial"/>
                <w:sz w:val="20"/>
                <w:szCs w:val="20"/>
                <w:color w:val="auto"/>
              </w:rPr>
              <w:t>C. Howard Nye</w:t>
            </w:r>
          </w:p>
        </w:tc>
      </w:tr>
      <w:tr>
        <w:trPr>
          <w:trHeight w:val="227"/>
        </w:trPr>
        <w:tc>
          <w:tcPr>
            <w:tcW w:w="43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100" w:type="dxa"/>
            <w:vAlign w:val="bottom"/>
          </w:tcPr>
          <w:p>
            <w:pPr>
              <w:spacing w:after="0" w:line="228" w:lineRule="exact"/>
              <w:rPr>
                <w:sz w:val="20"/>
                <w:szCs w:val="20"/>
                <w:color w:val="auto"/>
              </w:rPr>
            </w:pPr>
            <w:r>
              <w:rPr>
                <w:rFonts w:ascii="Arial" w:cs="Arial" w:eastAsia="Arial" w:hAnsi="Arial"/>
                <w:sz w:val="20"/>
                <w:szCs w:val="20"/>
                <w:color w:val="auto"/>
              </w:rPr>
              <w:t>Chairman, President and</w:t>
            </w:r>
          </w:p>
        </w:tc>
      </w:tr>
      <w:tr>
        <w:trPr>
          <w:trHeight w:val="249"/>
        </w:trPr>
        <w:tc>
          <w:tcPr>
            <w:tcW w:w="43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420"/>
          </w:cols>
          <w:pgMar w:left="240" w:top="144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79" w:lineRule="exact"/>
        <w:rPr>
          <w:sz w:val="20"/>
          <w:szCs w:val="20"/>
          <w:color w:val="auto"/>
        </w:rPr>
      </w:pPr>
    </w:p>
    <w:p>
      <w:pPr>
        <w:jc w:val="center"/>
        <w:spacing w:after="0" w:line="263"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Anne H. Lloyd, certify that:</w:t>
      </w:r>
    </w:p>
    <w:p>
      <w:pPr>
        <w:spacing w:after="0" w:line="225" w:lineRule="exact"/>
        <w:rPr>
          <w:sz w:val="20"/>
          <w:szCs w:val="20"/>
          <w:color w:val="auto"/>
        </w:rPr>
      </w:pPr>
    </w:p>
    <w:p>
      <w:pPr>
        <w:ind w:left="1300" w:hanging="423"/>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4" w:lineRule="exact"/>
        <w:rPr>
          <w:rFonts w:ascii="Arial" w:cs="Arial" w:eastAsia="Arial" w:hAnsi="Arial"/>
          <w:sz w:val="20"/>
          <w:szCs w:val="20"/>
          <w:color w:val="auto"/>
        </w:rPr>
      </w:pPr>
    </w:p>
    <w:p>
      <w:pPr>
        <w:jc w:val="both"/>
        <w:ind w:left="1300" w:hanging="423"/>
        <w:spacing w:after="0" w:line="247" w:lineRule="auto"/>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3"/>
        <w:spacing w:after="0" w:line="247" w:lineRule="auto"/>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hanging="423"/>
        <w:spacing w:after="0" w:line="247" w:lineRule="auto"/>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20"/>
        <w:spacing w:after="0" w:line="243" w:lineRule="auto"/>
        <w:tabs>
          <w:tab w:leader="none" w:pos="21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20"/>
        <w:spacing w:after="0" w:line="243" w:lineRule="auto"/>
        <w:tabs>
          <w:tab w:leader="none" w:pos="21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20"/>
        <w:spacing w:after="0" w:line="247" w:lineRule="auto"/>
        <w:tabs>
          <w:tab w:leader="none" w:pos="21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20"/>
        <w:spacing w:after="0" w:line="247" w:lineRule="auto"/>
        <w:tabs>
          <w:tab w:leader="none" w:pos="21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473075</wp:posOffset>
            </wp:positionV>
            <wp:extent cx="729043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56" w:name="page57"/>
    <w:bookmarkEnd w:id="56"/>
    <w:p>
      <w:pPr>
        <w:spacing w:after="0" w:line="35" w:lineRule="exact"/>
        <w:rPr>
          <w:sz w:val="20"/>
          <w:szCs w:val="20"/>
          <w:color w:val="auto"/>
        </w:rPr>
      </w:pPr>
    </w:p>
    <w:p>
      <w:pPr>
        <w:jc w:val="both"/>
        <w:ind w:left="1300" w:hanging="423"/>
        <w:spacing w:after="0" w:line="247" w:lineRule="auto"/>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20"/>
        <w:spacing w:after="0" w:line="247" w:lineRule="auto"/>
        <w:tabs>
          <w:tab w:leader="none" w:pos="21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20"/>
        <w:spacing w:after="0" w:line="257" w:lineRule="auto"/>
        <w:tabs>
          <w:tab w:leader="none" w:pos="21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60" w:type="dxa"/>
            <w:vAlign w:val="bottom"/>
          </w:tcPr>
          <w:p>
            <w:pPr>
              <w:spacing w:after="0"/>
              <w:rPr>
                <w:sz w:val="20"/>
                <w:szCs w:val="20"/>
                <w:color w:val="auto"/>
              </w:rPr>
            </w:pPr>
            <w:r>
              <w:rPr>
                <w:rFonts w:ascii="Arial" w:cs="Arial" w:eastAsia="Arial" w:hAnsi="Arial"/>
                <w:sz w:val="20"/>
                <w:szCs w:val="20"/>
                <w:color w:val="auto"/>
              </w:rPr>
              <w:t>Date: August 1, 2017</w:t>
            </w:r>
          </w:p>
        </w:tc>
        <w:tc>
          <w:tcPr>
            <w:tcW w:w="7160" w:type="dxa"/>
            <w:vAlign w:val="bottom"/>
            <w:gridSpan w:val="2"/>
          </w:tcPr>
          <w:p>
            <w:pPr>
              <w:ind w:left="2600"/>
              <w:spacing w:after="0"/>
              <w:rPr>
                <w:sz w:val="20"/>
                <w:szCs w:val="20"/>
                <w:color w:val="auto"/>
              </w:rPr>
            </w:pPr>
            <w:r>
              <w:rPr>
                <w:rFonts w:ascii="Arial" w:cs="Arial" w:eastAsia="Arial" w:hAnsi="Arial"/>
                <w:sz w:val="20"/>
                <w:szCs w:val="20"/>
                <w:color w:val="auto"/>
              </w:rPr>
              <w:t>By:  /s/ Anne H. Lloyd</w:t>
            </w:r>
          </w:p>
        </w:tc>
      </w:tr>
      <w:tr>
        <w:trPr>
          <w:trHeight w:val="204"/>
        </w:trPr>
        <w:tc>
          <w:tcPr>
            <w:tcW w:w="4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120" w:type="dxa"/>
            <w:vAlign w:val="bottom"/>
            <w:tcBorders>
              <w:top w:val="single" w:sz="8" w:color="auto"/>
            </w:tcBorders>
          </w:tcPr>
          <w:p>
            <w:pPr>
              <w:spacing w:after="0" w:line="204" w:lineRule="exact"/>
              <w:rPr>
                <w:sz w:val="20"/>
                <w:szCs w:val="20"/>
                <w:color w:val="auto"/>
              </w:rPr>
            </w:pPr>
            <w:r>
              <w:rPr>
                <w:rFonts w:ascii="Arial" w:cs="Arial" w:eastAsia="Arial" w:hAnsi="Arial"/>
                <w:sz w:val="20"/>
                <w:szCs w:val="20"/>
                <w:color w:val="auto"/>
              </w:rPr>
              <w:t>Anne H. Lloyd</w:t>
            </w:r>
          </w:p>
        </w:tc>
      </w:tr>
      <w:tr>
        <w:trPr>
          <w:trHeight w:val="227"/>
        </w:trPr>
        <w:tc>
          <w:tcPr>
            <w:tcW w:w="42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120" w:type="dxa"/>
            <w:vAlign w:val="bottom"/>
          </w:tcPr>
          <w:p>
            <w:pPr>
              <w:spacing w:after="0" w:line="228" w:lineRule="exact"/>
              <w:rPr>
                <w:sz w:val="20"/>
                <w:szCs w:val="20"/>
                <w:color w:val="auto"/>
              </w:rPr>
            </w:pPr>
            <w:r>
              <w:rPr>
                <w:rFonts w:ascii="Arial" w:cs="Arial" w:eastAsia="Arial" w:hAnsi="Arial"/>
                <w:sz w:val="20"/>
                <w:szCs w:val="20"/>
                <w:color w:val="auto"/>
              </w:rPr>
              <w:t>Executive Vice President and</w:t>
            </w:r>
          </w:p>
        </w:tc>
      </w:tr>
      <w:tr>
        <w:trPr>
          <w:trHeight w:val="249"/>
        </w:trPr>
        <w:tc>
          <w:tcPr>
            <w:tcW w:w="42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12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420"/>
          </w:cols>
          <w:pgMar w:left="240" w:top="144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32.01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9"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0"/>
          <w:szCs w:val="20"/>
          <w:color w:val="auto"/>
        </w:rPr>
        <w:t>In connection with the Quarterly Report on Form 10-Q for the period ended June 30, 2017 (the “Report”) of Martin Marietta Materials, Inc. (the “Registrant”), as filed with the Securities and Exchange Commission on the date hereof, I, C. Howard Nye, the Chief Executive Officer of the Registrant, certify, to the best of my knowledge, that:</w:t>
      </w:r>
    </w:p>
    <w:p>
      <w:pPr>
        <w:spacing w:after="0" w:line="200" w:lineRule="exact"/>
        <w:rPr>
          <w:sz w:val="20"/>
          <w:szCs w:val="20"/>
          <w:color w:val="auto"/>
        </w:rPr>
      </w:pPr>
    </w:p>
    <w:p>
      <w:pPr>
        <w:ind w:left="1740" w:hanging="863"/>
        <w:spacing w:after="0" w:line="257" w:lineRule="auto"/>
        <w:tabs>
          <w:tab w:leader="none" w:pos="17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89" w:lineRule="exact"/>
        <w:rPr>
          <w:rFonts w:ascii="Arial" w:cs="Arial" w:eastAsia="Arial" w:hAnsi="Arial"/>
          <w:sz w:val="20"/>
          <w:szCs w:val="20"/>
          <w:color w:val="auto"/>
        </w:rPr>
      </w:pPr>
    </w:p>
    <w:p>
      <w:pPr>
        <w:ind w:left="1740" w:right="20" w:hanging="863"/>
        <w:spacing w:after="0" w:line="257" w:lineRule="auto"/>
        <w:tabs>
          <w:tab w:leader="none" w:pos="17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28975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C. Howard Nye</w:t>
      </w:r>
    </w:p>
    <w:p>
      <w:pPr>
        <w:spacing w:after="0" w:line="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Chairman, President and</w:t>
      </w:r>
    </w:p>
    <w:p>
      <w:pPr>
        <w:ind w:left="7000"/>
        <w:spacing w:after="0"/>
        <w:rPr>
          <w:sz w:val="20"/>
          <w:szCs w:val="20"/>
          <w:color w:val="auto"/>
        </w:rPr>
      </w:pPr>
      <w:r>
        <w:rPr>
          <w:rFonts w:ascii="Arial" w:cs="Arial" w:eastAsia="Arial" w:hAnsi="Arial"/>
          <w:sz w:val="20"/>
          <w:szCs w:val="20"/>
          <w:color w:val="auto"/>
        </w:rPr>
        <w:t>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Dated: August 1, 2017</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32.02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9"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0"/>
          <w:szCs w:val="20"/>
          <w:color w:val="auto"/>
        </w:rPr>
        <w:t>In connection with the Quarterly Report on Form 10-Q for the period ended June 30, 2017 (the “Report”) of Martin Marietta Materials, Inc. (the “Registrant”), as filed with the Securities and Exchange Commission on the date hereof, I, Anne H. Lloyd, the Chief Financial Officer of the Registrant, certify, to the best of my knowledge, that:</w:t>
      </w:r>
    </w:p>
    <w:p>
      <w:pPr>
        <w:spacing w:after="0" w:line="200" w:lineRule="exact"/>
        <w:rPr>
          <w:sz w:val="20"/>
          <w:szCs w:val="20"/>
          <w:color w:val="auto"/>
        </w:rPr>
      </w:pPr>
    </w:p>
    <w:p>
      <w:pPr>
        <w:ind w:left="1740" w:hanging="863"/>
        <w:spacing w:after="0" w:line="257" w:lineRule="auto"/>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89" w:lineRule="exact"/>
        <w:rPr>
          <w:rFonts w:ascii="Arial" w:cs="Arial" w:eastAsia="Arial" w:hAnsi="Arial"/>
          <w:sz w:val="20"/>
          <w:szCs w:val="20"/>
          <w:color w:val="auto"/>
        </w:rPr>
      </w:pPr>
    </w:p>
    <w:p>
      <w:pPr>
        <w:ind w:left="1740" w:right="20" w:hanging="863"/>
        <w:spacing w:after="0" w:line="257" w:lineRule="auto"/>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28975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Anne H. Lloyd</w:t>
      </w:r>
    </w:p>
    <w:p>
      <w:pPr>
        <w:spacing w:after="0" w:line="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Executive Vice President and</w:t>
      </w:r>
    </w:p>
    <w:p>
      <w:pPr>
        <w:ind w:left="7000"/>
        <w:spacing w:after="0"/>
        <w:rPr>
          <w:sz w:val="20"/>
          <w:szCs w:val="20"/>
          <w:color w:val="auto"/>
        </w:rPr>
      </w:pPr>
      <w:r>
        <w:rPr>
          <w:rFonts w:ascii="Arial" w:cs="Arial" w:eastAsia="Arial" w:hAnsi="Arial"/>
          <w:sz w:val="20"/>
          <w:szCs w:val="20"/>
          <w:color w:val="auto"/>
        </w:rPr>
        <w:t>Chief Financial Officer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Dated: August 1, 2017</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64"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presents the following items regarding certain mining safety and health matters for the three months ended June 30, 2017:</w:t>
      </w:r>
    </w:p>
    <w:p>
      <w:pPr>
        <w:spacing w:after="0" w:line="259" w:lineRule="exact"/>
        <w:rPr>
          <w:sz w:val="20"/>
          <w:szCs w:val="20"/>
          <w:color w:val="auto"/>
        </w:rPr>
      </w:pPr>
    </w:p>
    <w:p>
      <w:pPr>
        <w:jc w:val="both"/>
        <w:ind w:left="440" w:hanging="433"/>
        <w:spacing w:after="0" w:line="241" w:lineRule="auto"/>
        <w:tabs>
          <w:tab w:leader="none" w:pos="440"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179" w:lineRule="exact"/>
        <w:rPr>
          <w:rFonts w:ascii="Arial" w:cs="Arial" w:eastAsia="Arial" w:hAnsi="Arial"/>
          <w:sz w:val="20"/>
          <w:szCs w:val="20"/>
          <w:b w:val="1"/>
          <w:bCs w:val="1"/>
          <w:color w:val="auto"/>
        </w:rPr>
      </w:pPr>
    </w:p>
    <w:p>
      <w:pPr>
        <w:jc w:val="both"/>
        <w:ind w:left="440" w:hanging="433"/>
        <w:spacing w:after="0" w:line="243" w:lineRule="auto"/>
        <w:tabs>
          <w:tab w:leader="none" w:pos="440"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5" w:lineRule="exact"/>
        <w:rPr>
          <w:rFonts w:ascii="Arial" w:cs="Arial" w:eastAsia="Arial" w:hAnsi="Arial"/>
          <w:sz w:val="20"/>
          <w:szCs w:val="20"/>
          <w:b w:val="1"/>
          <w:bCs w:val="1"/>
          <w:color w:val="auto"/>
        </w:rPr>
      </w:pPr>
    </w:p>
    <w:p>
      <w:pPr>
        <w:jc w:val="both"/>
        <w:ind w:left="440" w:hanging="433"/>
        <w:spacing w:after="0" w:line="247" w:lineRule="auto"/>
        <w:tabs>
          <w:tab w:leader="none" w:pos="440"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456565</wp:posOffset>
            </wp:positionV>
            <wp:extent cx="72904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60" w:name="page61"/>
    <w:bookmarkEnd w:id="60"/>
    <w:p>
      <w:pPr>
        <w:jc w:val="both"/>
        <w:ind w:left="433"/>
        <w:spacing w:after="0" w:line="247" w:lineRule="auto"/>
        <w:rPr>
          <w:sz w:val="20"/>
          <w:szCs w:val="20"/>
          <w:color w:val="auto"/>
        </w:rPr>
      </w:pPr>
      <w:r>
        <w:rPr>
          <w:rFonts w:ascii="Arial" w:cs="Arial" w:eastAsia="Arial" w:hAnsi="Arial"/>
          <w:sz w:val="20"/>
          <w:szCs w:val="20"/>
          <w:color w:val="auto"/>
        </w:rPr>
        <w:t>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200" w:lineRule="exact"/>
        <w:rPr>
          <w:sz w:val="20"/>
          <w:szCs w:val="20"/>
          <w:color w:val="auto"/>
        </w:rPr>
      </w:pPr>
    </w:p>
    <w:p>
      <w:pPr>
        <w:jc w:val="both"/>
        <w:ind w:left="433" w:hanging="433"/>
        <w:spacing w:after="0" w:line="301" w:lineRule="auto"/>
        <w:tabs>
          <w:tab w:leader="none" w:pos="433"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56" w:lineRule="exact"/>
        <w:rPr>
          <w:rFonts w:ascii="Arial" w:cs="Arial" w:eastAsia="Arial" w:hAnsi="Arial"/>
          <w:sz w:val="17"/>
          <w:szCs w:val="17"/>
          <w:b w:val="1"/>
          <w:bCs w:val="1"/>
          <w:color w:val="auto"/>
        </w:rPr>
      </w:pPr>
    </w:p>
    <w:p>
      <w:pPr>
        <w:jc w:val="both"/>
        <w:ind w:left="433" w:hanging="433"/>
        <w:spacing w:after="0" w:line="260" w:lineRule="auto"/>
        <w:tabs>
          <w:tab w:leader="none" w:pos="433"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90" w:lineRule="exact"/>
        <w:rPr>
          <w:rFonts w:ascii="Arial" w:cs="Arial" w:eastAsia="Arial" w:hAnsi="Arial"/>
          <w:sz w:val="19"/>
          <w:szCs w:val="19"/>
          <w:b w:val="1"/>
          <w:bCs w:val="1"/>
          <w:color w:val="auto"/>
        </w:rPr>
      </w:pPr>
    </w:p>
    <w:p>
      <w:pPr>
        <w:jc w:val="both"/>
        <w:ind w:left="433" w:hanging="433"/>
        <w:spacing w:after="0" w:line="260" w:lineRule="auto"/>
        <w:tabs>
          <w:tab w:leader="none" w:pos="433"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90" w:lineRule="exact"/>
        <w:rPr>
          <w:rFonts w:ascii="Arial" w:cs="Arial" w:eastAsia="Arial" w:hAnsi="Arial"/>
          <w:sz w:val="19"/>
          <w:szCs w:val="19"/>
          <w:b w:val="1"/>
          <w:bCs w:val="1"/>
          <w:color w:val="auto"/>
        </w:rPr>
      </w:pPr>
    </w:p>
    <w:p>
      <w:pPr>
        <w:jc w:val="both"/>
        <w:ind w:left="433" w:hanging="433"/>
        <w:spacing w:after="0" w:line="312" w:lineRule="auto"/>
        <w:tabs>
          <w:tab w:leader="none" w:pos="433"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47" w:lineRule="exact"/>
        <w:rPr>
          <w:rFonts w:ascii="Arial" w:cs="Arial" w:eastAsia="Arial" w:hAnsi="Arial"/>
          <w:sz w:val="17"/>
          <w:szCs w:val="17"/>
          <w:b w:val="1"/>
          <w:bCs w:val="1"/>
          <w:color w:val="auto"/>
        </w:rPr>
      </w:pPr>
    </w:p>
    <w:p>
      <w:pPr>
        <w:jc w:val="both"/>
        <w:ind w:left="433" w:hanging="433"/>
        <w:spacing w:after="0" w:line="260" w:lineRule="auto"/>
        <w:tabs>
          <w:tab w:leader="none" w:pos="433"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90" w:lineRule="exact"/>
        <w:rPr>
          <w:rFonts w:ascii="Arial" w:cs="Arial" w:eastAsia="Arial" w:hAnsi="Arial"/>
          <w:sz w:val="19"/>
          <w:szCs w:val="19"/>
          <w:b w:val="1"/>
          <w:bCs w:val="1"/>
          <w:color w:val="auto"/>
        </w:rPr>
      </w:pPr>
    </w:p>
    <w:p>
      <w:pPr>
        <w:ind w:left="433" w:hanging="433"/>
        <w:spacing w:after="0"/>
        <w:tabs>
          <w:tab w:leader="none" w:pos="433"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4" w:lineRule="exact"/>
        <w:rPr>
          <w:rFonts w:ascii="Arial" w:cs="Arial" w:eastAsia="Arial" w:hAnsi="Arial"/>
          <w:sz w:val="20"/>
          <w:szCs w:val="20"/>
          <w:b w:val="1"/>
          <w:bCs w:val="1"/>
          <w:color w:val="auto"/>
        </w:rPr>
      </w:pPr>
    </w:p>
    <w:p>
      <w:pPr>
        <w:ind w:left="433" w:hanging="433"/>
        <w:spacing w:after="0"/>
        <w:tabs>
          <w:tab w:leader="none" w:pos="433"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4" w:lineRule="exact"/>
        <w:rPr>
          <w:rFonts w:ascii="Arial" w:cs="Arial" w:eastAsia="Arial" w:hAnsi="Arial"/>
          <w:sz w:val="20"/>
          <w:szCs w:val="20"/>
          <w:b w:val="1"/>
          <w:bCs w:val="1"/>
          <w:color w:val="auto"/>
        </w:rPr>
      </w:pPr>
    </w:p>
    <w:p>
      <w:pPr>
        <w:ind w:left="433" w:hanging="433"/>
        <w:spacing w:after="0"/>
        <w:tabs>
          <w:tab w:leader="none" w:pos="433"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616585</wp:posOffset>
            </wp:positionV>
            <wp:extent cx="72904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13"/>
          </w:cols>
          <w:pgMar w:left="247" w:top="350" w:right="239" w:bottom="1440" w:gutter="0" w:footer="0" w:header="0"/>
        </w:sectPr>
      </w:pPr>
    </w:p>
    <w:bookmarkStart w:id="61" w:name="page62"/>
    <w:bookmarkEnd w:id="61"/>
    <w:p>
      <w:pPr>
        <w:jc w:val="both"/>
        <w:spacing w:after="0" w:line="288" w:lineRule="auto"/>
        <w:rPr>
          <w:sz w:val="20"/>
          <w:szCs w:val="20"/>
          <w:color w:val="auto"/>
        </w:rPr>
      </w:pPr>
      <w:r>
        <w:rPr>
          <w:rFonts w:ascii="Arial" w:cs="Arial" w:eastAsia="Arial" w:hAnsi="Arial"/>
          <w:sz w:val="17"/>
          <w:szCs w:val="17"/>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June 30, 2017,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761365</wp:posOffset>
            </wp:positionV>
            <wp:extent cx="72904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0"/>
        </w:trPr>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40" w:type="dxa"/>
            <w:vAlign w:val="bottom"/>
            <w:gridSpan w:val="3"/>
          </w:tcPr>
          <w:p>
            <w:pPr>
              <w:ind w:left="700"/>
              <w:spacing w:after="0"/>
              <w:rPr>
                <w:sz w:val="20"/>
                <w:szCs w:val="20"/>
                <w:color w:val="auto"/>
              </w:rPr>
            </w:pPr>
            <w:r>
              <w:rPr>
                <w:rFonts w:ascii="Arial" w:cs="Arial" w:eastAsia="Arial" w:hAnsi="Arial"/>
                <w:sz w:val="20"/>
                <w:szCs w:val="20"/>
                <w:color w:val="auto"/>
                <w:w w:val="91"/>
              </w:rPr>
              <w:t>Appendix 1</w:t>
            </w:r>
          </w:p>
        </w:tc>
      </w:tr>
      <w:tr>
        <w:trPr>
          <w:trHeight w:val="441"/>
        </w:trPr>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84"/>
              </w:rPr>
              <w:t>Received Received</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87"/>
              </w:rPr>
              <w:t>Notice of Notice of</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Total</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Pattern</w:t>
            </w:r>
          </w:p>
        </w:tc>
        <w:tc>
          <w:tcPr>
            <w:tcW w:w="154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90"/>
              </w:rPr>
              <w:t>Potential Actions</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Number</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5"/>
              </w:rPr>
              <w:t>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to have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Pending</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Legal</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104(d)</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0"/>
              </w:rPr>
              <w:t>Total Dollar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15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w w:val="98"/>
              </w:rPr>
              <w:t>Violation Pattern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1"/>
              </w:rPr>
              <w:t>as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Actions</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4"/>
              </w:rPr>
              <w:t>Actions</w:t>
            </w: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146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85"/>
              </w:rPr>
              <w:t>Section Citations</w:t>
            </w:r>
          </w:p>
        </w:tc>
        <w:tc>
          <w:tcPr>
            <w:tcW w:w="840" w:type="dxa"/>
            <w:vAlign w:val="bottom"/>
          </w:tcPr>
          <w:p>
            <w:pPr>
              <w:ind w:left="120"/>
              <w:spacing w:after="0" w:line="228" w:lineRule="exact"/>
              <w:rPr>
                <w:sz w:val="20"/>
                <w:szCs w:val="20"/>
                <w:color w:val="auto"/>
              </w:rPr>
            </w:pPr>
            <w:r>
              <w:rPr>
                <w:rFonts w:ascii="Arial" w:cs="Arial" w:eastAsia="Arial" w:hAnsi="Arial"/>
                <w:sz w:val="20"/>
                <w:szCs w:val="20"/>
                <w:b w:val="1"/>
                <w:bCs w:val="1"/>
                <w:color w:val="auto"/>
                <w:w w:val="96"/>
              </w:rPr>
              <w:t>Section</w:t>
            </w:r>
          </w:p>
        </w:tc>
        <w:tc>
          <w:tcPr>
            <w:tcW w:w="660" w:type="dxa"/>
            <w:vAlign w:val="bottom"/>
          </w:tcPr>
          <w:p>
            <w:pPr>
              <w:ind w:left="40"/>
              <w:spacing w:after="0" w:line="228" w:lineRule="exact"/>
              <w:rPr>
                <w:sz w:val="20"/>
                <w:szCs w:val="20"/>
                <w:color w:val="auto"/>
              </w:rPr>
            </w:pPr>
            <w:r>
              <w:rPr>
                <w:rFonts w:ascii="Arial" w:cs="Arial" w:eastAsia="Arial" w:hAnsi="Arial"/>
                <w:sz w:val="20"/>
                <w:szCs w:val="20"/>
                <w:b w:val="1"/>
                <w:bCs w:val="1"/>
                <w:color w:val="auto"/>
                <w:w w:val="82"/>
              </w:rPr>
              <w:t>Section</w:t>
            </w:r>
          </w:p>
        </w:tc>
        <w:tc>
          <w:tcPr>
            <w:tcW w:w="140" w:type="dxa"/>
            <w:vAlign w:val="bottom"/>
          </w:tcPr>
          <w:p>
            <w:pPr>
              <w:spacing w:after="0"/>
              <w:rPr>
                <w:sz w:val="19"/>
                <w:szCs w:val="19"/>
                <w:color w:val="auto"/>
              </w:rPr>
            </w:pPr>
          </w:p>
        </w:tc>
        <w:tc>
          <w:tcPr>
            <w:tcW w:w="104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Mining</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under</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Last</w:t>
            </w:r>
          </w:p>
        </w:tc>
        <w:tc>
          <w:tcPr>
            <w:tcW w:w="1640" w:type="dxa"/>
            <w:vAlign w:val="bottom"/>
            <w:gridSpan w:val="3"/>
          </w:tcPr>
          <w:p>
            <w:pPr>
              <w:spacing w:after="0" w:line="228" w:lineRule="exact"/>
              <w:rPr>
                <w:sz w:val="20"/>
                <w:szCs w:val="20"/>
                <w:color w:val="auto"/>
              </w:rPr>
            </w:pPr>
            <w:r>
              <w:rPr>
                <w:rFonts w:ascii="Arial" w:cs="Arial" w:eastAsia="Arial" w:hAnsi="Arial"/>
                <w:sz w:val="20"/>
                <w:szCs w:val="20"/>
                <w:b w:val="1"/>
                <w:bCs w:val="1"/>
                <w:color w:val="auto"/>
                <w:w w:val="87"/>
              </w:rPr>
              <w:t>Instituted Resolved</w:t>
            </w: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 S&amp;S</w:t>
            </w:r>
          </w:p>
        </w:tc>
        <w:tc>
          <w:tcPr>
            <w:tcW w:w="7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104(b)</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and</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110(b)(2)</w:t>
            </w:r>
          </w:p>
        </w:tc>
        <w:tc>
          <w:tcPr>
            <w:tcW w:w="6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107(a)</w:t>
            </w:r>
          </w:p>
        </w:tc>
        <w:tc>
          <w:tcPr>
            <w:tcW w:w="140" w:type="dxa"/>
            <w:vAlign w:val="bottom"/>
          </w:tcPr>
          <w:p>
            <w:pPr>
              <w:spacing w:after="0"/>
              <w:rPr>
                <w:sz w:val="19"/>
                <w:szCs w:val="19"/>
                <w:color w:val="auto"/>
              </w:rPr>
            </w:pPr>
          </w:p>
        </w:tc>
        <w:tc>
          <w:tcPr>
            <w:tcW w:w="104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Related</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Day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93"/>
              </w:rPr>
              <w:t>During</w:t>
            </w:r>
          </w:p>
        </w:tc>
      </w:tr>
      <w:tr>
        <w:trPr>
          <w:trHeight w:val="227"/>
        </w:trPr>
        <w:tc>
          <w:tcPr>
            <w:tcW w:w="1020" w:type="dxa"/>
            <w:vAlign w:val="bottom"/>
          </w:tcPr>
          <w:p>
            <w:pPr>
              <w:spacing w:after="0"/>
              <w:rPr>
                <w:sz w:val="19"/>
                <w:szCs w:val="19"/>
                <w:color w:val="auto"/>
              </w:rPr>
            </w:pPr>
          </w:p>
        </w:tc>
        <w:tc>
          <w:tcPr>
            <w:tcW w:w="222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Orders</w:t>
            </w:r>
          </w:p>
        </w:tc>
        <w:tc>
          <w:tcPr>
            <w:tcW w:w="3500" w:type="dxa"/>
            <w:vAlign w:val="bottom"/>
            <w:gridSpan w:val="5"/>
          </w:tcPr>
          <w:p>
            <w:pPr>
              <w:spacing w:after="0" w:line="228" w:lineRule="exact"/>
              <w:rPr>
                <w:sz w:val="20"/>
                <w:szCs w:val="20"/>
                <w:color w:val="auto"/>
              </w:rPr>
            </w:pPr>
            <w:r>
              <w:rPr>
                <w:rFonts w:ascii="Arial" w:cs="Arial" w:eastAsia="Arial" w:hAnsi="Arial"/>
                <w:sz w:val="20"/>
                <w:szCs w:val="20"/>
                <w:b w:val="1"/>
                <w:bCs w:val="1"/>
                <w:color w:val="auto"/>
                <w:w w:val="87"/>
              </w:rPr>
              <w:t>Violations Orders Assessment/$ Fatalities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104(e)</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89"/>
              </w:rPr>
              <w:t>Period</w:t>
            </w:r>
          </w:p>
        </w:tc>
      </w:tr>
      <w:tr>
        <w:trPr>
          <w:trHeight w:val="250"/>
        </w:trPr>
        <w:tc>
          <w:tcPr>
            <w:tcW w:w="1020" w:type="dxa"/>
            <w:vAlign w:val="bottom"/>
          </w:tcPr>
          <w:p>
            <w:pPr>
              <w:ind w:left="140"/>
              <w:spacing w:after="0"/>
              <w:rPr>
                <w:sz w:val="20"/>
                <w:szCs w:val="20"/>
                <w:color w:val="auto"/>
              </w:rPr>
            </w:pPr>
            <w:r>
              <w:rPr>
                <w:rFonts w:ascii="Arial" w:cs="Arial" w:eastAsia="Arial" w:hAnsi="Arial"/>
                <w:sz w:val="20"/>
                <w:szCs w:val="20"/>
                <w:b w:val="1"/>
                <w:bCs w:val="1"/>
                <w:color w:val="auto"/>
              </w:rPr>
              <w:t>Location</w:t>
            </w:r>
          </w:p>
        </w:tc>
        <w:tc>
          <w:tcPr>
            <w:tcW w:w="740" w:type="dxa"/>
            <w:vAlign w:val="bottom"/>
          </w:tcPr>
          <w:p>
            <w:pPr>
              <w:jc w:val="right"/>
              <w:ind w:right="162"/>
              <w:spacing w:after="0"/>
              <w:rPr>
                <w:sz w:val="20"/>
                <w:szCs w:val="20"/>
                <w:color w:val="auto"/>
              </w:rPr>
            </w:pPr>
            <w:r>
              <w:rPr>
                <w:rFonts w:ascii="Arial" w:cs="Arial" w:eastAsia="Arial" w:hAnsi="Arial"/>
                <w:sz w:val="20"/>
                <w:szCs w:val="20"/>
                <w:b w:val="1"/>
                <w:bCs w:val="1"/>
                <w:color w:val="auto"/>
              </w:rPr>
              <w:t>ID</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40" w:type="dxa"/>
            <w:vAlign w:val="bottom"/>
          </w:tcPr>
          <w:p>
            <w:pPr>
              <w:spacing w:after="0"/>
              <w:rPr>
                <w:sz w:val="21"/>
                <w:szCs w:val="21"/>
                <w:color w:val="auto"/>
              </w:rPr>
            </w:pPr>
          </w:p>
        </w:tc>
        <w:tc>
          <w:tcPr>
            <w:tcW w:w="1040" w:type="dxa"/>
            <w:vAlign w:val="bottom"/>
          </w:tcPr>
          <w:p>
            <w:pPr>
              <w:jc w:val="center"/>
              <w:ind w:right="82"/>
              <w:spacing w:after="0"/>
              <w:rPr>
                <w:sz w:val="20"/>
                <w:szCs w:val="20"/>
                <w:color w:val="auto"/>
              </w:rPr>
            </w:pPr>
            <w:r>
              <w:rPr>
                <w:rFonts w:ascii="Arial" w:cs="Arial" w:eastAsia="Arial" w:hAnsi="Arial"/>
                <w:sz w:val="20"/>
                <w:szCs w:val="20"/>
                <w:b w:val="1"/>
                <w:bCs w:val="1"/>
                <w:color w:val="auto"/>
                <w:w w:val="84"/>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3"/>
              </w:rPr>
              <w:t>(yes/no)</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Alexander</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BN5</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American</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line="228" w:lineRule="exact"/>
              <w:rPr>
                <w:sz w:val="20"/>
                <w:szCs w:val="20"/>
                <w:color w:val="auto"/>
              </w:rPr>
            </w:pPr>
            <w:r>
              <w:rPr>
                <w:rFonts w:ascii="Arial" w:cs="Arial" w:eastAsia="Arial" w:hAnsi="Arial"/>
                <w:sz w:val="20"/>
                <w:szCs w:val="20"/>
                <w:color w:val="auto"/>
              </w:rPr>
              <w:t>Stone</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3100189</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Anderson</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Creek</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4402963</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Arrowood</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3100059</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Asheboro</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3100066</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Bakers</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3100071</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Belgrade</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3100064</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Benson</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3101979</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Berkeley</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3800072</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Bessemer</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w w:val="98"/>
              </w:rPr>
              <w:t>City 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3101105</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95"/>
              </w:rPr>
              <w:t>Black Ankle</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3102220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Bonds</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Gravel Pit</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3101963</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Boonsboro</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1800024</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Burlington</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3100042</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Caldwell</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3101869</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Castle</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line="228" w:lineRule="exact"/>
              <w:rPr>
                <w:sz w:val="20"/>
                <w:szCs w:val="20"/>
                <w:color w:val="auto"/>
              </w:rPr>
            </w:pPr>
            <w:r>
              <w:rPr>
                <w:rFonts w:ascii="Arial" w:cs="Arial" w:eastAsia="Arial" w:hAnsi="Arial"/>
                <w:sz w:val="20"/>
                <w:szCs w:val="20"/>
                <w:color w:val="auto"/>
              </w:rPr>
              <w:t>Hayne</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3100063</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Cayce</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3800016</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1,326</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Central</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line="228" w:lineRule="exact"/>
              <w:rPr>
                <w:sz w:val="20"/>
                <w:szCs w:val="20"/>
                <w:color w:val="auto"/>
              </w:rPr>
            </w:pPr>
            <w:r>
              <w:rPr>
                <w:rFonts w:ascii="Arial" w:cs="Arial" w:eastAsia="Arial" w:hAnsi="Arial"/>
                <w:sz w:val="20"/>
                <w:szCs w:val="20"/>
                <w:color w:val="auto"/>
              </w:rPr>
              <w:t>Rock</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3100050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Charlotte</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3100057</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Clarks</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3102009</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91"/>
              </w:rPr>
              <w:t>Cumberland</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3102237</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020" w:type="dxa"/>
            <w:vAlign w:val="bottom"/>
          </w:tcPr>
          <w:p>
            <w:pPr>
              <w:spacing w:after="0"/>
              <w:rPr>
                <w:sz w:val="20"/>
                <w:szCs w:val="20"/>
                <w:color w:val="auto"/>
              </w:rPr>
            </w:pPr>
            <w:r>
              <w:rPr>
                <w:rFonts w:ascii="Arial" w:cs="Arial" w:eastAsia="Arial" w:hAnsi="Arial"/>
                <w:sz w:val="20"/>
                <w:szCs w:val="20"/>
                <w:color w:val="auto"/>
              </w:rPr>
              <w:t>Denver</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3101971</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869</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Doswell</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4400045</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East</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Alamance</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3102021</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Fountain</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3100065</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756"/>
        </w:trPr>
        <w:tc>
          <w:tcPr>
            <w:tcW w:w="10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679"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0"/>
        </w:trPr>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40" w:type="dxa"/>
            <w:vAlign w:val="bottom"/>
            <w:gridSpan w:val="3"/>
          </w:tcPr>
          <w:p>
            <w:pPr>
              <w:ind w:left="700"/>
              <w:spacing w:after="0"/>
              <w:rPr>
                <w:sz w:val="20"/>
                <w:szCs w:val="20"/>
                <w:color w:val="auto"/>
              </w:rPr>
            </w:pPr>
            <w:r>
              <w:rPr>
                <w:rFonts w:ascii="Arial" w:cs="Arial" w:eastAsia="Arial" w:hAnsi="Arial"/>
                <w:sz w:val="20"/>
                <w:szCs w:val="20"/>
                <w:color w:val="auto"/>
                <w:w w:val="91"/>
              </w:rPr>
              <w:t>Appendix 1</w:t>
            </w:r>
          </w:p>
        </w:tc>
      </w:tr>
      <w:tr>
        <w:trPr>
          <w:trHeight w:val="441"/>
        </w:trPr>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84"/>
              </w:rPr>
              <w:t>Received Received</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87"/>
              </w:rPr>
              <w:t>Notice of Notice of</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Total</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Pattern</w:t>
            </w:r>
          </w:p>
        </w:tc>
        <w:tc>
          <w:tcPr>
            <w:tcW w:w="154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90"/>
              </w:rPr>
              <w:t>Potential Actions</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Number</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5"/>
              </w:rPr>
              <w:t>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to have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Pending</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Legal</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104(d)</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0"/>
              </w:rPr>
              <w:t>Total Dollar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15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w w:val="98"/>
              </w:rPr>
              <w:t>Violation Pattern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1"/>
              </w:rPr>
              <w:t>as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Actions</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4"/>
              </w:rPr>
              <w:t>Actions</w:t>
            </w: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146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85"/>
              </w:rPr>
              <w:t>Section Citations</w:t>
            </w:r>
          </w:p>
        </w:tc>
        <w:tc>
          <w:tcPr>
            <w:tcW w:w="840" w:type="dxa"/>
            <w:vAlign w:val="bottom"/>
          </w:tcPr>
          <w:p>
            <w:pPr>
              <w:ind w:left="120"/>
              <w:spacing w:after="0" w:line="228" w:lineRule="exact"/>
              <w:rPr>
                <w:sz w:val="20"/>
                <w:szCs w:val="20"/>
                <w:color w:val="auto"/>
              </w:rPr>
            </w:pPr>
            <w:r>
              <w:rPr>
                <w:rFonts w:ascii="Arial" w:cs="Arial" w:eastAsia="Arial" w:hAnsi="Arial"/>
                <w:sz w:val="20"/>
                <w:szCs w:val="20"/>
                <w:b w:val="1"/>
                <w:bCs w:val="1"/>
                <w:color w:val="auto"/>
                <w:w w:val="96"/>
              </w:rPr>
              <w:t>Section</w:t>
            </w:r>
          </w:p>
        </w:tc>
        <w:tc>
          <w:tcPr>
            <w:tcW w:w="660" w:type="dxa"/>
            <w:vAlign w:val="bottom"/>
          </w:tcPr>
          <w:p>
            <w:pPr>
              <w:ind w:left="40"/>
              <w:spacing w:after="0" w:line="228" w:lineRule="exact"/>
              <w:rPr>
                <w:sz w:val="20"/>
                <w:szCs w:val="20"/>
                <w:color w:val="auto"/>
              </w:rPr>
            </w:pPr>
            <w:r>
              <w:rPr>
                <w:rFonts w:ascii="Arial" w:cs="Arial" w:eastAsia="Arial" w:hAnsi="Arial"/>
                <w:sz w:val="20"/>
                <w:szCs w:val="20"/>
                <w:b w:val="1"/>
                <w:bCs w:val="1"/>
                <w:color w:val="auto"/>
                <w:w w:val="82"/>
              </w:rPr>
              <w:t>Section</w:t>
            </w:r>
          </w:p>
        </w:tc>
        <w:tc>
          <w:tcPr>
            <w:tcW w:w="140" w:type="dxa"/>
            <w:vAlign w:val="bottom"/>
          </w:tcPr>
          <w:p>
            <w:pPr>
              <w:spacing w:after="0"/>
              <w:rPr>
                <w:sz w:val="19"/>
                <w:szCs w:val="19"/>
                <w:color w:val="auto"/>
              </w:rPr>
            </w:pPr>
          </w:p>
        </w:tc>
        <w:tc>
          <w:tcPr>
            <w:tcW w:w="104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Mining</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under</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Last</w:t>
            </w:r>
          </w:p>
        </w:tc>
        <w:tc>
          <w:tcPr>
            <w:tcW w:w="1640" w:type="dxa"/>
            <w:vAlign w:val="bottom"/>
            <w:gridSpan w:val="3"/>
          </w:tcPr>
          <w:p>
            <w:pPr>
              <w:spacing w:after="0" w:line="228" w:lineRule="exact"/>
              <w:rPr>
                <w:sz w:val="20"/>
                <w:szCs w:val="20"/>
                <w:color w:val="auto"/>
              </w:rPr>
            </w:pPr>
            <w:r>
              <w:rPr>
                <w:rFonts w:ascii="Arial" w:cs="Arial" w:eastAsia="Arial" w:hAnsi="Arial"/>
                <w:sz w:val="20"/>
                <w:szCs w:val="20"/>
                <w:b w:val="1"/>
                <w:bCs w:val="1"/>
                <w:color w:val="auto"/>
                <w:w w:val="87"/>
              </w:rPr>
              <w:t>Instituted Resolved</w:t>
            </w: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 S&amp;S</w:t>
            </w:r>
          </w:p>
        </w:tc>
        <w:tc>
          <w:tcPr>
            <w:tcW w:w="7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104(b)</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and</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110(b)(2)</w:t>
            </w:r>
          </w:p>
        </w:tc>
        <w:tc>
          <w:tcPr>
            <w:tcW w:w="6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107(a)</w:t>
            </w:r>
          </w:p>
        </w:tc>
        <w:tc>
          <w:tcPr>
            <w:tcW w:w="140" w:type="dxa"/>
            <w:vAlign w:val="bottom"/>
          </w:tcPr>
          <w:p>
            <w:pPr>
              <w:spacing w:after="0"/>
              <w:rPr>
                <w:sz w:val="19"/>
                <w:szCs w:val="19"/>
                <w:color w:val="auto"/>
              </w:rPr>
            </w:pPr>
          </w:p>
        </w:tc>
        <w:tc>
          <w:tcPr>
            <w:tcW w:w="104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Related</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Day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93"/>
              </w:rPr>
              <w:t>During</w:t>
            </w:r>
          </w:p>
        </w:tc>
      </w:tr>
      <w:tr>
        <w:trPr>
          <w:trHeight w:val="227"/>
        </w:trPr>
        <w:tc>
          <w:tcPr>
            <w:tcW w:w="1020" w:type="dxa"/>
            <w:vAlign w:val="bottom"/>
          </w:tcPr>
          <w:p>
            <w:pPr>
              <w:spacing w:after="0"/>
              <w:rPr>
                <w:sz w:val="19"/>
                <w:szCs w:val="19"/>
                <w:color w:val="auto"/>
              </w:rPr>
            </w:pPr>
          </w:p>
        </w:tc>
        <w:tc>
          <w:tcPr>
            <w:tcW w:w="222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Orders</w:t>
            </w:r>
          </w:p>
        </w:tc>
        <w:tc>
          <w:tcPr>
            <w:tcW w:w="3500" w:type="dxa"/>
            <w:vAlign w:val="bottom"/>
            <w:gridSpan w:val="5"/>
          </w:tcPr>
          <w:p>
            <w:pPr>
              <w:spacing w:after="0" w:line="228" w:lineRule="exact"/>
              <w:rPr>
                <w:sz w:val="20"/>
                <w:szCs w:val="20"/>
                <w:color w:val="auto"/>
              </w:rPr>
            </w:pPr>
            <w:r>
              <w:rPr>
                <w:rFonts w:ascii="Arial" w:cs="Arial" w:eastAsia="Arial" w:hAnsi="Arial"/>
                <w:sz w:val="20"/>
                <w:szCs w:val="20"/>
                <w:b w:val="1"/>
                <w:bCs w:val="1"/>
                <w:color w:val="auto"/>
                <w:w w:val="87"/>
              </w:rPr>
              <w:t>Violations Orders Assessment/$ Fatalities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104(e)</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89"/>
              </w:rPr>
              <w:t>Period</w:t>
            </w:r>
          </w:p>
        </w:tc>
      </w:tr>
      <w:tr>
        <w:trPr>
          <w:trHeight w:val="247"/>
        </w:trPr>
        <w:tc>
          <w:tcPr>
            <w:tcW w:w="1020" w:type="dxa"/>
            <w:vAlign w:val="bottom"/>
          </w:tcPr>
          <w:p>
            <w:pPr>
              <w:ind w:left="140"/>
              <w:spacing w:after="0"/>
              <w:rPr>
                <w:sz w:val="20"/>
                <w:szCs w:val="20"/>
                <w:color w:val="auto"/>
              </w:rPr>
            </w:pPr>
            <w:r>
              <w:rPr>
                <w:rFonts w:ascii="Arial" w:cs="Arial" w:eastAsia="Arial" w:hAnsi="Arial"/>
                <w:sz w:val="20"/>
                <w:szCs w:val="20"/>
                <w:b w:val="1"/>
                <w:bCs w:val="1"/>
                <w:color w:val="auto"/>
              </w:rPr>
              <w:t>Location</w:t>
            </w:r>
          </w:p>
        </w:tc>
        <w:tc>
          <w:tcPr>
            <w:tcW w:w="740" w:type="dxa"/>
            <w:vAlign w:val="bottom"/>
          </w:tcPr>
          <w:p>
            <w:pPr>
              <w:jc w:val="right"/>
              <w:ind w:right="162"/>
              <w:spacing w:after="0"/>
              <w:rPr>
                <w:sz w:val="20"/>
                <w:szCs w:val="20"/>
                <w:color w:val="auto"/>
              </w:rPr>
            </w:pPr>
            <w:r>
              <w:rPr>
                <w:rFonts w:ascii="Arial" w:cs="Arial" w:eastAsia="Arial" w:hAnsi="Arial"/>
                <w:sz w:val="20"/>
                <w:szCs w:val="20"/>
                <w:b w:val="1"/>
                <w:bCs w:val="1"/>
                <w:color w:val="auto"/>
              </w:rPr>
              <w:t>ID</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40" w:type="dxa"/>
            <w:vAlign w:val="bottom"/>
          </w:tcPr>
          <w:p>
            <w:pPr>
              <w:spacing w:after="0"/>
              <w:rPr>
                <w:sz w:val="21"/>
                <w:szCs w:val="21"/>
                <w:color w:val="auto"/>
              </w:rPr>
            </w:pPr>
          </w:p>
        </w:tc>
        <w:tc>
          <w:tcPr>
            <w:tcW w:w="1040" w:type="dxa"/>
            <w:vAlign w:val="bottom"/>
          </w:tcPr>
          <w:p>
            <w:pPr>
              <w:jc w:val="center"/>
              <w:ind w:right="82"/>
              <w:spacing w:after="0"/>
              <w:rPr>
                <w:sz w:val="20"/>
                <w:szCs w:val="20"/>
                <w:color w:val="auto"/>
              </w:rPr>
            </w:pPr>
            <w:r>
              <w:rPr>
                <w:rFonts w:ascii="Arial" w:cs="Arial" w:eastAsia="Arial" w:hAnsi="Arial"/>
                <w:sz w:val="20"/>
                <w:szCs w:val="20"/>
                <w:b w:val="1"/>
                <w:bCs w:val="1"/>
                <w:color w:val="auto"/>
                <w:w w:val="84"/>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3"/>
              </w:rPr>
              <w:t>(yes/no)</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20" w:type="dxa"/>
            <w:vAlign w:val="bottom"/>
          </w:tcPr>
          <w:p>
            <w:pPr>
              <w:spacing w:after="0"/>
              <w:rPr>
                <w:sz w:val="21"/>
                <w:szCs w:val="21"/>
                <w:color w:val="auto"/>
              </w:rPr>
            </w:pPr>
          </w:p>
        </w:tc>
      </w:tr>
      <w:tr>
        <w:trPr>
          <w:trHeight w:val="227"/>
        </w:trPr>
        <w:tc>
          <w:tcPr>
            <w:tcW w:w="1020" w:type="dxa"/>
            <w:vAlign w:val="bottom"/>
          </w:tcPr>
          <w:p>
            <w:pPr>
              <w:spacing w:after="0" w:line="228" w:lineRule="exact"/>
              <w:rPr>
                <w:sz w:val="20"/>
                <w:szCs w:val="20"/>
                <w:color w:val="auto"/>
              </w:rPr>
            </w:pPr>
            <w:r>
              <w:rPr>
                <w:rFonts w:ascii="Arial" w:cs="Arial" w:eastAsia="Arial" w:hAnsi="Arial"/>
                <w:sz w:val="20"/>
                <w:szCs w:val="20"/>
                <w:color w:val="auto"/>
              </w:rPr>
              <w:t>Franklin</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3102130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251</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Fuquay</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3102055</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Garner</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3100072</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91"/>
              </w:rPr>
              <w:t>Georgetown</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ll 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3800525</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Hickory</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3100043</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Hicone</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3102088</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w w:val="98"/>
              </w:rPr>
              <w:t>Jamestown</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3100051</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Kannapolis</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3100070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Kings</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line="228" w:lineRule="exact"/>
              <w:rPr>
                <w:sz w:val="20"/>
                <w:szCs w:val="20"/>
                <w:color w:val="auto"/>
              </w:rPr>
            </w:pPr>
            <w:r>
              <w:rPr>
                <w:rFonts w:ascii="Arial" w:cs="Arial" w:eastAsia="Arial" w:hAnsi="Arial"/>
                <w:sz w:val="20"/>
                <w:szCs w:val="20"/>
                <w:color w:val="auto"/>
              </w:rPr>
              <w:t>Mountain</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3100047</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Lemon</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Springs</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3101104</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w w:val="89"/>
              </w:rPr>
              <w:t>Loamy Sand</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and Gravel</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3800721</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Maiden</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3102125</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Mallard</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line="228" w:lineRule="exact"/>
              <w:rPr>
                <w:sz w:val="20"/>
                <w:szCs w:val="20"/>
                <w:color w:val="auto"/>
              </w:rPr>
            </w:pPr>
            <w:r>
              <w:rPr>
                <w:rFonts w:ascii="Arial" w:cs="Arial" w:eastAsia="Arial" w:hAnsi="Arial"/>
                <w:sz w:val="20"/>
                <w:szCs w:val="20"/>
                <w:color w:val="auto"/>
              </w:rPr>
              <w:t>Creek</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3102006</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Matthews</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3102084</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Midlothian</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4403767</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North</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Columbia</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3800146</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Onslow</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3102120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Pinesburg</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1800021</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Pomona</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3100052</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Raleigh</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Durham</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3101941</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Red Hill</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9"/>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4400072</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752"/>
        </w:trPr>
        <w:tc>
          <w:tcPr>
            <w:tcW w:w="10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50"/>
        </w:trPr>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40" w:type="dxa"/>
            <w:vAlign w:val="bottom"/>
            <w:gridSpan w:val="3"/>
          </w:tcPr>
          <w:p>
            <w:pPr>
              <w:ind w:left="700"/>
              <w:spacing w:after="0"/>
              <w:rPr>
                <w:sz w:val="20"/>
                <w:szCs w:val="20"/>
                <w:color w:val="auto"/>
              </w:rPr>
            </w:pPr>
            <w:r>
              <w:rPr>
                <w:rFonts w:ascii="Arial" w:cs="Arial" w:eastAsia="Arial" w:hAnsi="Arial"/>
                <w:sz w:val="20"/>
                <w:szCs w:val="20"/>
                <w:color w:val="auto"/>
                <w:w w:val="91"/>
              </w:rPr>
              <w:t>Appendix 1</w:t>
            </w:r>
          </w:p>
        </w:tc>
      </w:tr>
      <w:tr>
        <w:trPr>
          <w:trHeight w:val="441"/>
        </w:trPr>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84"/>
              </w:rPr>
              <w:t>Received Received</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87"/>
              </w:rPr>
              <w:t>Notice of Notice of</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Total</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Pattern</w:t>
            </w:r>
          </w:p>
        </w:tc>
        <w:tc>
          <w:tcPr>
            <w:tcW w:w="154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90"/>
              </w:rPr>
              <w:t>Potential Actions</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Number</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5"/>
              </w:rPr>
              <w:t>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to have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Pending</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Legal</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104(d)</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0"/>
              </w:rPr>
              <w:t>Total Dollar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15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w w:val="98"/>
              </w:rPr>
              <w:t>Violation Pattern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1"/>
              </w:rPr>
              <w:t>as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Actions</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4"/>
              </w:rPr>
              <w:t>Actions</w:t>
            </w: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1480" w:type="dxa"/>
            <w:vAlign w:val="bottom"/>
            <w:gridSpan w:val="2"/>
          </w:tcPr>
          <w:p>
            <w:pPr>
              <w:ind w:left="60"/>
              <w:spacing w:after="0" w:line="228" w:lineRule="exact"/>
              <w:rPr>
                <w:sz w:val="20"/>
                <w:szCs w:val="20"/>
                <w:color w:val="auto"/>
              </w:rPr>
            </w:pPr>
            <w:r>
              <w:rPr>
                <w:rFonts w:ascii="Arial" w:cs="Arial" w:eastAsia="Arial" w:hAnsi="Arial"/>
                <w:sz w:val="20"/>
                <w:szCs w:val="20"/>
                <w:b w:val="1"/>
                <w:bCs w:val="1"/>
                <w:color w:val="auto"/>
                <w:w w:val="85"/>
              </w:rPr>
              <w:t>Section Citations</w:t>
            </w:r>
          </w:p>
        </w:tc>
        <w:tc>
          <w:tcPr>
            <w:tcW w:w="840" w:type="dxa"/>
            <w:vAlign w:val="bottom"/>
          </w:tcPr>
          <w:p>
            <w:pPr>
              <w:ind w:left="120"/>
              <w:spacing w:after="0" w:line="228" w:lineRule="exact"/>
              <w:rPr>
                <w:sz w:val="20"/>
                <w:szCs w:val="20"/>
                <w:color w:val="auto"/>
              </w:rPr>
            </w:pPr>
            <w:r>
              <w:rPr>
                <w:rFonts w:ascii="Arial" w:cs="Arial" w:eastAsia="Arial" w:hAnsi="Arial"/>
                <w:sz w:val="20"/>
                <w:szCs w:val="20"/>
                <w:b w:val="1"/>
                <w:bCs w:val="1"/>
                <w:color w:val="auto"/>
                <w:w w:val="96"/>
              </w:rPr>
              <w:t>Section</w:t>
            </w:r>
          </w:p>
        </w:tc>
        <w:tc>
          <w:tcPr>
            <w:tcW w:w="660" w:type="dxa"/>
            <w:vAlign w:val="bottom"/>
          </w:tcPr>
          <w:p>
            <w:pPr>
              <w:ind w:left="40"/>
              <w:spacing w:after="0" w:line="228" w:lineRule="exact"/>
              <w:rPr>
                <w:sz w:val="20"/>
                <w:szCs w:val="20"/>
                <w:color w:val="auto"/>
              </w:rPr>
            </w:pPr>
            <w:r>
              <w:rPr>
                <w:rFonts w:ascii="Arial" w:cs="Arial" w:eastAsia="Arial" w:hAnsi="Arial"/>
                <w:sz w:val="20"/>
                <w:szCs w:val="20"/>
                <w:b w:val="1"/>
                <w:bCs w:val="1"/>
                <w:color w:val="auto"/>
                <w:w w:val="82"/>
              </w:rPr>
              <w:t>Section</w:t>
            </w:r>
          </w:p>
        </w:tc>
        <w:tc>
          <w:tcPr>
            <w:tcW w:w="140" w:type="dxa"/>
            <w:vAlign w:val="bottom"/>
          </w:tcPr>
          <w:p>
            <w:pPr>
              <w:spacing w:after="0"/>
              <w:rPr>
                <w:sz w:val="19"/>
                <w:szCs w:val="19"/>
                <w:color w:val="auto"/>
              </w:rPr>
            </w:pPr>
          </w:p>
        </w:tc>
        <w:tc>
          <w:tcPr>
            <w:tcW w:w="104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Mining</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under</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Last</w:t>
            </w:r>
          </w:p>
        </w:tc>
        <w:tc>
          <w:tcPr>
            <w:tcW w:w="1640" w:type="dxa"/>
            <w:vAlign w:val="bottom"/>
            <w:gridSpan w:val="3"/>
          </w:tcPr>
          <w:p>
            <w:pPr>
              <w:spacing w:after="0" w:line="228" w:lineRule="exact"/>
              <w:rPr>
                <w:sz w:val="20"/>
                <w:szCs w:val="20"/>
                <w:color w:val="auto"/>
              </w:rPr>
            </w:pPr>
            <w:r>
              <w:rPr>
                <w:rFonts w:ascii="Arial" w:cs="Arial" w:eastAsia="Arial" w:hAnsi="Arial"/>
                <w:sz w:val="20"/>
                <w:szCs w:val="20"/>
                <w:b w:val="1"/>
                <w:bCs w:val="1"/>
                <w:color w:val="auto"/>
                <w:w w:val="87"/>
              </w:rPr>
              <w:t>Instituted Resolved</w:t>
            </w: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and</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110(b)(2)</w:t>
            </w:r>
          </w:p>
        </w:tc>
        <w:tc>
          <w:tcPr>
            <w:tcW w:w="6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107(a)</w:t>
            </w:r>
          </w:p>
        </w:tc>
        <w:tc>
          <w:tcPr>
            <w:tcW w:w="140" w:type="dxa"/>
            <w:vAlign w:val="bottom"/>
          </w:tcPr>
          <w:p>
            <w:pPr>
              <w:spacing w:after="0"/>
              <w:rPr>
                <w:sz w:val="19"/>
                <w:szCs w:val="19"/>
                <w:color w:val="auto"/>
              </w:rPr>
            </w:pPr>
          </w:p>
        </w:tc>
        <w:tc>
          <w:tcPr>
            <w:tcW w:w="104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Related</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Day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93"/>
              </w:rPr>
              <w:t>During</w:t>
            </w:r>
          </w:p>
        </w:tc>
      </w:tr>
      <w:tr>
        <w:trPr>
          <w:trHeight w:val="227"/>
        </w:trPr>
        <w:tc>
          <w:tcPr>
            <w:tcW w:w="1020" w:type="dxa"/>
            <w:vAlign w:val="bottom"/>
          </w:tcPr>
          <w:p>
            <w:pPr>
              <w:spacing w:after="0"/>
              <w:rPr>
                <w:sz w:val="19"/>
                <w:szCs w:val="19"/>
                <w:color w:val="auto"/>
              </w:rPr>
            </w:pPr>
          </w:p>
        </w:tc>
        <w:tc>
          <w:tcPr>
            <w:tcW w:w="222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Orders</w:t>
            </w:r>
          </w:p>
        </w:tc>
        <w:tc>
          <w:tcPr>
            <w:tcW w:w="3500" w:type="dxa"/>
            <w:vAlign w:val="bottom"/>
            <w:gridSpan w:val="5"/>
          </w:tcPr>
          <w:p>
            <w:pPr>
              <w:spacing w:after="0" w:line="228" w:lineRule="exact"/>
              <w:rPr>
                <w:sz w:val="20"/>
                <w:szCs w:val="20"/>
                <w:color w:val="auto"/>
              </w:rPr>
            </w:pPr>
            <w:r>
              <w:rPr>
                <w:rFonts w:ascii="Arial" w:cs="Arial" w:eastAsia="Arial" w:hAnsi="Arial"/>
                <w:sz w:val="20"/>
                <w:szCs w:val="20"/>
                <w:b w:val="1"/>
                <w:bCs w:val="1"/>
                <w:color w:val="auto"/>
                <w:w w:val="87"/>
              </w:rPr>
              <w:t>Violations Orders Assessment/$ Fatalities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104(e)</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89"/>
              </w:rPr>
              <w:t>Period</w:t>
            </w:r>
          </w:p>
        </w:tc>
      </w:tr>
      <w:tr>
        <w:trPr>
          <w:trHeight w:val="250"/>
        </w:trPr>
        <w:tc>
          <w:tcPr>
            <w:tcW w:w="1020" w:type="dxa"/>
            <w:vAlign w:val="bottom"/>
          </w:tcPr>
          <w:p>
            <w:pPr>
              <w:ind w:left="160"/>
              <w:spacing w:after="0"/>
              <w:rPr>
                <w:sz w:val="20"/>
                <w:szCs w:val="20"/>
                <w:color w:val="auto"/>
              </w:rPr>
            </w:pPr>
            <w:r>
              <w:rPr>
                <w:rFonts w:ascii="Arial" w:cs="Arial" w:eastAsia="Arial" w:hAnsi="Arial"/>
                <w:sz w:val="20"/>
                <w:szCs w:val="20"/>
                <w:b w:val="1"/>
                <w:bCs w:val="1"/>
                <w:color w:val="auto"/>
              </w:rPr>
              <w:t>Location</w:t>
            </w:r>
          </w:p>
        </w:tc>
        <w:tc>
          <w:tcPr>
            <w:tcW w:w="740" w:type="dxa"/>
            <w:vAlign w:val="bottom"/>
          </w:tcPr>
          <w:p>
            <w:pPr>
              <w:jc w:val="right"/>
              <w:ind w:right="162"/>
              <w:spacing w:after="0"/>
              <w:rPr>
                <w:sz w:val="20"/>
                <w:szCs w:val="20"/>
                <w:color w:val="auto"/>
              </w:rPr>
            </w:pPr>
            <w:r>
              <w:rPr>
                <w:rFonts w:ascii="Arial" w:cs="Arial" w:eastAsia="Arial" w:hAnsi="Arial"/>
                <w:sz w:val="20"/>
                <w:szCs w:val="20"/>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40" w:type="dxa"/>
            <w:vAlign w:val="bottom"/>
          </w:tcPr>
          <w:p>
            <w:pPr>
              <w:spacing w:after="0"/>
              <w:rPr>
                <w:sz w:val="21"/>
                <w:szCs w:val="21"/>
                <w:color w:val="auto"/>
              </w:rPr>
            </w:pPr>
          </w:p>
        </w:tc>
        <w:tc>
          <w:tcPr>
            <w:tcW w:w="1040" w:type="dxa"/>
            <w:vAlign w:val="bottom"/>
          </w:tcPr>
          <w:p>
            <w:pPr>
              <w:jc w:val="center"/>
              <w:ind w:right="82"/>
              <w:spacing w:after="0"/>
              <w:rPr>
                <w:sz w:val="20"/>
                <w:szCs w:val="20"/>
                <w:color w:val="auto"/>
              </w:rPr>
            </w:pPr>
            <w:r>
              <w:rPr>
                <w:rFonts w:ascii="Arial" w:cs="Arial" w:eastAsia="Arial" w:hAnsi="Arial"/>
                <w:sz w:val="20"/>
                <w:szCs w:val="20"/>
                <w:b w:val="1"/>
                <w:bCs w:val="1"/>
                <w:color w:val="auto"/>
                <w:w w:val="84"/>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3"/>
              </w:rPr>
              <w:t>(yes/no)</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Reidsville</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3100068</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Rock Hill</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3800026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93"/>
              </w:rPr>
              <w:t>Rocky Point</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3101956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w w:val="87"/>
              </w:rPr>
              <w:t>Salem Stone</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Company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3102038</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Statesville</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3100055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w w:val="93"/>
              </w:rPr>
              <w:t>Thomasville</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3101475</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Wilmington</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3101308</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Woodleaf</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3100069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(45) North</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w w:val="93"/>
              </w:rPr>
              <w:t>Indianapolis</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1200002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760" w:type="dxa"/>
            <w:vAlign w:val="bottom"/>
            <w:gridSpan w:val="2"/>
          </w:tcPr>
          <w:p>
            <w:pPr>
              <w:spacing w:after="0"/>
              <w:rPr>
                <w:sz w:val="20"/>
                <w:szCs w:val="20"/>
                <w:color w:val="auto"/>
              </w:rPr>
            </w:pPr>
            <w:r>
              <w:rPr>
                <w:rFonts w:ascii="Arial" w:cs="Arial" w:eastAsia="Arial" w:hAnsi="Arial"/>
                <w:sz w:val="20"/>
                <w:szCs w:val="20"/>
                <w:color w:val="auto"/>
                <w:w w:val="89"/>
              </w:rPr>
              <w:t>Apple Grove 3301676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Belmont</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1201911</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Burning</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Springs</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4608862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580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Carmel</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SandG</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1202124</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020" w:type="dxa"/>
            <w:vAlign w:val="bottom"/>
          </w:tcPr>
          <w:p>
            <w:pPr>
              <w:spacing w:after="0"/>
              <w:rPr>
                <w:sz w:val="20"/>
                <w:szCs w:val="20"/>
                <w:color w:val="auto"/>
              </w:rPr>
            </w:pPr>
            <w:r>
              <w:rPr>
                <w:rFonts w:ascii="Arial" w:cs="Arial" w:eastAsia="Arial" w:hAnsi="Arial"/>
                <w:sz w:val="20"/>
                <w:szCs w:val="20"/>
                <w:color w:val="auto"/>
              </w:rPr>
              <w:t>Cedarville</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3304072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41"/>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Cloverdale</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1201744</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41"/>
        </w:trPr>
        <w:tc>
          <w:tcPr>
            <w:tcW w:w="1020" w:type="dxa"/>
            <w:vAlign w:val="bottom"/>
          </w:tcPr>
          <w:p>
            <w:pPr>
              <w:spacing w:after="0"/>
              <w:rPr>
                <w:sz w:val="20"/>
                <w:szCs w:val="20"/>
                <w:color w:val="auto"/>
              </w:rPr>
            </w:pPr>
            <w:r>
              <w:rPr>
                <w:rFonts w:ascii="Arial" w:cs="Arial" w:eastAsia="Arial" w:hAnsi="Arial"/>
                <w:sz w:val="20"/>
                <w:szCs w:val="20"/>
                <w:color w:val="auto"/>
                <w:w w:val="99"/>
              </w:rPr>
              <w:t>Cook Road</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3304534</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E-Town</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SandG</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3304279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020" w:type="dxa"/>
            <w:vAlign w:val="bottom"/>
          </w:tcPr>
          <w:p>
            <w:pPr>
              <w:spacing w:after="0"/>
              <w:rPr>
                <w:sz w:val="20"/>
                <w:szCs w:val="20"/>
                <w:color w:val="auto"/>
              </w:rPr>
            </w:pPr>
            <w:r>
              <w:rPr>
                <w:rFonts w:ascii="Arial" w:cs="Arial" w:eastAsia="Arial" w:hAnsi="Arial"/>
                <w:sz w:val="20"/>
                <w:szCs w:val="20"/>
                <w:color w:val="auto"/>
              </w:rPr>
              <w:t>Fairfield</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3301396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Franklin</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3302940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Kentucky</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Ave Mine</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1201762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412</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Kokomo</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Mine</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1202105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Kokomo</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Sand</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1202203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Kokomo</w:t>
            </w:r>
          </w:p>
        </w:tc>
        <w:tc>
          <w:tcPr>
            <w:tcW w:w="7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Stone</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1200142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Noblesville</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9"/>
        </w:trPr>
        <w:tc>
          <w:tcPr>
            <w:tcW w:w="1020" w:type="dxa"/>
            <w:vAlign w:val="bottom"/>
          </w:tcPr>
          <w:p>
            <w:pPr>
              <w:spacing w:after="0"/>
              <w:rPr>
                <w:sz w:val="20"/>
                <w:szCs w:val="20"/>
                <w:color w:val="auto"/>
              </w:rPr>
            </w:pPr>
            <w:r>
              <w:rPr>
                <w:rFonts w:ascii="Arial" w:cs="Arial" w:eastAsia="Arial" w:hAnsi="Arial"/>
                <w:sz w:val="20"/>
                <w:szCs w:val="20"/>
                <w:color w:val="auto"/>
              </w:rPr>
              <w:t>SandG</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1201994</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752"/>
        </w:trPr>
        <w:tc>
          <w:tcPr>
            <w:tcW w:w="10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0"/>
        </w:trPr>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40" w:type="dxa"/>
            <w:vAlign w:val="bottom"/>
            <w:gridSpan w:val="3"/>
          </w:tcPr>
          <w:p>
            <w:pPr>
              <w:ind w:left="700"/>
              <w:spacing w:after="0"/>
              <w:rPr>
                <w:sz w:val="20"/>
                <w:szCs w:val="20"/>
                <w:color w:val="auto"/>
              </w:rPr>
            </w:pPr>
            <w:r>
              <w:rPr>
                <w:rFonts w:ascii="Arial" w:cs="Arial" w:eastAsia="Arial" w:hAnsi="Arial"/>
                <w:sz w:val="20"/>
                <w:szCs w:val="20"/>
                <w:color w:val="auto"/>
                <w:w w:val="91"/>
              </w:rPr>
              <w:t>Appendix 1</w:t>
            </w:r>
          </w:p>
        </w:tc>
      </w:tr>
      <w:tr>
        <w:trPr>
          <w:trHeight w:val="441"/>
        </w:trPr>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84"/>
              </w:rPr>
              <w:t>Received Received</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87"/>
              </w:rPr>
              <w:t>Notice of Notice of</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Total</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Pattern</w:t>
            </w:r>
          </w:p>
        </w:tc>
        <w:tc>
          <w:tcPr>
            <w:tcW w:w="154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90"/>
              </w:rPr>
              <w:t>Potential Actions</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Number</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5"/>
              </w:rPr>
              <w:t>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to have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Pending</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Legal</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r>
      <w:tr>
        <w:trPr>
          <w:trHeight w:val="227"/>
        </w:trPr>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104(d)</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0"/>
              </w:rPr>
              <w:t>Total Dollar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15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w w:val="98"/>
              </w:rPr>
              <w:t>Violation Pattern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1"/>
              </w:rPr>
              <w:t>as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Actions</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4"/>
              </w:rPr>
              <w:t>Actions</w:t>
            </w:r>
          </w:p>
        </w:tc>
      </w:tr>
      <w:tr>
        <w:trPr>
          <w:trHeight w:val="227"/>
        </w:trPr>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1480" w:type="dxa"/>
            <w:vAlign w:val="bottom"/>
            <w:gridSpan w:val="2"/>
          </w:tcPr>
          <w:p>
            <w:pPr>
              <w:ind w:left="60"/>
              <w:spacing w:after="0" w:line="228" w:lineRule="exact"/>
              <w:rPr>
                <w:sz w:val="20"/>
                <w:szCs w:val="20"/>
                <w:color w:val="auto"/>
              </w:rPr>
            </w:pPr>
            <w:r>
              <w:rPr>
                <w:rFonts w:ascii="Arial" w:cs="Arial" w:eastAsia="Arial" w:hAnsi="Arial"/>
                <w:sz w:val="20"/>
                <w:szCs w:val="20"/>
                <w:b w:val="1"/>
                <w:bCs w:val="1"/>
                <w:color w:val="auto"/>
                <w:w w:val="85"/>
              </w:rPr>
              <w:t>Section Citations</w:t>
            </w:r>
          </w:p>
        </w:tc>
        <w:tc>
          <w:tcPr>
            <w:tcW w:w="840" w:type="dxa"/>
            <w:vAlign w:val="bottom"/>
          </w:tcPr>
          <w:p>
            <w:pPr>
              <w:ind w:left="120"/>
              <w:spacing w:after="0" w:line="228" w:lineRule="exact"/>
              <w:rPr>
                <w:sz w:val="20"/>
                <w:szCs w:val="20"/>
                <w:color w:val="auto"/>
              </w:rPr>
            </w:pPr>
            <w:r>
              <w:rPr>
                <w:rFonts w:ascii="Arial" w:cs="Arial" w:eastAsia="Arial" w:hAnsi="Arial"/>
                <w:sz w:val="20"/>
                <w:szCs w:val="20"/>
                <w:b w:val="1"/>
                <w:bCs w:val="1"/>
                <w:color w:val="auto"/>
                <w:w w:val="96"/>
              </w:rPr>
              <w:t>Section</w:t>
            </w:r>
          </w:p>
        </w:tc>
        <w:tc>
          <w:tcPr>
            <w:tcW w:w="660" w:type="dxa"/>
            <w:vAlign w:val="bottom"/>
          </w:tcPr>
          <w:p>
            <w:pPr>
              <w:ind w:left="40"/>
              <w:spacing w:after="0" w:line="228" w:lineRule="exact"/>
              <w:rPr>
                <w:sz w:val="20"/>
                <w:szCs w:val="20"/>
                <w:color w:val="auto"/>
              </w:rPr>
            </w:pPr>
            <w:r>
              <w:rPr>
                <w:rFonts w:ascii="Arial" w:cs="Arial" w:eastAsia="Arial" w:hAnsi="Arial"/>
                <w:sz w:val="20"/>
                <w:szCs w:val="20"/>
                <w:b w:val="1"/>
                <w:bCs w:val="1"/>
                <w:color w:val="auto"/>
                <w:w w:val="82"/>
              </w:rPr>
              <w:t>Section</w:t>
            </w:r>
          </w:p>
        </w:tc>
        <w:tc>
          <w:tcPr>
            <w:tcW w:w="140" w:type="dxa"/>
            <w:vAlign w:val="bottom"/>
          </w:tcPr>
          <w:p>
            <w:pPr>
              <w:spacing w:after="0"/>
              <w:rPr>
                <w:sz w:val="19"/>
                <w:szCs w:val="19"/>
                <w:color w:val="auto"/>
              </w:rPr>
            </w:pPr>
          </w:p>
        </w:tc>
        <w:tc>
          <w:tcPr>
            <w:tcW w:w="104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Mining</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under</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Last</w:t>
            </w:r>
          </w:p>
        </w:tc>
        <w:tc>
          <w:tcPr>
            <w:tcW w:w="1640" w:type="dxa"/>
            <w:vAlign w:val="bottom"/>
            <w:gridSpan w:val="3"/>
          </w:tcPr>
          <w:p>
            <w:pPr>
              <w:spacing w:after="0" w:line="228" w:lineRule="exact"/>
              <w:rPr>
                <w:sz w:val="20"/>
                <w:szCs w:val="20"/>
                <w:color w:val="auto"/>
              </w:rPr>
            </w:pPr>
            <w:r>
              <w:rPr>
                <w:rFonts w:ascii="Arial" w:cs="Arial" w:eastAsia="Arial" w:hAnsi="Arial"/>
                <w:sz w:val="20"/>
                <w:szCs w:val="20"/>
                <w:b w:val="1"/>
                <w:bCs w:val="1"/>
                <w:color w:val="auto"/>
                <w:w w:val="87"/>
              </w:rPr>
              <w:t>Instituted Resolved</w:t>
            </w:r>
          </w:p>
        </w:tc>
      </w:tr>
      <w:tr>
        <w:trPr>
          <w:trHeight w:val="227"/>
        </w:trPr>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and</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110(b)(2)</w:t>
            </w:r>
          </w:p>
        </w:tc>
        <w:tc>
          <w:tcPr>
            <w:tcW w:w="6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107(a)</w:t>
            </w:r>
          </w:p>
        </w:tc>
        <w:tc>
          <w:tcPr>
            <w:tcW w:w="140" w:type="dxa"/>
            <w:vAlign w:val="bottom"/>
          </w:tcPr>
          <w:p>
            <w:pPr>
              <w:spacing w:after="0"/>
              <w:rPr>
                <w:sz w:val="19"/>
                <w:szCs w:val="19"/>
                <w:color w:val="auto"/>
              </w:rPr>
            </w:pPr>
          </w:p>
        </w:tc>
        <w:tc>
          <w:tcPr>
            <w:tcW w:w="104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Related</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Day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93"/>
              </w:rPr>
              <w:t>During</w:t>
            </w:r>
          </w:p>
        </w:tc>
      </w:tr>
      <w:tr>
        <w:trPr>
          <w:trHeight w:val="227"/>
        </w:trPr>
        <w:tc>
          <w:tcPr>
            <w:tcW w:w="1040" w:type="dxa"/>
            <w:vAlign w:val="bottom"/>
          </w:tcPr>
          <w:p>
            <w:pPr>
              <w:spacing w:after="0"/>
              <w:rPr>
                <w:sz w:val="19"/>
                <w:szCs w:val="19"/>
                <w:color w:val="auto"/>
              </w:rPr>
            </w:pPr>
          </w:p>
        </w:tc>
        <w:tc>
          <w:tcPr>
            <w:tcW w:w="220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Orders</w:t>
            </w:r>
          </w:p>
        </w:tc>
        <w:tc>
          <w:tcPr>
            <w:tcW w:w="3500" w:type="dxa"/>
            <w:vAlign w:val="bottom"/>
            <w:gridSpan w:val="5"/>
          </w:tcPr>
          <w:p>
            <w:pPr>
              <w:spacing w:after="0" w:line="228" w:lineRule="exact"/>
              <w:rPr>
                <w:sz w:val="20"/>
                <w:szCs w:val="20"/>
                <w:color w:val="auto"/>
              </w:rPr>
            </w:pPr>
            <w:r>
              <w:rPr>
                <w:rFonts w:ascii="Arial" w:cs="Arial" w:eastAsia="Arial" w:hAnsi="Arial"/>
                <w:sz w:val="20"/>
                <w:szCs w:val="20"/>
                <w:b w:val="1"/>
                <w:bCs w:val="1"/>
                <w:color w:val="auto"/>
                <w:w w:val="87"/>
              </w:rPr>
              <w:t>Violations Orders Assessment/$ Fatalities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104(e)</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89"/>
              </w:rPr>
              <w:t>Period</w:t>
            </w:r>
          </w:p>
        </w:tc>
      </w:tr>
      <w:tr>
        <w:trPr>
          <w:trHeight w:val="250"/>
        </w:trPr>
        <w:tc>
          <w:tcPr>
            <w:tcW w:w="1040" w:type="dxa"/>
            <w:vAlign w:val="bottom"/>
          </w:tcPr>
          <w:p>
            <w:pPr>
              <w:ind w:left="16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right"/>
              <w:ind w:right="162"/>
              <w:spacing w:after="0"/>
              <w:rPr>
                <w:sz w:val="20"/>
                <w:szCs w:val="20"/>
                <w:color w:val="auto"/>
              </w:rPr>
            </w:pPr>
            <w:r>
              <w:rPr>
                <w:rFonts w:ascii="Arial" w:cs="Arial" w:eastAsia="Arial" w:hAnsi="Arial"/>
                <w:sz w:val="20"/>
                <w:szCs w:val="20"/>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40" w:type="dxa"/>
            <w:vAlign w:val="bottom"/>
          </w:tcPr>
          <w:p>
            <w:pPr>
              <w:spacing w:after="0"/>
              <w:rPr>
                <w:sz w:val="21"/>
                <w:szCs w:val="21"/>
                <w:color w:val="auto"/>
              </w:rPr>
            </w:pPr>
          </w:p>
        </w:tc>
        <w:tc>
          <w:tcPr>
            <w:tcW w:w="1040" w:type="dxa"/>
            <w:vAlign w:val="bottom"/>
          </w:tcPr>
          <w:p>
            <w:pPr>
              <w:jc w:val="center"/>
              <w:ind w:right="82"/>
              <w:spacing w:after="0"/>
              <w:rPr>
                <w:sz w:val="20"/>
                <w:szCs w:val="20"/>
                <w:color w:val="auto"/>
              </w:rPr>
            </w:pPr>
            <w:r>
              <w:rPr>
                <w:rFonts w:ascii="Arial" w:cs="Arial" w:eastAsia="Arial" w:hAnsi="Arial"/>
                <w:sz w:val="20"/>
                <w:szCs w:val="20"/>
                <w:b w:val="1"/>
                <w:bCs w:val="1"/>
                <w:color w:val="auto"/>
                <w:w w:val="84"/>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3"/>
              </w:rPr>
              <w:t>(yes/no)</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20" w:type="dxa"/>
            <w:vAlign w:val="bottom"/>
          </w:tcPr>
          <w:p>
            <w:pPr>
              <w:spacing w:after="0"/>
              <w:rPr>
                <w:sz w:val="21"/>
                <w:szCs w:val="21"/>
                <w:color w:val="auto"/>
              </w:rPr>
            </w:pPr>
          </w:p>
        </w:tc>
      </w:tr>
      <w:tr>
        <w:trPr>
          <w:trHeight w:val="224"/>
        </w:trPr>
        <w:tc>
          <w:tcPr>
            <w:tcW w:w="10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Noblesville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rPr>
              <w:t>Stone</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1202176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3,144</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5</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0"/>
                <w:szCs w:val="20"/>
                <w:color w:val="auto"/>
              </w:rPr>
              <w:t>North</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760" w:type="dxa"/>
            <w:vAlign w:val="bottom"/>
            <w:gridSpan w:val="2"/>
          </w:tcPr>
          <w:p>
            <w:pPr>
              <w:spacing w:after="0"/>
              <w:rPr>
                <w:sz w:val="20"/>
                <w:szCs w:val="20"/>
                <w:color w:val="auto"/>
              </w:rPr>
            </w:pPr>
            <w:r>
              <w:rPr>
                <w:rFonts w:ascii="Arial" w:cs="Arial" w:eastAsia="Arial" w:hAnsi="Arial"/>
                <w:sz w:val="20"/>
                <w:szCs w:val="20"/>
                <w:color w:val="auto"/>
                <w:w w:val="91"/>
              </w:rPr>
              <w:t>Indianapolis 1201993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rPr>
              <w:t>Petersburg</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1516895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41"/>
        </w:trPr>
        <w:tc>
          <w:tcPr>
            <w:tcW w:w="1760" w:type="dxa"/>
            <w:vAlign w:val="bottom"/>
            <w:gridSpan w:val="2"/>
          </w:tcPr>
          <w:p>
            <w:pPr>
              <w:spacing w:after="0"/>
              <w:rPr>
                <w:sz w:val="20"/>
                <w:szCs w:val="20"/>
                <w:color w:val="auto"/>
              </w:rPr>
            </w:pPr>
            <w:r>
              <w:rPr>
                <w:rFonts w:ascii="Arial" w:cs="Arial" w:eastAsia="Arial" w:hAnsi="Arial"/>
                <w:sz w:val="20"/>
                <w:szCs w:val="20"/>
                <w:color w:val="auto"/>
                <w:w w:val="93"/>
              </w:rPr>
              <w:t>Phillipsburg 3300006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10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Shamrock</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rPr>
              <w:t>SG</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3304011</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760" w:type="dxa"/>
            <w:vAlign w:val="bottom"/>
            <w:gridSpan w:val="2"/>
          </w:tcPr>
          <w:p>
            <w:pPr>
              <w:spacing w:after="0"/>
              <w:rPr>
                <w:sz w:val="20"/>
                <w:szCs w:val="20"/>
                <w:color w:val="auto"/>
              </w:rPr>
            </w:pPr>
            <w:r>
              <w:rPr>
                <w:rFonts w:ascii="Arial" w:cs="Arial" w:eastAsia="Arial" w:hAnsi="Arial"/>
                <w:sz w:val="20"/>
                <w:szCs w:val="20"/>
                <w:color w:val="auto"/>
                <w:w w:val="92"/>
              </w:rPr>
              <w:t>Troy Gravel 3301678</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10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Waverly</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1202038</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040" w:type="dxa"/>
            <w:vAlign w:val="bottom"/>
          </w:tcPr>
          <w:p>
            <w:pPr>
              <w:spacing w:after="0"/>
              <w:rPr>
                <w:sz w:val="20"/>
                <w:szCs w:val="20"/>
                <w:color w:val="auto"/>
              </w:rPr>
            </w:pPr>
            <w:r>
              <w:rPr>
                <w:rFonts w:ascii="Arial" w:cs="Arial" w:eastAsia="Arial" w:hAnsi="Arial"/>
                <w:sz w:val="20"/>
                <w:szCs w:val="20"/>
                <w:color w:val="auto"/>
              </w:rPr>
              <w:t>Xenia</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3301393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10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Appling</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901083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0"/>
                <w:szCs w:val="20"/>
                <w:color w:val="auto"/>
              </w:rPr>
              <w:t>Auburn, Al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rPr>
              <w:t>100006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97"/>
              </w:rPr>
              <w:t>Auburn, GA</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900436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0"/>
                <w:szCs w:val="20"/>
                <w:color w:val="auto"/>
              </w:rPr>
              <w:t>Augusta</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tcPr>
          <w:p>
            <w:pPr>
              <w:spacing w:after="0"/>
              <w:rPr>
                <w:sz w:val="20"/>
                <w:szCs w:val="20"/>
                <w:color w:val="auto"/>
              </w:rPr>
            </w:pPr>
            <w:r>
              <w:rPr>
                <w:rFonts w:ascii="Arial" w:cs="Arial" w:eastAsia="Arial" w:hAnsi="Arial"/>
                <w:sz w:val="20"/>
                <w:szCs w:val="20"/>
                <w:color w:val="auto"/>
              </w:rPr>
              <w:t>Quarry-GA</w:t>
            </w:r>
          </w:p>
        </w:tc>
        <w:tc>
          <w:tcPr>
            <w:tcW w:w="720" w:type="dxa"/>
            <w:vAlign w:val="bottom"/>
          </w:tcPr>
          <w:p>
            <w:pPr>
              <w:jc w:val="right"/>
              <w:spacing w:after="0"/>
              <w:rPr>
                <w:sz w:val="20"/>
                <w:szCs w:val="20"/>
                <w:color w:val="auto"/>
              </w:rPr>
            </w:pPr>
            <w:r>
              <w:rPr>
                <w:rFonts w:ascii="Arial" w:cs="Arial" w:eastAsia="Arial" w:hAnsi="Arial"/>
                <w:sz w:val="20"/>
                <w:szCs w:val="20"/>
                <w:color w:val="auto"/>
              </w:rPr>
              <w:t>900065</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89"/>
              </w:rPr>
              <w:t>Chattanooga</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4003159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0"/>
                <w:szCs w:val="20"/>
                <w:color w:val="auto"/>
              </w:rPr>
              <w:t>Forsyth</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rPr>
              <w:t>901035</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Jefferson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901106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0"/>
                <w:szCs w:val="20"/>
                <w:color w:val="auto"/>
              </w:rPr>
              <w:t>Junction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tcPr>
          <w:p>
            <w:pPr>
              <w:spacing w:after="0"/>
              <w:rPr>
                <w:sz w:val="20"/>
                <w:szCs w:val="20"/>
                <w:color w:val="auto"/>
              </w:rPr>
            </w:pPr>
            <w:r>
              <w:rPr>
                <w:rFonts w:ascii="Arial" w:cs="Arial" w:eastAsia="Arial" w:hAnsi="Arial"/>
                <w:sz w:val="20"/>
                <w:szCs w:val="20"/>
                <w:color w:val="auto"/>
              </w:rPr>
              <w:t>City Quarry</w:t>
            </w:r>
          </w:p>
        </w:tc>
        <w:tc>
          <w:tcPr>
            <w:tcW w:w="720" w:type="dxa"/>
            <w:vAlign w:val="bottom"/>
          </w:tcPr>
          <w:p>
            <w:pPr>
              <w:jc w:val="right"/>
              <w:spacing w:after="0"/>
              <w:rPr>
                <w:sz w:val="20"/>
                <w:szCs w:val="20"/>
                <w:color w:val="auto"/>
              </w:rPr>
            </w:pPr>
            <w:r>
              <w:rPr>
                <w:rFonts w:ascii="Arial" w:cs="Arial" w:eastAsia="Arial" w:hAnsi="Arial"/>
                <w:sz w:val="20"/>
                <w:szCs w:val="20"/>
                <w:color w:val="auto"/>
              </w:rPr>
              <w:t>901029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Lithonia</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900023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0"/>
                <w:szCs w:val="20"/>
                <w:color w:val="auto"/>
              </w:rPr>
              <w:t>Maylene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rPr>
              <w:t>100634</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Morgan Co</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901126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0"/>
                <w:szCs w:val="20"/>
                <w:color w:val="auto"/>
              </w:rPr>
              <w:t>Newton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rPr>
              <w:t>900899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ONeal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w w:val="89"/>
              </w:rPr>
              <w:t>Quarry Co19</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103076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0"/>
                <w:szCs w:val="20"/>
                <w:color w:val="auto"/>
              </w:rPr>
              <w:t>Paulding</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rPr>
              <w:t>901107</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w w:val="89"/>
              </w:rPr>
              <w:t>Perry 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801083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0"/>
                <w:szCs w:val="20"/>
                <w:color w:val="auto"/>
              </w:rPr>
              <w:t>Red Oak</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rPr>
              <w:t>900069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w w:val="89"/>
              </w:rPr>
              <w:t>Ruby 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900074</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1040" w:type="dxa"/>
            <w:vAlign w:val="bottom"/>
          </w:tcPr>
          <w:p>
            <w:pPr>
              <w:spacing w:after="0" w:line="224" w:lineRule="exact"/>
              <w:rPr>
                <w:sz w:val="20"/>
                <w:szCs w:val="20"/>
                <w:color w:val="auto"/>
              </w:rPr>
            </w:pPr>
            <w:r>
              <w:rPr>
                <w:rFonts w:ascii="Arial" w:cs="Arial" w:eastAsia="Arial" w:hAnsi="Arial"/>
                <w:sz w:val="20"/>
                <w:szCs w:val="20"/>
                <w:color w:val="auto"/>
              </w:rPr>
              <w:t>Six Mile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rPr>
              <w:t>901144</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812</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Tyrone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900306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756"/>
        </w:trPr>
        <w:tc>
          <w:tcPr>
            <w:tcW w:w="1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0"/>
        </w:trPr>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20" w:type="dxa"/>
            <w:vAlign w:val="bottom"/>
            <w:gridSpan w:val="3"/>
          </w:tcPr>
          <w:p>
            <w:pPr>
              <w:ind w:left="600"/>
              <w:spacing w:after="0"/>
              <w:rPr>
                <w:sz w:val="20"/>
                <w:szCs w:val="20"/>
                <w:color w:val="auto"/>
              </w:rPr>
            </w:pPr>
            <w:r>
              <w:rPr>
                <w:rFonts w:ascii="Arial" w:cs="Arial" w:eastAsia="Arial" w:hAnsi="Arial"/>
                <w:sz w:val="20"/>
                <w:szCs w:val="20"/>
                <w:color w:val="auto"/>
                <w:w w:val="99"/>
              </w:rPr>
              <w:t>Appendix 1</w:t>
            </w:r>
          </w:p>
        </w:tc>
      </w:tr>
      <w:tr>
        <w:trPr>
          <w:trHeight w:val="441"/>
        </w:trPr>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Received Received</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7"/>
        </w:trPr>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88"/>
              </w:rPr>
              <w:t>Notice of Notice of</w:t>
            </w:r>
          </w:p>
        </w:tc>
        <w:tc>
          <w:tcPr>
            <w:tcW w:w="6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Total</w:t>
            </w:r>
          </w:p>
        </w:tc>
        <w:tc>
          <w:tcPr>
            <w:tcW w:w="228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auto"/>
                <w:w w:val="90"/>
              </w:rPr>
              <w:t>Pattern Potential Actions</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Number</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1480" w:type="dxa"/>
            <w:vAlign w:val="bottom"/>
            <w:gridSpan w:val="2"/>
          </w:tcPr>
          <w:p>
            <w:pPr>
              <w:ind w:left="80"/>
              <w:spacing w:after="0" w:line="228" w:lineRule="exact"/>
              <w:rPr>
                <w:sz w:val="20"/>
                <w:szCs w:val="20"/>
                <w:color w:val="auto"/>
              </w:rPr>
            </w:pPr>
            <w:r>
              <w:rPr>
                <w:rFonts w:ascii="Arial" w:cs="Arial" w:eastAsia="Arial" w:hAnsi="Arial"/>
                <w:sz w:val="20"/>
                <w:szCs w:val="20"/>
                <w:b w:val="1"/>
                <w:bCs w:val="1"/>
                <w:color w:val="auto"/>
                <w:w w:val="89"/>
              </w:rPr>
              <w:t>to have Pending</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Legal</w:t>
            </w:r>
          </w:p>
        </w:tc>
        <w:tc>
          <w:tcPr>
            <w:tcW w:w="80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r>
      <w:tr>
        <w:trPr>
          <w:trHeight w:val="227"/>
        </w:trPr>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104(d)</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2"/>
              </w:rPr>
              <w:t>Total Dollar</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160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98"/>
              </w:rPr>
              <w:t>Violation Pattern</w:t>
            </w:r>
          </w:p>
        </w:tc>
        <w:tc>
          <w:tcPr>
            <w:tcW w:w="6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1"/>
              </w:rPr>
              <w:t>as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Actions</w:t>
            </w:r>
          </w:p>
        </w:tc>
        <w:tc>
          <w:tcPr>
            <w:tcW w:w="80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4"/>
              </w:rPr>
              <w:t>Actions</w:t>
            </w:r>
          </w:p>
        </w:tc>
      </w:tr>
      <w:tr>
        <w:trPr>
          <w:trHeight w:val="227"/>
        </w:trPr>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0" w:type="dxa"/>
            <w:vAlign w:val="bottom"/>
            <w:gridSpan w:val="3"/>
          </w:tcPr>
          <w:p>
            <w:pPr>
              <w:ind w:left="80"/>
              <w:spacing w:after="0" w:line="228" w:lineRule="exact"/>
              <w:rPr>
                <w:sz w:val="20"/>
                <w:szCs w:val="20"/>
                <w:color w:val="auto"/>
              </w:rPr>
            </w:pPr>
            <w:r>
              <w:rPr>
                <w:rFonts w:ascii="Arial" w:cs="Arial" w:eastAsia="Arial" w:hAnsi="Arial"/>
                <w:sz w:val="20"/>
                <w:szCs w:val="20"/>
                <w:b w:val="1"/>
                <w:bCs w:val="1"/>
                <w:color w:val="auto"/>
                <w:w w:val="87"/>
              </w:rPr>
              <w:t>Section Section Citations</w:t>
            </w:r>
          </w:p>
        </w:tc>
        <w:tc>
          <w:tcPr>
            <w:tcW w:w="800" w:type="dxa"/>
            <w:vAlign w:val="bottom"/>
          </w:tcPr>
          <w:p>
            <w:pPr>
              <w:ind w:left="120"/>
              <w:spacing w:after="0" w:line="228" w:lineRule="exact"/>
              <w:rPr>
                <w:sz w:val="20"/>
                <w:szCs w:val="20"/>
                <w:color w:val="auto"/>
              </w:rPr>
            </w:pPr>
            <w:r>
              <w:rPr>
                <w:rFonts w:ascii="Arial" w:cs="Arial" w:eastAsia="Arial" w:hAnsi="Arial"/>
                <w:sz w:val="20"/>
                <w:szCs w:val="20"/>
                <w:b w:val="1"/>
                <w:bCs w:val="1"/>
                <w:color w:val="auto"/>
                <w:w w:val="91"/>
              </w:rPr>
              <w:t>Section</w:t>
            </w:r>
          </w:p>
        </w:tc>
        <w:tc>
          <w:tcPr>
            <w:tcW w:w="680" w:type="dxa"/>
            <w:vAlign w:val="bottom"/>
          </w:tcPr>
          <w:p>
            <w:pPr>
              <w:ind w:left="60"/>
              <w:spacing w:after="0" w:line="228" w:lineRule="exact"/>
              <w:rPr>
                <w:sz w:val="20"/>
                <w:szCs w:val="20"/>
                <w:color w:val="auto"/>
              </w:rPr>
            </w:pPr>
            <w:r>
              <w:rPr>
                <w:rFonts w:ascii="Arial" w:cs="Arial" w:eastAsia="Arial" w:hAnsi="Arial"/>
                <w:sz w:val="20"/>
                <w:szCs w:val="20"/>
                <w:b w:val="1"/>
                <w:bCs w:val="1"/>
                <w:color w:val="auto"/>
                <w:w w:val="82"/>
              </w:rPr>
              <w:t>Section</w:t>
            </w:r>
          </w:p>
        </w:tc>
        <w:tc>
          <w:tcPr>
            <w:tcW w:w="140" w:type="dxa"/>
            <w:vAlign w:val="bottom"/>
          </w:tcPr>
          <w:p>
            <w:pPr>
              <w:spacing w:after="0"/>
              <w:rPr>
                <w:sz w:val="19"/>
                <w:szCs w:val="19"/>
                <w:color w:val="auto"/>
              </w:rPr>
            </w:pPr>
          </w:p>
        </w:tc>
        <w:tc>
          <w:tcPr>
            <w:tcW w:w="1040" w:type="dxa"/>
            <w:vAlign w:val="bottom"/>
          </w:tcPr>
          <w:p>
            <w:pPr>
              <w:jc w:val="center"/>
              <w:ind w:right="82"/>
              <w:spacing w:after="0" w:line="228" w:lineRule="exact"/>
              <w:rPr>
                <w:sz w:val="20"/>
                <w:szCs w:val="20"/>
                <w:color w:val="auto"/>
              </w:rPr>
            </w:pPr>
            <w:r>
              <w:rPr>
                <w:rFonts w:ascii="Arial" w:cs="Arial" w:eastAsia="Arial" w:hAnsi="Arial"/>
                <w:sz w:val="20"/>
                <w:szCs w:val="20"/>
                <w:b w:val="1"/>
                <w:bCs w:val="1"/>
                <w:color w:val="auto"/>
                <w:w w:val="89"/>
              </w:rPr>
              <w:t>Value of</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6"/>
              </w:rPr>
              <w:t>Mining</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Under</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under</w:t>
            </w:r>
          </w:p>
        </w:tc>
        <w:tc>
          <w:tcPr>
            <w:tcW w:w="6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Last</w:t>
            </w:r>
          </w:p>
        </w:tc>
        <w:tc>
          <w:tcPr>
            <w:tcW w:w="1620" w:type="dxa"/>
            <w:vAlign w:val="bottom"/>
            <w:gridSpan w:val="3"/>
          </w:tcPr>
          <w:p>
            <w:pPr>
              <w:ind w:left="20"/>
              <w:spacing w:after="0" w:line="228" w:lineRule="exact"/>
              <w:rPr>
                <w:sz w:val="20"/>
                <w:szCs w:val="20"/>
                <w:color w:val="auto"/>
              </w:rPr>
            </w:pPr>
            <w:r>
              <w:rPr>
                <w:rFonts w:ascii="Arial" w:cs="Arial" w:eastAsia="Arial" w:hAnsi="Arial"/>
                <w:sz w:val="20"/>
                <w:szCs w:val="20"/>
                <w:b w:val="1"/>
                <w:bCs w:val="1"/>
                <w:color w:val="auto"/>
                <w:w w:val="85"/>
              </w:rPr>
              <w:t>Instituted Resolved</w:t>
            </w:r>
          </w:p>
        </w:tc>
      </w:tr>
      <w:tr>
        <w:trPr>
          <w:trHeight w:val="227"/>
        </w:trPr>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4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96"/>
              </w:rPr>
              <w:t>104 S&amp;S 104(b)</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and</w:t>
            </w:r>
          </w:p>
        </w:tc>
        <w:tc>
          <w:tcPr>
            <w:tcW w:w="1480" w:type="dxa"/>
            <w:vAlign w:val="bottom"/>
            <w:gridSpan w:val="2"/>
          </w:tcPr>
          <w:p>
            <w:pPr>
              <w:ind w:left="60"/>
              <w:spacing w:after="0" w:line="228" w:lineRule="exact"/>
              <w:rPr>
                <w:sz w:val="20"/>
                <w:szCs w:val="20"/>
                <w:color w:val="auto"/>
              </w:rPr>
            </w:pPr>
            <w:r>
              <w:rPr>
                <w:rFonts w:ascii="Arial" w:cs="Arial" w:eastAsia="Arial" w:hAnsi="Arial"/>
                <w:sz w:val="20"/>
                <w:szCs w:val="20"/>
                <w:b w:val="1"/>
                <w:bCs w:val="1"/>
                <w:color w:val="auto"/>
                <w:w w:val="95"/>
              </w:rPr>
              <w:t>110(b)(2) 107(a)</w:t>
            </w:r>
          </w:p>
        </w:tc>
        <w:tc>
          <w:tcPr>
            <w:tcW w:w="140" w:type="dxa"/>
            <w:vAlign w:val="bottom"/>
          </w:tcPr>
          <w:p>
            <w:pPr>
              <w:spacing w:after="0"/>
              <w:rPr>
                <w:sz w:val="19"/>
                <w:szCs w:val="19"/>
                <w:color w:val="auto"/>
              </w:rPr>
            </w:pPr>
          </w:p>
        </w:tc>
        <w:tc>
          <w:tcPr>
            <w:tcW w:w="1040" w:type="dxa"/>
            <w:vAlign w:val="bottom"/>
          </w:tcPr>
          <w:p>
            <w:pPr>
              <w:jc w:val="center"/>
              <w:ind w:right="82"/>
              <w:spacing w:after="0" w:line="228" w:lineRule="exact"/>
              <w:rPr>
                <w:sz w:val="20"/>
                <w:szCs w:val="20"/>
                <w:color w:val="auto"/>
              </w:rPr>
            </w:pPr>
            <w:r>
              <w:rPr>
                <w:rFonts w:ascii="Arial" w:cs="Arial" w:eastAsia="Arial" w:hAnsi="Arial"/>
                <w:sz w:val="20"/>
                <w:szCs w:val="20"/>
                <w:b w:val="1"/>
                <w:bCs w:val="1"/>
                <w:color w:val="auto"/>
                <w:w w:val="98"/>
              </w:rPr>
              <w:t>MSHA</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Related</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6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Day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c>
          <w:tcPr>
            <w:tcW w:w="80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r>
      <w:tr>
        <w:trPr>
          <w:trHeight w:val="227"/>
        </w:trPr>
        <w:tc>
          <w:tcPr>
            <w:tcW w:w="1240" w:type="dxa"/>
            <w:vAlign w:val="bottom"/>
          </w:tcPr>
          <w:p>
            <w:pPr>
              <w:spacing w:after="0"/>
              <w:rPr>
                <w:sz w:val="19"/>
                <w:szCs w:val="19"/>
                <w:color w:val="auto"/>
              </w:rPr>
            </w:pPr>
          </w:p>
        </w:tc>
        <w:tc>
          <w:tcPr>
            <w:tcW w:w="2160" w:type="dxa"/>
            <w:vAlign w:val="bottom"/>
            <w:gridSpan w:val="3"/>
          </w:tcPr>
          <w:p>
            <w:pPr>
              <w:ind w:left="60"/>
              <w:spacing w:after="0" w:line="228" w:lineRule="exact"/>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Orders</w:t>
            </w:r>
          </w:p>
        </w:tc>
        <w:tc>
          <w:tcPr>
            <w:tcW w:w="3460" w:type="dxa"/>
            <w:vAlign w:val="bottom"/>
            <w:gridSpan w:val="5"/>
          </w:tcPr>
          <w:p>
            <w:pPr>
              <w:spacing w:after="0" w:line="228" w:lineRule="exact"/>
              <w:rPr>
                <w:sz w:val="20"/>
                <w:szCs w:val="20"/>
                <w:color w:val="auto"/>
              </w:rPr>
            </w:pPr>
            <w:r>
              <w:rPr>
                <w:rFonts w:ascii="Arial" w:cs="Arial" w:eastAsia="Arial" w:hAnsi="Arial"/>
                <w:sz w:val="20"/>
                <w:szCs w:val="20"/>
                <w:b w:val="1"/>
                <w:bCs w:val="1"/>
                <w:color w:val="auto"/>
                <w:w w:val="86"/>
              </w:rPr>
              <w:t>Violations Orders Assessment/$ Fatalities</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6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Period</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0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r>
      <w:tr>
        <w:trPr>
          <w:trHeight w:val="247"/>
        </w:trPr>
        <w:tc>
          <w:tcPr>
            <w:tcW w:w="1240" w:type="dxa"/>
            <w:vAlign w:val="bottom"/>
          </w:tcPr>
          <w:p>
            <w:pPr>
              <w:ind w:left="26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right"/>
              <w:ind w:right="162"/>
              <w:spacing w:after="0"/>
              <w:rPr>
                <w:sz w:val="20"/>
                <w:szCs w:val="20"/>
                <w:color w:val="auto"/>
              </w:rPr>
            </w:pPr>
            <w:r>
              <w:rPr>
                <w:rFonts w:ascii="Arial" w:cs="Arial" w:eastAsia="Arial" w:hAnsi="Arial"/>
                <w:sz w:val="20"/>
                <w:szCs w:val="20"/>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40" w:type="dxa"/>
            <w:vAlign w:val="bottom"/>
          </w:tcPr>
          <w:p>
            <w:pPr>
              <w:spacing w:after="0"/>
              <w:rPr>
                <w:sz w:val="21"/>
                <w:szCs w:val="21"/>
                <w:color w:val="auto"/>
              </w:rPr>
            </w:pPr>
          </w:p>
        </w:tc>
        <w:tc>
          <w:tcPr>
            <w:tcW w:w="1040" w:type="dxa"/>
            <w:vAlign w:val="bottom"/>
          </w:tcPr>
          <w:p>
            <w:pPr>
              <w:jc w:val="center"/>
              <w:ind w:right="82"/>
              <w:spacing w:after="0"/>
              <w:rPr>
                <w:sz w:val="20"/>
                <w:szCs w:val="20"/>
                <w:color w:val="auto"/>
              </w:rPr>
            </w:pPr>
            <w:r>
              <w:rPr>
                <w:rFonts w:ascii="Arial" w:cs="Arial" w:eastAsia="Arial" w:hAnsi="Arial"/>
                <w:sz w:val="20"/>
                <w:szCs w:val="20"/>
                <w:b w:val="1"/>
                <w:bCs w:val="1"/>
                <w:color w:val="auto"/>
                <w:w w:val="84"/>
              </w:rPr>
              <w:t>Proposed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3"/>
              </w:rPr>
              <w:t>(yes/no)</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20" w:type="dxa"/>
            <w:vAlign w:val="bottom"/>
          </w:tcPr>
          <w:p>
            <w:pPr>
              <w:jc w:val="center"/>
              <w:ind w:left="2"/>
              <w:spacing w:after="0"/>
              <w:rPr>
                <w:sz w:val="20"/>
                <w:szCs w:val="20"/>
                <w:color w:val="auto"/>
              </w:rPr>
            </w:pPr>
            <w:r>
              <w:rPr>
                <w:rFonts w:ascii="Arial" w:cs="Arial" w:eastAsia="Arial" w:hAnsi="Arial"/>
                <w:sz w:val="20"/>
                <w:szCs w:val="20"/>
                <w:b w:val="1"/>
                <w:bCs w:val="1"/>
                <w:color w:val="auto"/>
                <w:w w:val="89"/>
              </w:rPr>
              <w:t>(#)</w:t>
            </w:r>
          </w:p>
        </w:tc>
        <w:tc>
          <w:tcPr>
            <w:tcW w:w="80" w:type="dxa"/>
            <w:vAlign w:val="bottom"/>
          </w:tcPr>
          <w:p>
            <w:pPr>
              <w:spacing w:after="0"/>
              <w:rPr>
                <w:sz w:val="21"/>
                <w:szCs w:val="21"/>
                <w:color w:val="auto"/>
              </w:rPr>
            </w:pPr>
          </w:p>
        </w:tc>
      </w:tr>
      <w:tr>
        <w:trPr>
          <w:trHeight w:val="227"/>
        </w:trPr>
        <w:tc>
          <w:tcPr>
            <w:tcW w:w="1240" w:type="dxa"/>
            <w:vAlign w:val="bottom"/>
          </w:tcPr>
          <w:p>
            <w:pPr>
              <w:spacing w:after="0" w:line="228" w:lineRule="exact"/>
              <w:rPr>
                <w:sz w:val="20"/>
                <w:szCs w:val="20"/>
                <w:color w:val="auto"/>
              </w:rPr>
            </w:pPr>
            <w:r>
              <w:rPr>
                <w:rFonts w:ascii="Arial" w:cs="Arial" w:eastAsia="Arial" w:hAnsi="Arial"/>
                <w:sz w:val="20"/>
                <w:szCs w:val="20"/>
                <w:color w:val="auto"/>
                <w:w w:val="98"/>
              </w:rPr>
              <w:t>Vance Quarry</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Co19</w:t>
            </w:r>
          </w:p>
        </w:tc>
        <w:tc>
          <w:tcPr>
            <w:tcW w:w="720" w:type="dxa"/>
            <w:vAlign w:val="bottom"/>
          </w:tcPr>
          <w:p>
            <w:pPr>
              <w:jc w:val="right"/>
              <w:spacing w:after="0"/>
              <w:rPr>
                <w:sz w:val="20"/>
                <w:szCs w:val="20"/>
                <w:color w:val="auto"/>
              </w:rPr>
            </w:pPr>
            <w:r>
              <w:rPr>
                <w:rFonts w:ascii="Arial" w:cs="Arial" w:eastAsia="Arial" w:hAnsi="Arial"/>
                <w:sz w:val="20"/>
                <w:szCs w:val="20"/>
                <w:color w:val="auto"/>
              </w:rPr>
              <w:t>103022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Warrenton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900580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w w:val="92"/>
              </w:rPr>
              <w:t>Alden Portable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Sand</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1302037</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92"/>
              </w:rPr>
              <w:t>Alden Portable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Plant 1</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1302031</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w w:val="92"/>
              </w:rPr>
              <w:t>Alden Portable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Plant 2</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1302033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92"/>
              </w:rPr>
              <w:t>Alden Portable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Wash</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1302122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w w:val="93"/>
              </w:rPr>
              <w:t>Alden Quarry -</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Shop</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1300228</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41"/>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Ames Mine</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1300014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1,067</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0"/>
                <w:szCs w:val="20"/>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w w:val="99"/>
              </w:rPr>
              <w:t>Cedar Rapids</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1300122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492</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Des Moines</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Portable</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1300150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1</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rPr>
              <w:t>Des Moines</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Shop</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1300932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41"/>
        </w:trPr>
        <w:tc>
          <w:tcPr>
            <w:tcW w:w="196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1"/>
              </w:rPr>
              <w:t>Dubois Quarry 2501046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0"/>
                <w:szCs w:val="20"/>
                <w:color w:val="auto"/>
              </w:rPr>
            </w:pPr>
          </w:p>
        </w:tc>
      </w:tr>
      <w:tr>
        <w:trPr>
          <w:trHeight w:val="241"/>
        </w:trPr>
        <w:tc>
          <w:tcPr>
            <w:tcW w:w="1240" w:type="dxa"/>
            <w:vAlign w:val="bottom"/>
          </w:tcPr>
          <w:p>
            <w:pPr>
              <w:spacing w:after="0"/>
              <w:rPr>
                <w:sz w:val="20"/>
                <w:szCs w:val="20"/>
                <w:color w:val="auto"/>
              </w:rPr>
            </w:pPr>
            <w:r>
              <w:rPr>
                <w:rFonts w:ascii="Arial" w:cs="Arial" w:eastAsia="Arial" w:hAnsi="Arial"/>
                <w:sz w:val="20"/>
                <w:szCs w:val="20"/>
                <w:color w:val="auto"/>
              </w:rPr>
              <w:t>Durham Mine</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1301225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405</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0"/>
                <w:szCs w:val="20"/>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Earlham</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1302123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w w:val="95"/>
              </w:rPr>
              <w:t>Environmental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1240" w:type="dxa"/>
            <w:vAlign w:val="bottom"/>
          </w:tcPr>
          <w:p>
            <w:pPr>
              <w:spacing w:after="0" w:line="228" w:lineRule="exact"/>
              <w:rPr>
                <w:sz w:val="20"/>
                <w:szCs w:val="20"/>
                <w:color w:val="auto"/>
              </w:rPr>
            </w:pPr>
            <w:r>
              <w:rPr>
                <w:rFonts w:ascii="Arial" w:cs="Arial" w:eastAsia="Arial" w:hAnsi="Arial"/>
                <w:sz w:val="20"/>
                <w:szCs w:val="20"/>
                <w:color w:val="auto"/>
              </w:rPr>
              <w:t>Crew (Plant</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854)</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1302126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Ferguson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1300124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1"/>
        </w:trPr>
        <w:tc>
          <w:tcPr>
            <w:tcW w:w="1240" w:type="dxa"/>
            <w:vAlign w:val="bottom"/>
          </w:tcPr>
          <w:p>
            <w:pPr>
              <w:spacing w:after="0"/>
              <w:rPr>
                <w:sz w:val="20"/>
                <w:szCs w:val="20"/>
                <w:color w:val="auto"/>
              </w:rPr>
            </w:pPr>
            <w:r>
              <w:rPr>
                <w:rFonts w:ascii="Arial" w:cs="Arial" w:eastAsia="Arial" w:hAnsi="Arial"/>
                <w:sz w:val="20"/>
                <w:szCs w:val="20"/>
                <w:color w:val="auto"/>
              </w:rPr>
              <w:t>Fort Calhoun</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2500006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482</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0"/>
                <w:szCs w:val="20"/>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Fort Calhoun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UG</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2400167</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24"/>
        </w:trPr>
        <w:tc>
          <w:tcPr>
            <w:tcW w:w="1240" w:type="dxa"/>
            <w:vAlign w:val="bottom"/>
          </w:tcPr>
          <w:p>
            <w:pPr>
              <w:spacing w:after="0" w:line="224" w:lineRule="exact"/>
              <w:rPr>
                <w:sz w:val="20"/>
                <w:szCs w:val="20"/>
                <w:color w:val="auto"/>
              </w:rPr>
            </w:pPr>
            <w:r>
              <w:rPr>
                <w:rFonts w:ascii="Arial" w:cs="Arial" w:eastAsia="Arial" w:hAnsi="Arial"/>
                <w:sz w:val="20"/>
                <w:szCs w:val="20"/>
                <w:color w:val="auto"/>
              </w:rPr>
              <w:t>Fort Dodge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1240" w:type="dxa"/>
            <w:vAlign w:val="bottom"/>
          </w:tcPr>
          <w:p>
            <w:pPr>
              <w:spacing w:after="0"/>
              <w:rPr>
                <w:sz w:val="20"/>
                <w:szCs w:val="20"/>
                <w:color w:val="auto"/>
              </w:rPr>
            </w:pPr>
            <w:r>
              <w:rPr>
                <w:rFonts w:ascii="Arial" w:cs="Arial" w:eastAsia="Arial" w:hAnsi="Arial"/>
                <w:sz w:val="20"/>
                <w:szCs w:val="20"/>
                <w:color w:val="auto"/>
              </w:rPr>
              <w:t>Mine</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1300032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1,932</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1"/>
                <w:szCs w:val="21"/>
                <w:color w:val="auto"/>
              </w:rPr>
            </w:pPr>
          </w:p>
        </w:tc>
      </w:tr>
      <w:tr>
        <w:trPr>
          <w:trHeight w:val="241"/>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Greenwood</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2300141</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0"/>
                <w:szCs w:val="20"/>
                <w:color w:val="auto"/>
              </w:rPr>
            </w:pPr>
          </w:p>
        </w:tc>
      </w:tr>
      <w:tr>
        <w:trPr>
          <w:trHeight w:val="241"/>
        </w:trPr>
        <w:tc>
          <w:tcPr>
            <w:tcW w:w="1240" w:type="dxa"/>
            <w:vAlign w:val="bottom"/>
          </w:tcPr>
          <w:p>
            <w:pPr>
              <w:spacing w:after="0"/>
              <w:rPr>
                <w:sz w:val="20"/>
                <w:szCs w:val="20"/>
                <w:color w:val="auto"/>
              </w:rPr>
            </w:pPr>
            <w:r>
              <w:rPr>
                <w:rFonts w:ascii="Arial" w:cs="Arial" w:eastAsia="Arial" w:hAnsi="Arial"/>
                <w:sz w:val="20"/>
                <w:szCs w:val="20"/>
                <w:color w:val="auto"/>
              </w:rPr>
              <w:t>Iowa Grading</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1302316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0"/>
                <w:szCs w:val="20"/>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Linn County</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1302208</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241"/>
        </w:trPr>
        <w:tc>
          <w:tcPr>
            <w:tcW w:w="1240" w:type="dxa"/>
            <w:vAlign w:val="bottom"/>
          </w:tcPr>
          <w:p>
            <w:pPr>
              <w:spacing w:after="0"/>
              <w:rPr>
                <w:sz w:val="20"/>
                <w:szCs w:val="20"/>
                <w:color w:val="auto"/>
              </w:rPr>
            </w:pPr>
            <w:r>
              <w:rPr>
                <w:rFonts w:ascii="Arial" w:cs="Arial" w:eastAsia="Arial" w:hAnsi="Arial"/>
                <w:sz w:val="20"/>
                <w:szCs w:val="20"/>
                <w:color w:val="auto"/>
              </w:rPr>
              <w:t>Malcom Mine</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1300112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537</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tcPr>
          <w:p>
            <w:pPr>
              <w:spacing w:after="0"/>
              <w:rPr>
                <w:sz w:val="20"/>
                <w:szCs w:val="20"/>
                <w:color w:val="auto"/>
              </w:rPr>
            </w:pPr>
          </w:p>
        </w:tc>
      </w:tr>
      <w:tr>
        <w:trPr>
          <w:trHeight w:val="224"/>
        </w:trPr>
        <w:tc>
          <w:tcPr>
            <w:tcW w:w="124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Marshalltown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1300718</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ind w:left="2"/>
              <w:spacing w:after="0"/>
              <w:rPr>
                <w:sz w:val="20"/>
                <w:szCs w:val="20"/>
                <w:color w:val="auto"/>
              </w:rPr>
            </w:pPr>
            <w:r>
              <w:rPr>
                <w:rFonts w:ascii="Arial" w:cs="Arial" w:eastAsia="Arial" w:hAnsi="Arial"/>
                <w:sz w:val="20"/>
                <w:szCs w:val="20"/>
                <w:color w:val="auto"/>
                <w:w w:val="89"/>
              </w:rPr>
              <w:t>0</w:t>
            </w:r>
          </w:p>
        </w:tc>
        <w:tc>
          <w:tcPr>
            <w:tcW w:w="80" w:type="dxa"/>
            <w:vAlign w:val="bottom"/>
            <w:shd w:val="clear" w:color="auto" w:fill="CFF0FC"/>
          </w:tcPr>
          <w:p>
            <w:pPr>
              <w:spacing w:after="0"/>
              <w:rPr>
                <w:sz w:val="21"/>
                <w:szCs w:val="21"/>
                <w:color w:val="auto"/>
              </w:rPr>
            </w:pPr>
          </w:p>
        </w:tc>
      </w:tr>
      <w:tr>
        <w:trPr>
          <w:trHeight w:val="756"/>
        </w:trPr>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122" w:right="1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0"/>
        </w:trPr>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60" w:type="dxa"/>
            <w:vAlign w:val="bottom"/>
            <w:gridSpan w:val="3"/>
          </w:tcPr>
          <w:p>
            <w:pPr>
              <w:ind w:left="720"/>
              <w:spacing w:after="0"/>
              <w:rPr>
                <w:sz w:val="20"/>
                <w:szCs w:val="20"/>
                <w:color w:val="auto"/>
              </w:rPr>
            </w:pPr>
            <w:r>
              <w:rPr>
                <w:rFonts w:ascii="Arial" w:cs="Arial" w:eastAsia="Arial" w:hAnsi="Arial"/>
                <w:sz w:val="20"/>
                <w:szCs w:val="20"/>
                <w:color w:val="auto"/>
                <w:w w:val="91"/>
              </w:rPr>
              <w:t>Appendix 1</w:t>
            </w:r>
          </w:p>
        </w:tc>
      </w:tr>
      <w:tr>
        <w:trPr>
          <w:trHeight w:val="441"/>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84"/>
              </w:rPr>
              <w:t>Received Received</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87"/>
              </w:rPr>
              <w:t>Notice of Notice of</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Total</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Pattern</w:t>
            </w:r>
          </w:p>
        </w:tc>
        <w:tc>
          <w:tcPr>
            <w:tcW w:w="154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90"/>
              </w:rPr>
              <w:t>Potential Actions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Number</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to have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Pending</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Legal</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104(d)</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2"/>
              </w:rPr>
              <w:t>Total Dollar</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158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96"/>
              </w:rPr>
              <w:t>Violation Pattern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1"/>
              </w:rPr>
              <w:t>as of</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Actions</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4"/>
              </w:rPr>
              <w:t>Actions</w:t>
            </w:r>
          </w:p>
        </w:tc>
      </w:t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148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86"/>
              </w:rPr>
              <w:t>Section Citations</w:t>
            </w:r>
          </w:p>
        </w:tc>
        <w:tc>
          <w:tcPr>
            <w:tcW w:w="840" w:type="dxa"/>
            <w:vAlign w:val="bottom"/>
          </w:tcPr>
          <w:p>
            <w:pPr>
              <w:ind w:left="120"/>
              <w:spacing w:after="0" w:line="228" w:lineRule="exact"/>
              <w:rPr>
                <w:sz w:val="20"/>
                <w:szCs w:val="20"/>
                <w:color w:val="auto"/>
              </w:rPr>
            </w:pPr>
            <w:r>
              <w:rPr>
                <w:rFonts w:ascii="Arial" w:cs="Arial" w:eastAsia="Arial" w:hAnsi="Arial"/>
                <w:sz w:val="20"/>
                <w:szCs w:val="20"/>
                <w:b w:val="1"/>
                <w:bCs w:val="1"/>
                <w:color w:val="auto"/>
                <w:w w:val="96"/>
              </w:rPr>
              <w:t>Section</w:t>
            </w:r>
          </w:p>
        </w:tc>
        <w:tc>
          <w:tcPr>
            <w:tcW w:w="660" w:type="dxa"/>
            <w:vAlign w:val="bottom"/>
          </w:tcPr>
          <w:p>
            <w:pPr>
              <w:ind w:left="40"/>
              <w:spacing w:after="0" w:line="228" w:lineRule="exact"/>
              <w:rPr>
                <w:sz w:val="20"/>
                <w:szCs w:val="20"/>
                <w:color w:val="auto"/>
              </w:rPr>
            </w:pPr>
            <w:r>
              <w:rPr>
                <w:rFonts w:ascii="Arial" w:cs="Arial" w:eastAsia="Arial" w:hAnsi="Arial"/>
                <w:sz w:val="20"/>
                <w:szCs w:val="20"/>
                <w:b w:val="1"/>
                <w:bCs w:val="1"/>
                <w:color w:val="auto"/>
                <w:w w:val="82"/>
              </w:rPr>
              <w:t>Section</w:t>
            </w:r>
          </w:p>
        </w:tc>
        <w:tc>
          <w:tcPr>
            <w:tcW w:w="140" w:type="dxa"/>
            <w:vAlign w:val="bottom"/>
          </w:tcPr>
          <w:p>
            <w:pPr>
              <w:spacing w:after="0"/>
              <w:rPr>
                <w:sz w:val="19"/>
                <w:szCs w:val="19"/>
                <w:color w:val="auto"/>
              </w:rPr>
            </w:pPr>
          </w:p>
        </w:tc>
        <w:tc>
          <w:tcPr>
            <w:tcW w:w="106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w w:val="89"/>
              </w:rPr>
              <w:t>Value of</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6"/>
              </w:rPr>
              <w:t>Mining</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under</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Last</w:t>
            </w:r>
          </w:p>
        </w:tc>
        <w:tc>
          <w:tcPr>
            <w:tcW w:w="1660" w:type="dxa"/>
            <w:vAlign w:val="bottom"/>
            <w:gridSpan w:val="3"/>
          </w:tcPr>
          <w:p>
            <w:pPr>
              <w:ind w:left="20"/>
              <w:spacing w:after="0" w:line="228" w:lineRule="exact"/>
              <w:rPr>
                <w:sz w:val="20"/>
                <w:szCs w:val="20"/>
                <w:color w:val="auto"/>
              </w:rPr>
            </w:pPr>
            <w:r>
              <w:rPr>
                <w:rFonts w:ascii="Arial" w:cs="Arial" w:eastAsia="Arial" w:hAnsi="Arial"/>
                <w:sz w:val="20"/>
                <w:szCs w:val="20"/>
                <w:b w:val="1"/>
                <w:bCs w:val="1"/>
                <w:color w:val="auto"/>
                <w:w w:val="87"/>
              </w:rPr>
              <w:t>Instituted Resolved</w:t>
            </w:r>
          </w:p>
        </w:tc>
      </w:t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 S&amp;S</w:t>
            </w:r>
          </w:p>
        </w:tc>
        <w:tc>
          <w:tcPr>
            <w:tcW w:w="7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104(b)</w:t>
            </w: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and</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110(b)(2)</w:t>
            </w:r>
          </w:p>
        </w:tc>
        <w:tc>
          <w:tcPr>
            <w:tcW w:w="6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107(a)</w:t>
            </w:r>
          </w:p>
        </w:tc>
        <w:tc>
          <w:tcPr>
            <w:tcW w:w="140" w:type="dxa"/>
            <w:vAlign w:val="bottom"/>
          </w:tcPr>
          <w:p>
            <w:pPr>
              <w:spacing w:after="0"/>
              <w:rPr>
                <w:sz w:val="19"/>
                <w:szCs w:val="19"/>
                <w:color w:val="auto"/>
              </w:rPr>
            </w:pPr>
          </w:p>
        </w:tc>
        <w:tc>
          <w:tcPr>
            <w:tcW w:w="106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w w:val="98"/>
              </w:rPr>
              <w:t>MSHA</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Related</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Day of</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93"/>
              </w:rPr>
              <w:t>During</w:t>
            </w:r>
          </w:p>
        </w:tc>
      </w:tr>
      <w:tr>
        <w:trPr>
          <w:trHeight w:val="227"/>
        </w:trPr>
        <w:tc>
          <w:tcPr>
            <w:tcW w:w="960" w:type="dxa"/>
            <w:vAlign w:val="bottom"/>
          </w:tcPr>
          <w:p>
            <w:pPr>
              <w:spacing w:after="0"/>
              <w:rPr>
                <w:sz w:val="19"/>
                <w:szCs w:val="19"/>
                <w:color w:val="auto"/>
              </w:rPr>
            </w:pPr>
          </w:p>
        </w:tc>
        <w:tc>
          <w:tcPr>
            <w:tcW w:w="224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auto"/>
                <w:w w:val="94"/>
              </w:rPr>
              <w:t>MSHA Citations Orders</w:t>
            </w: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Orders</w:t>
            </w:r>
          </w:p>
        </w:tc>
        <w:tc>
          <w:tcPr>
            <w:tcW w:w="3500" w:type="dxa"/>
            <w:vAlign w:val="bottom"/>
            <w:gridSpan w:val="5"/>
          </w:tcPr>
          <w:p>
            <w:pPr>
              <w:spacing w:after="0" w:line="228" w:lineRule="exact"/>
              <w:rPr>
                <w:sz w:val="20"/>
                <w:szCs w:val="20"/>
                <w:color w:val="auto"/>
              </w:rPr>
            </w:pPr>
            <w:r>
              <w:rPr>
                <w:rFonts w:ascii="Arial" w:cs="Arial" w:eastAsia="Arial" w:hAnsi="Arial"/>
                <w:sz w:val="20"/>
                <w:szCs w:val="20"/>
                <w:b w:val="1"/>
                <w:bCs w:val="1"/>
                <w:color w:val="auto"/>
                <w:w w:val="87"/>
              </w:rPr>
              <w:t>Violations Orders Assessment/$ Fatalities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89"/>
              </w:rPr>
              <w:t>Period</w:t>
            </w:r>
          </w:p>
        </w:tc>
      </w:tr>
      <w:tr>
        <w:trPr>
          <w:trHeight w:val="247"/>
        </w:trPr>
        <w:tc>
          <w:tcPr>
            <w:tcW w:w="960" w:type="dxa"/>
            <w:vAlign w:val="bottom"/>
          </w:tcPr>
          <w:p>
            <w:pPr>
              <w:ind w:left="120"/>
              <w:spacing w:after="0"/>
              <w:rPr>
                <w:sz w:val="20"/>
                <w:szCs w:val="20"/>
                <w:color w:val="auto"/>
              </w:rPr>
            </w:pPr>
            <w:r>
              <w:rPr>
                <w:rFonts w:ascii="Arial" w:cs="Arial" w:eastAsia="Arial" w:hAnsi="Arial"/>
                <w:sz w:val="20"/>
                <w:szCs w:val="20"/>
                <w:b w:val="1"/>
                <w:bCs w:val="1"/>
                <w:color w:val="auto"/>
                <w:w w:val="98"/>
              </w:rPr>
              <w:t>Location</w:t>
            </w:r>
          </w:p>
        </w:tc>
        <w:tc>
          <w:tcPr>
            <w:tcW w:w="740" w:type="dxa"/>
            <w:vAlign w:val="bottom"/>
          </w:tcPr>
          <w:p>
            <w:pPr>
              <w:jc w:val="right"/>
              <w:ind w:right="162"/>
              <w:spacing w:after="0"/>
              <w:rPr>
                <w:sz w:val="20"/>
                <w:szCs w:val="20"/>
                <w:color w:val="auto"/>
              </w:rPr>
            </w:pPr>
            <w:r>
              <w:rPr>
                <w:rFonts w:ascii="Arial" w:cs="Arial" w:eastAsia="Arial" w:hAnsi="Arial"/>
                <w:sz w:val="20"/>
                <w:szCs w:val="20"/>
                <w:b w:val="1"/>
                <w:bCs w:val="1"/>
                <w:color w:val="auto"/>
              </w:rPr>
              <w:t>ID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40" w:type="dxa"/>
            <w:vAlign w:val="bottom"/>
          </w:tcPr>
          <w:p>
            <w:pPr>
              <w:spacing w:after="0"/>
              <w:rPr>
                <w:sz w:val="21"/>
                <w:szCs w:val="21"/>
                <w:color w:val="auto"/>
              </w:rPr>
            </w:pPr>
          </w:p>
        </w:tc>
        <w:tc>
          <w:tcPr>
            <w:tcW w:w="1060" w:type="dxa"/>
            <w:vAlign w:val="bottom"/>
          </w:tcPr>
          <w:p>
            <w:pPr>
              <w:jc w:val="center"/>
              <w:ind w:right="102"/>
              <w:spacing w:after="0"/>
              <w:rPr>
                <w:sz w:val="20"/>
                <w:szCs w:val="20"/>
                <w:color w:val="auto"/>
              </w:rPr>
            </w:pPr>
            <w:r>
              <w:rPr>
                <w:rFonts w:ascii="Arial" w:cs="Arial" w:eastAsia="Arial" w:hAnsi="Arial"/>
                <w:sz w:val="20"/>
                <w:szCs w:val="20"/>
                <w:b w:val="1"/>
                <w:bCs w:val="1"/>
                <w:color w:val="auto"/>
                <w:w w:val="84"/>
              </w:rPr>
              <w:t>Proposed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20" w:type="dxa"/>
            <w:vAlign w:val="bottom"/>
          </w:tcPr>
          <w:p>
            <w:pPr>
              <w:spacing w:after="0"/>
              <w:rPr>
                <w:sz w:val="21"/>
                <w:szCs w:val="21"/>
                <w:color w:val="auto"/>
              </w:rPr>
            </w:pPr>
          </w:p>
        </w:tc>
      </w:tr>
      <w:tr>
        <w:trPr>
          <w:trHeight w:val="227"/>
        </w:trPr>
        <w:tc>
          <w:tcPr>
            <w:tcW w:w="960" w:type="dxa"/>
            <w:vAlign w:val="bottom"/>
          </w:tcPr>
          <w:p>
            <w:pPr>
              <w:spacing w:after="0" w:line="228" w:lineRule="exact"/>
              <w:rPr>
                <w:sz w:val="20"/>
                <w:szCs w:val="20"/>
                <w:color w:val="auto"/>
              </w:rPr>
            </w:pPr>
            <w:r>
              <w:rPr>
                <w:rFonts w:ascii="Arial" w:cs="Arial" w:eastAsia="Arial" w:hAnsi="Arial"/>
                <w:sz w:val="20"/>
                <w:szCs w:val="20"/>
                <w:color w:val="auto"/>
              </w:rPr>
              <w:t>Moore</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1302188</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996</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New</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96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Harvey</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1301778</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Northwest</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960" w:type="dxa"/>
            <w:vAlign w:val="bottom"/>
          </w:tcPr>
          <w:p>
            <w:pPr>
              <w:spacing w:after="0" w:line="228" w:lineRule="exact"/>
              <w:rPr>
                <w:sz w:val="20"/>
                <w:szCs w:val="20"/>
                <w:color w:val="auto"/>
              </w:rPr>
            </w:pPr>
            <w:r>
              <w:rPr>
                <w:rFonts w:ascii="Arial" w:cs="Arial" w:eastAsia="Arial" w:hAnsi="Arial"/>
                <w:sz w:val="20"/>
                <w:szCs w:val="20"/>
                <w:color w:val="auto"/>
              </w:rPr>
              <w:t>Division</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OH</w:t>
            </w:r>
          </w:p>
        </w:tc>
        <w:tc>
          <w:tcPr>
            <w:tcW w:w="740" w:type="dxa"/>
            <w:vAlign w:val="bottom"/>
          </w:tcPr>
          <w:p>
            <w:pPr>
              <w:jc w:val="right"/>
              <w:ind w:right="82"/>
              <w:spacing w:after="0"/>
              <w:rPr>
                <w:sz w:val="20"/>
                <w:szCs w:val="20"/>
                <w:color w:val="auto"/>
              </w:rPr>
            </w:pPr>
            <w:r>
              <w:rPr>
                <w:rFonts w:ascii="Arial" w:cs="Arial" w:eastAsia="Arial" w:hAnsi="Arial"/>
                <w:sz w:val="20"/>
                <w:szCs w:val="20"/>
                <w:color w:val="auto"/>
                <w:w w:val="93"/>
              </w:rPr>
              <w:t>A2354</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Ottawa</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1401590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Pacific</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4500844</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677</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Parkville</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Mine</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2301883</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Pederson</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1302192</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Raccoon</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w w:val="94"/>
              </w:rPr>
              <w:t>River Sand</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1302315</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Randolph</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w w:val="97"/>
              </w:rPr>
              <w:t>Deep Mine</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2302308</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1</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3,624</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Reasoner</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1300814</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Saylorville</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Sand</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1302290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St Cloud</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2100081</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Stamper</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Mine</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2302232</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1,286</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Sully Mine</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1300063</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41"/>
        </w:trPr>
        <w:tc>
          <w:tcPr>
            <w:tcW w:w="960" w:type="dxa"/>
            <w:vAlign w:val="bottom"/>
          </w:tcPr>
          <w:p>
            <w:pPr>
              <w:spacing w:after="0"/>
              <w:rPr>
                <w:sz w:val="20"/>
                <w:szCs w:val="20"/>
                <w:color w:val="auto"/>
              </w:rPr>
            </w:pPr>
            <w:r>
              <w:rPr>
                <w:rFonts w:ascii="Arial" w:cs="Arial" w:eastAsia="Arial" w:hAnsi="Arial"/>
                <w:sz w:val="20"/>
                <w:szCs w:val="20"/>
                <w:color w:val="auto"/>
              </w:rPr>
              <w:t>Sunflower</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1401556</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Weeping</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70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0"/>
              </w:rPr>
              <w:t>Water Mine 2500998</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924</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w:t>
            </w:r>
          </w:p>
        </w:tc>
        <w:tc>
          <w:tcPr>
            <w:tcW w:w="20" w:type="dxa"/>
            <w:vAlign w:val="bottom"/>
          </w:tcPr>
          <w:p>
            <w:pPr>
              <w:spacing w:after="0"/>
              <w:rPr>
                <w:sz w:val="21"/>
                <w:szCs w:val="21"/>
                <w:color w:val="auto"/>
              </w:rPr>
            </w:pP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Yellow</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960" w:type="dxa"/>
            <w:vAlign w:val="bottom"/>
          </w:tcPr>
          <w:p>
            <w:pPr>
              <w:spacing w:after="0" w:line="228" w:lineRule="exact"/>
              <w:rPr>
                <w:sz w:val="20"/>
                <w:szCs w:val="20"/>
                <w:color w:val="auto"/>
              </w:rPr>
            </w:pPr>
            <w:r>
              <w:rPr>
                <w:rFonts w:ascii="Arial" w:cs="Arial" w:eastAsia="Arial" w:hAnsi="Arial"/>
                <w:sz w:val="20"/>
                <w:szCs w:val="20"/>
                <w:color w:val="auto"/>
              </w:rPr>
              <w:t>Medicine</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2100033</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70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1"/>
              </w:rPr>
              <w:t>211 Quarry 4103829</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Beckman</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4101335</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Bedrock</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Plant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4103283</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w w:val="89"/>
              </w:rPr>
              <w:t>Bells Savoy</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SG TXI</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4104019</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346</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93"/>
              </w:rPr>
              <w:t>Black Rock</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300011</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w w:val="97"/>
              </w:rPr>
              <w:t>Black Spur</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4104159</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5</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Blake</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1401584</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4</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943</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Bridgeport</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9"/>
        </w:trPr>
        <w:tc>
          <w:tcPr>
            <w:tcW w:w="960" w:type="dxa"/>
            <w:vAlign w:val="bottom"/>
          </w:tcPr>
          <w:p>
            <w:pPr>
              <w:spacing w:after="0"/>
              <w:rPr>
                <w:sz w:val="20"/>
                <w:szCs w:val="20"/>
                <w:color w:val="auto"/>
              </w:rPr>
            </w:pPr>
            <w:r>
              <w:rPr>
                <w:rFonts w:ascii="Arial" w:cs="Arial" w:eastAsia="Arial" w:hAnsi="Arial"/>
                <w:sz w:val="20"/>
                <w:szCs w:val="20"/>
                <w:color w:val="auto"/>
              </w:rPr>
              <w:t>Stone TXI</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4100007</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752"/>
        </w:trPr>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2" w:right="219" w:bottom="1134"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0"/>
        </w:trPr>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40" w:type="dxa"/>
            <w:vAlign w:val="bottom"/>
            <w:gridSpan w:val="3"/>
          </w:tcPr>
          <w:p>
            <w:pPr>
              <w:ind w:left="700"/>
              <w:spacing w:after="0"/>
              <w:rPr>
                <w:sz w:val="20"/>
                <w:szCs w:val="20"/>
                <w:color w:val="auto"/>
              </w:rPr>
            </w:pPr>
            <w:r>
              <w:rPr>
                <w:rFonts w:ascii="Arial" w:cs="Arial" w:eastAsia="Arial" w:hAnsi="Arial"/>
                <w:sz w:val="20"/>
                <w:szCs w:val="20"/>
                <w:color w:val="auto"/>
                <w:w w:val="91"/>
              </w:rPr>
              <w:t>Appendix 1</w:t>
            </w:r>
          </w:p>
        </w:tc>
      </w:tr>
      <w:tr>
        <w:trPr>
          <w:trHeight w:val="441"/>
        </w:trPr>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84"/>
              </w:rPr>
              <w:t>Received Received</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87"/>
              </w:rPr>
              <w:t>Notice of Notice of</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Total</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Pattern</w:t>
            </w:r>
          </w:p>
        </w:tc>
        <w:tc>
          <w:tcPr>
            <w:tcW w:w="154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90"/>
              </w:rPr>
              <w:t>Potential Actions</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Number</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5"/>
              </w:rPr>
              <w:t>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to have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Pending</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Legal</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r>
      <w:tr>
        <w:trPr>
          <w:trHeight w:val="227"/>
        </w:trPr>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104(d)</w:t>
            </w: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0"/>
              </w:rPr>
              <w:t>Total Dollar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15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w w:val="98"/>
              </w:rPr>
              <w:t>Violation Pattern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1"/>
              </w:rPr>
              <w:t>as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Actions</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4"/>
              </w:rPr>
              <w:t>Actions</w:t>
            </w:r>
          </w:p>
        </w:tc>
      </w:tr>
      <w:tr>
        <w:trPr>
          <w:trHeight w:val="227"/>
        </w:trPr>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146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85"/>
              </w:rPr>
              <w:t>Section Citations</w:t>
            </w:r>
          </w:p>
        </w:tc>
        <w:tc>
          <w:tcPr>
            <w:tcW w:w="840" w:type="dxa"/>
            <w:vAlign w:val="bottom"/>
          </w:tcPr>
          <w:p>
            <w:pPr>
              <w:ind w:left="140"/>
              <w:spacing w:after="0" w:line="228" w:lineRule="exact"/>
              <w:rPr>
                <w:sz w:val="20"/>
                <w:szCs w:val="20"/>
                <w:color w:val="auto"/>
              </w:rPr>
            </w:pPr>
            <w:r>
              <w:rPr>
                <w:rFonts w:ascii="Arial" w:cs="Arial" w:eastAsia="Arial" w:hAnsi="Arial"/>
                <w:sz w:val="20"/>
                <w:szCs w:val="20"/>
                <w:b w:val="1"/>
                <w:bCs w:val="1"/>
                <w:color w:val="auto"/>
                <w:w w:val="94"/>
              </w:rPr>
              <w:t>Section</w:t>
            </w:r>
          </w:p>
        </w:tc>
        <w:tc>
          <w:tcPr>
            <w:tcW w:w="680" w:type="dxa"/>
            <w:vAlign w:val="bottom"/>
          </w:tcPr>
          <w:p>
            <w:pPr>
              <w:ind w:left="40"/>
              <w:spacing w:after="0" w:line="228" w:lineRule="exact"/>
              <w:rPr>
                <w:sz w:val="20"/>
                <w:szCs w:val="20"/>
                <w:color w:val="auto"/>
              </w:rPr>
            </w:pPr>
            <w:r>
              <w:rPr>
                <w:rFonts w:ascii="Arial" w:cs="Arial" w:eastAsia="Arial" w:hAnsi="Arial"/>
                <w:sz w:val="20"/>
                <w:szCs w:val="20"/>
                <w:b w:val="1"/>
                <w:bCs w:val="1"/>
                <w:color w:val="auto"/>
                <w:w w:val="85"/>
              </w:rPr>
              <w:t>Section</w:t>
            </w:r>
          </w:p>
        </w:tc>
        <w:tc>
          <w:tcPr>
            <w:tcW w:w="140" w:type="dxa"/>
            <w:vAlign w:val="bottom"/>
          </w:tcPr>
          <w:p>
            <w:pPr>
              <w:spacing w:after="0"/>
              <w:rPr>
                <w:sz w:val="19"/>
                <w:szCs w:val="19"/>
                <w:color w:val="auto"/>
              </w:rPr>
            </w:pPr>
          </w:p>
        </w:tc>
        <w:tc>
          <w:tcPr>
            <w:tcW w:w="104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Mining</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under</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Last</w:t>
            </w:r>
          </w:p>
        </w:tc>
        <w:tc>
          <w:tcPr>
            <w:tcW w:w="1640" w:type="dxa"/>
            <w:vAlign w:val="bottom"/>
            <w:gridSpan w:val="3"/>
          </w:tcPr>
          <w:p>
            <w:pPr>
              <w:spacing w:after="0" w:line="228" w:lineRule="exact"/>
              <w:rPr>
                <w:sz w:val="20"/>
                <w:szCs w:val="20"/>
                <w:color w:val="auto"/>
              </w:rPr>
            </w:pPr>
            <w:r>
              <w:rPr>
                <w:rFonts w:ascii="Arial" w:cs="Arial" w:eastAsia="Arial" w:hAnsi="Arial"/>
                <w:sz w:val="20"/>
                <w:szCs w:val="20"/>
                <w:b w:val="1"/>
                <w:bCs w:val="1"/>
                <w:color w:val="auto"/>
                <w:w w:val="87"/>
              </w:rPr>
              <w:t>Instituted Resolved</w:t>
            </w:r>
          </w:p>
        </w:tc>
      </w:tr>
      <w:tr>
        <w:trPr>
          <w:trHeight w:val="227"/>
        </w:trPr>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104 S&amp;S</w:t>
            </w:r>
          </w:p>
        </w:tc>
        <w:tc>
          <w:tcPr>
            <w:tcW w:w="7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104(b)</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and</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110(b)(2)</w:t>
            </w:r>
          </w:p>
        </w:tc>
        <w:tc>
          <w:tcPr>
            <w:tcW w:w="6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107(a)</w:t>
            </w:r>
          </w:p>
        </w:tc>
        <w:tc>
          <w:tcPr>
            <w:tcW w:w="140" w:type="dxa"/>
            <w:vAlign w:val="bottom"/>
          </w:tcPr>
          <w:p>
            <w:pPr>
              <w:spacing w:after="0"/>
              <w:rPr>
                <w:sz w:val="19"/>
                <w:szCs w:val="19"/>
                <w:color w:val="auto"/>
              </w:rPr>
            </w:pPr>
          </w:p>
        </w:tc>
        <w:tc>
          <w:tcPr>
            <w:tcW w:w="104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Related</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Day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93"/>
              </w:rPr>
              <w:t>During</w:t>
            </w:r>
          </w:p>
        </w:tc>
      </w:tr>
      <w:tr>
        <w:trPr>
          <w:trHeight w:val="227"/>
        </w:trPr>
        <w:tc>
          <w:tcPr>
            <w:tcW w:w="980" w:type="dxa"/>
            <w:vAlign w:val="bottom"/>
          </w:tcPr>
          <w:p>
            <w:pPr>
              <w:spacing w:after="0"/>
              <w:rPr>
                <w:sz w:val="19"/>
                <w:szCs w:val="19"/>
                <w:color w:val="auto"/>
              </w:rPr>
            </w:pPr>
          </w:p>
        </w:tc>
        <w:tc>
          <w:tcPr>
            <w:tcW w:w="224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Orders</w:t>
            </w:r>
          </w:p>
        </w:tc>
        <w:tc>
          <w:tcPr>
            <w:tcW w:w="3520" w:type="dxa"/>
            <w:vAlign w:val="bottom"/>
            <w:gridSpan w:val="5"/>
          </w:tcPr>
          <w:p>
            <w:pPr>
              <w:ind w:left="20"/>
              <w:spacing w:after="0" w:line="228" w:lineRule="exact"/>
              <w:rPr>
                <w:sz w:val="20"/>
                <w:szCs w:val="20"/>
                <w:color w:val="auto"/>
              </w:rPr>
            </w:pPr>
            <w:r>
              <w:rPr>
                <w:rFonts w:ascii="Arial" w:cs="Arial" w:eastAsia="Arial" w:hAnsi="Arial"/>
                <w:sz w:val="20"/>
                <w:szCs w:val="20"/>
                <w:b w:val="1"/>
                <w:bCs w:val="1"/>
                <w:color w:val="auto"/>
                <w:w w:val="87"/>
              </w:rPr>
              <w:t>Violations Orders Assessment/$ Fatalities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104(e)</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89"/>
              </w:rPr>
              <w:t>Period</w:t>
            </w:r>
          </w:p>
        </w:tc>
      </w:tr>
      <w:tr>
        <w:trPr>
          <w:trHeight w:val="250"/>
        </w:trPr>
        <w:tc>
          <w:tcPr>
            <w:tcW w:w="980" w:type="dxa"/>
            <w:vAlign w:val="bottom"/>
          </w:tcPr>
          <w:p>
            <w:pPr>
              <w:ind w:left="120"/>
              <w:spacing w:after="0"/>
              <w:rPr>
                <w:sz w:val="20"/>
                <w:szCs w:val="20"/>
                <w:color w:val="auto"/>
              </w:rPr>
            </w:pPr>
            <w:r>
              <w:rPr>
                <w:rFonts w:ascii="Arial" w:cs="Arial" w:eastAsia="Arial" w:hAnsi="Arial"/>
                <w:sz w:val="20"/>
                <w:szCs w:val="20"/>
                <w:b w:val="1"/>
                <w:bCs w:val="1"/>
                <w:color w:val="auto"/>
              </w:rPr>
              <w:t>Location</w:t>
            </w:r>
          </w:p>
        </w:tc>
        <w:tc>
          <w:tcPr>
            <w:tcW w:w="740" w:type="dxa"/>
            <w:vAlign w:val="bottom"/>
          </w:tcPr>
          <w:p>
            <w:pPr>
              <w:jc w:val="right"/>
              <w:ind w:right="162"/>
              <w:spacing w:after="0"/>
              <w:rPr>
                <w:sz w:val="20"/>
                <w:szCs w:val="20"/>
                <w:color w:val="auto"/>
              </w:rPr>
            </w:pPr>
            <w:r>
              <w:rPr>
                <w:rFonts w:ascii="Arial" w:cs="Arial" w:eastAsia="Arial" w:hAnsi="Arial"/>
                <w:sz w:val="20"/>
                <w:szCs w:val="20"/>
                <w:b w:val="1"/>
                <w:bCs w:val="1"/>
                <w:color w:val="auto"/>
              </w:rPr>
              <w:t>ID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40" w:type="dxa"/>
            <w:vAlign w:val="bottom"/>
          </w:tcPr>
          <w:p>
            <w:pPr>
              <w:spacing w:after="0"/>
              <w:rPr>
                <w:sz w:val="21"/>
                <w:szCs w:val="21"/>
                <w:color w:val="auto"/>
              </w:rPr>
            </w:pPr>
          </w:p>
        </w:tc>
        <w:tc>
          <w:tcPr>
            <w:tcW w:w="1040" w:type="dxa"/>
            <w:vAlign w:val="bottom"/>
          </w:tcPr>
          <w:p>
            <w:pPr>
              <w:jc w:val="center"/>
              <w:ind w:right="82"/>
              <w:spacing w:after="0"/>
              <w:rPr>
                <w:sz w:val="20"/>
                <w:szCs w:val="20"/>
                <w:color w:val="auto"/>
              </w:rPr>
            </w:pPr>
            <w:r>
              <w:rPr>
                <w:rFonts w:ascii="Arial" w:cs="Arial" w:eastAsia="Arial" w:hAnsi="Arial"/>
                <w:sz w:val="20"/>
                <w:szCs w:val="20"/>
                <w:b w:val="1"/>
                <w:bCs w:val="1"/>
                <w:color w:val="auto"/>
                <w:w w:val="84"/>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3"/>
              </w:rPr>
              <w:t>(yes/no)</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20" w:type="dxa"/>
            <w:vAlign w:val="bottom"/>
          </w:tcPr>
          <w:p>
            <w:pPr>
              <w:spacing w:after="0"/>
              <w:rPr>
                <w:sz w:val="21"/>
                <w:szCs w:val="21"/>
                <w:color w:val="auto"/>
              </w:rPr>
            </w:pPr>
          </w:p>
        </w:tc>
      </w:tr>
      <w:tr>
        <w:trPr>
          <w:trHeight w:val="224"/>
        </w:trPr>
        <w:tc>
          <w:tcPr>
            <w:tcW w:w="98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Broken</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72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89"/>
              </w:rPr>
              <w:t>Bow SandG 3400460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980" w:type="dxa"/>
            <w:vAlign w:val="bottom"/>
          </w:tcPr>
          <w:p>
            <w:pPr>
              <w:spacing w:after="0"/>
              <w:rPr>
                <w:sz w:val="20"/>
                <w:szCs w:val="20"/>
                <w:color w:val="auto"/>
              </w:rPr>
            </w:pPr>
            <w:r>
              <w:rPr>
                <w:rFonts w:ascii="Arial" w:cs="Arial" w:eastAsia="Arial" w:hAnsi="Arial"/>
                <w:sz w:val="20"/>
                <w:szCs w:val="20"/>
                <w:color w:val="auto"/>
              </w:rPr>
              <w:t>Chico</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4103360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41"/>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Davis</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3401299</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518</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980" w:type="dxa"/>
            <w:vAlign w:val="bottom"/>
          </w:tcPr>
          <w:p>
            <w:pPr>
              <w:spacing w:after="0" w:line="224" w:lineRule="exact"/>
              <w:rPr>
                <w:sz w:val="20"/>
                <w:szCs w:val="20"/>
                <w:color w:val="auto"/>
              </w:rPr>
            </w:pPr>
            <w:r>
              <w:rPr>
                <w:rFonts w:ascii="Arial" w:cs="Arial" w:eastAsia="Arial" w:hAnsi="Arial"/>
                <w:sz w:val="20"/>
                <w:szCs w:val="20"/>
                <w:color w:val="auto"/>
                <w:w w:val="91"/>
              </w:rPr>
              <w:t>Garfield SG</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80" w:type="dxa"/>
            <w:vAlign w:val="bottom"/>
          </w:tcPr>
          <w:p>
            <w:pPr>
              <w:spacing w:after="0"/>
              <w:rPr>
                <w:sz w:val="20"/>
                <w:szCs w:val="20"/>
                <w:color w:val="auto"/>
              </w:rPr>
            </w:pPr>
            <w:r>
              <w:rPr>
                <w:rFonts w:ascii="Arial" w:cs="Arial" w:eastAsia="Arial" w:hAnsi="Arial"/>
                <w:sz w:val="20"/>
                <w:szCs w:val="20"/>
                <w:color w:val="auto"/>
              </w:rPr>
              <w:t>TXI</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4103909</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Garwood</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4102886</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41"/>
        </w:trPr>
        <w:tc>
          <w:tcPr>
            <w:tcW w:w="1720" w:type="dxa"/>
            <w:vAlign w:val="bottom"/>
            <w:gridSpan w:val="2"/>
          </w:tcPr>
          <w:p>
            <w:pPr>
              <w:spacing w:after="0"/>
              <w:rPr>
                <w:sz w:val="20"/>
                <w:szCs w:val="20"/>
                <w:color w:val="auto"/>
              </w:rPr>
            </w:pPr>
            <w:r>
              <w:rPr>
                <w:rFonts w:ascii="Arial" w:cs="Arial" w:eastAsia="Arial" w:hAnsi="Arial"/>
                <w:sz w:val="20"/>
                <w:szCs w:val="20"/>
                <w:color w:val="auto"/>
              </w:rPr>
              <w:t>GMS - TXI C335</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98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Hatton</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301614</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980" w:type="dxa"/>
            <w:vAlign w:val="bottom"/>
          </w:tcPr>
          <w:p>
            <w:pPr>
              <w:spacing w:after="0"/>
              <w:rPr>
                <w:sz w:val="20"/>
                <w:szCs w:val="20"/>
                <w:color w:val="auto"/>
              </w:rPr>
            </w:pPr>
            <w:r>
              <w:rPr>
                <w:rFonts w:ascii="Arial" w:cs="Arial" w:eastAsia="Arial" w:hAnsi="Arial"/>
                <w:sz w:val="20"/>
                <w:szCs w:val="20"/>
                <w:color w:val="auto"/>
              </w:rPr>
              <w:t>Helotes</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4103137</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41"/>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Hondo</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4104708</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41"/>
        </w:trPr>
        <w:tc>
          <w:tcPr>
            <w:tcW w:w="980" w:type="dxa"/>
            <w:vAlign w:val="bottom"/>
          </w:tcPr>
          <w:p>
            <w:pPr>
              <w:spacing w:after="0"/>
              <w:rPr>
                <w:sz w:val="20"/>
                <w:szCs w:val="20"/>
                <w:color w:val="auto"/>
              </w:rPr>
            </w:pPr>
            <w:r>
              <w:rPr>
                <w:rFonts w:ascii="Arial" w:cs="Arial" w:eastAsia="Arial" w:hAnsi="Arial"/>
                <w:sz w:val="20"/>
                <w:szCs w:val="20"/>
                <w:color w:val="auto"/>
              </w:rPr>
              <w:t>Hondo-1</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4104090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20" w:type="dxa"/>
            <w:vAlign w:val="bottom"/>
          </w:tcPr>
          <w:p>
            <w:pPr>
              <w:spacing w:after="0"/>
              <w:rPr>
                <w:sz w:val="20"/>
                <w:szCs w:val="20"/>
                <w:color w:val="auto"/>
              </w:rPr>
            </w:pPr>
          </w:p>
        </w:tc>
      </w:tr>
      <w:tr>
        <w:trPr>
          <w:trHeight w:val="241"/>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Hugo</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3400061</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41"/>
        </w:trPr>
        <w:tc>
          <w:tcPr>
            <w:tcW w:w="980" w:type="dxa"/>
            <w:vAlign w:val="bottom"/>
          </w:tcPr>
          <w:p>
            <w:pPr>
              <w:spacing w:after="0"/>
              <w:rPr>
                <w:sz w:val="20"/>
                <w:szCs w:val="20"/>
                <w:color w:val="auto"/>
              </w:rPr>
            </w:pPr>
            <w:r>
              <w:rPr>
                <w:rFonts w:ascii="Arial" w:cs="Arial" w:eastAsia="Arial" w:hAnsi="Arial"/>
                <w:sz w:val="20"/>
                <w:szCs w:val="20"/>
                <w:color w:val="auto"/>
              </w:rPr>
              <w:t>Idabel</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3400507</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98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Jena</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98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w w:val="93"/>
              </w:rPr>
              <w:t>Aggregates</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1601298</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625</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80" w:type="dxa"/>
            <w:vAlign w:val="bottom"/>
          </w:tcPr>
          <w:p>
            <w:pPr>
              <w:spacing w:after="0" w:line="224" w:lineRule="exact"/>
              <w:rPr>
                <w:sz w:val="20"/>
                <w:szCs w:val="20"/>
                <w:color w:val="auto"/>
              </w:rPr>
            </w:pPr>
            <w:r>
              <w:rPr>
                <w:rFonts w:ascii="Arial" w:cs="Arial" w:eastAsia="Arial" w:hAnsi="Arial"/>
                <w:sz w:val="20"/>
                <w:szCs w:val="20"/>
                <w:color w:val="auto"/>
              </w:rPr>
              <w:t>Jones Mill</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rPr>
              <w:t>301586</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8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Koontz</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98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McCombs</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Pit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4105048</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80" w:type="dxa"/>
            <w:vAlign w:val="bottom"/>
          </w:tcPr>
          <w:p>
            <w:pPr>
              <w:spacing w:after="0" w:line="224" w:lineRule="exact"/>
              <w:rPr>
                <w:sz w:val="20"/>
                <w:szCs w:val="20"/>
                <w:color w:val="auto"/>
              </w:rPr>
            </w:pPr>
            <w:r>
              <w:rPr>
                <w:rFonts w:ascii="Arial" w:cs="Arial" w:eastAsia="Arial" w:hAnsi="Arial"/>
                <w:sz w:val="20"/>
                <w:szCs w:val="20"/>
                <w:color w:val="auto"/>
              </w:rPr>
              <w:t>Medina</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980" w:type="dxa"/>
            <w:vAlign w:val="bottom"/>
          </w:tcPr>
          <w:p>
            <w:pPr>
              <w:spacing w:after="0" w:line="228" w:lineRule="exact"/>
              <w:rPr>
                <w:sz w:val="20"/>
                <w:szCs w:val="20"/>
                <w:color w:val="auto"/>
              </w:rPr>
            </w:pPr>
            <w:r>
              <w:rPr>
                <w:rFonts w:ascii="Arial" w:cs="Arial" w:eastAsia="Arial" w:hAnsi="Arial"/>
                <w:sz w:val="20"/>
                <w:szCs w:val="20"/>
                <w:color w:val="auto"/>
              </w:rPr>
              <w:t>Rock and</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80" w:type="dxa"/>
            <w:vAlign w:val="bottom"/>
          </w:tcPr>
          <w:p>
            <w:pPr>
              <w:spacing w:after="0"/>
              <w:rPr>
                <w:sz w:val="20"/>
                <w:szCs w:val="20"/>
                <w:color w:val="auto"/>
              </w:rPr>
            </w:pPr>
            <w:r>
              <w:rPr>
                <w:rFonts w:ascii="Arial" w:cs="Arial" w:eastAsia="Arial" w:hAnsi="Arial"/>
                <w:sz w:val="20"/>
                <w:szCs w:val="20"/>
                <w:color w:val="auto"/>
              </w:rPr>
              <w:t>Rail</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4105170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Mill Creek</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3401285</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980" w:type="dxa"/>
            <w:vAlign w:val="bottom"/>
          </w:tcPr>
          <w:p>
            <w:pPr>
              <w:spacing w:after="0" w:line="224" w:lineRule="exact"/>
              <w:rPr>
                <w:sz w:val="20"/>
                <w:szCs w:val="20"/>
                <w:color w:val="auto"/>
              </w:rPr>
            </w:pPr>
            <w:r>
              <w:rPr>
                <w:rFonts w:ascii="Arial" w:cs="Arial" w:eastAsia="Arial" w:hAnsi="Arial"/>
                <w:sz w:val="20"/>
                <w:szCs w:val="20"/>
                <w:color w:val="auto"/>
              </w:rPr>
              <w:t>Mill Creek</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80" w:type="dxa"/>
            <w:vAlign w:val="bottom"/>
          </w:tcPr>
          <w:p>
            <w:pPr>
              <w:spacing w:after="0"/>
              <w:rPr>
                <w:sz w:val="20"/>
                <w:szCs w:val="20"/>
                <w:color w:val="auto"/>
              </w:rPr>
            </w:pPr>
            <w:r>
              <w:rPr>
                <w:rFonts w:ascii="Arial" w:cs="Arial" w:eastAsia="Arial" w:hAnsi="Arial"/>
                <w:sz w:val="20"/>
                <w:szCs w:val="20"/>
                <w:color w:val="auto"/>
              </w:rPr>
              <w:t>TXI</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3401859</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148</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8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New</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98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Braunfels</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4104264</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80" w:type="dxa"/>
            <w:vAlign w:val="bottom"/>
          </w:tcPr>
          <w:p>
            <w:pPr>
              <w:spacing w:after="0" w:line="224" w:lineRule="exact"/>
              <w:rPr>
                <w:sz w:val="20"/>
                <w:szCs w:val="20"/>
                <w:color w:val="auto"/>
              </w:rPr>
            </w:pPr>
            <w:r>
              <w:rPr>
                <w:rFonts w:ascii="Arial" w:cs="Arial" w:eastAsia="Arial" w:hAnsi="Arial"/>
                <w:sz w:val="20"/>
                <w:szCs w:val="20"/>
                <w:color w:val="auto"/>
              </w:rPr>
              <w:t>Perryville</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980" w:type="dxa"/>
            <w:vAlign w:val="bottom"/>
          </w:tcPr>
          <w:p>
            <w:pPr>
              <w:spacing w:after="0" w:line="228" w:lineRule="exact"/>
              <w:rPr>
                <w:sz w:val="20"/>
                <w:szCs w:val="20"/>
                <w:color w:val="auto"/>
              </w:rPr>
            </w:pPr>
            <w:r>
              <w:rPr>
                <w:rFonts w:ascii="Arial" w:cs="Arial" w:eastAsia="Arial" w:hAnsi="Arial"/>
                <w:sz w:val="20"/>
                <w:szCs w:val="20"/>
                <w:color w:val="auto"/>
                <w:w w:val="93"/>
              </w:rPr>
              <w:t>Aggregates</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80" w:type="dxa"/>
            <w:vAlign w:val="bottom"/>
          </w:tcPr>
          <w:p>
            <w:pPr>
              <w:spacing w:after="0"/>
              <w:rPr>
                <w:sz w:val="20"/>
                <w:szCs w:val="20"/>
                <w:color w:val="auto"/>
              </w:rPr>
            </w:pPr>
            <w:r>
              <w:rPr>
                <w:rFonts w:ascii="Arial" w:cs="Arial" w:eastAsia="Arial" w:hAnsi="Arial"/>
                <w:sz w:val="20"/>
                <w:szCs w:val="20"/>
                <w:color w:val="auto"/>
              </w:rPr>
              <w:t>TXI</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1601417</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98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Poteet</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72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89"/>
              </w:rPr>
              <w:t>(Sand Plant)4101342</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720" w:type="dxa"/>
            <w:vAlign w:val="bottom"/>
            <w:gridSpan w:val="2"/>
          </w:tcPr>
          <w:p>
            <w:pPr>
              <w:spacing w:after="0"/>
              <w:rPr>
                <w:sz w:val="20"/>
                <w:szCs w:val="20"/>
                <w:color w:val="auto"/>
              </w:rPr>
            </w:pPr>
            <w:r>
              <w:rPr>
                <w:rFonts w:ascii="Arial" w:cs="Arial" w:eastAsia="Arial" w:hAnsi="Arial"/>
                <w:sz w:val="20"/>
                <w:szCs w:val="20"/>
                <w:color w:val="auto"/>
                <w:w w:val="92"/>
              </w:rPr>
              <w:t>Rio Medina 4103594</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98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San Pedro</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4101337</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9"/>
        </w:trPr>
        <w:tc>
          <w:tcPr>
            <w:tcW w:w="980" w:type="dxa"/>
            <w:vAlign w:val="bottom"/>
          </w:tcPr>
          <w:p>
            <w:pPr>
              <w:spacing w:after="0"/>
              <w:rPr>
                <w:sz w:val="20"/>
                <w:szCs w:val="20"/>
                <w:color w:val="auto"/>
              </w:rPr>
            </w:pPr>
            <w:r>
              <w:rPr>
                <w:rFonts w:ascii="Arial" w:cs="Arial" w:eastAsia="Arial" w:hAnsi="Arial"/>
                <w:sz w:val="20"/>
                <w:szCs w:val="20"/>
                <w:color w:val="auto"/>
              </w:rPr>
              <w:t>Sawyer</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3401634</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748"/>
        </w:trPr>
        <w:tc>
          <w:tcPr>
            <w:tcW w:w="9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0"/>
        </w:trPr>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40" w:type="dxa"/>
            <w:vAlign w:val="bottom"/>
            <w:gridSpan w:val="3"/>
          </w:tcPr>
          <w:p>
            <w:pPr>
              <w:ind w:left="700"/>
              <w:spacing w:after="0"/>
              <w:rPr>
                <w:sz w:val="20"/>
                <w:szCs w:val="20"/>
                <w:color w:val="auto"/>
              </w:rPr>
            </w:pPr>
            <w:r>
              <w:rPr>
                <w:rFonts w:ascii="Arial" w:cs="Arial" w:eastAsia="Arial" w:hAnsi="Arial"/>
                <w:sz w:val="20"/>
                <w:szCs w:val="20"/>
                <w:color w:val="auto"/>
                <w:w w:val="91"/>
              </w:rPr>
              <w:t>Appendix 1</w:t>
            </w:r>
          </w:p>
        </w:tc>
      </w:tr>
      <w:tr>
        <w:trPr>
          <w:trHeight w:val="441"/>
        </w:trPr>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84"/>
              </w:rPr>
              <w:t>Received Received</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87"/>
              </w:rPr>
              <w:t>Notice of Notice of</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Total</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Pattern</w:t>
            </w:r>
          </w:p>
        </w:tc>
        <w:tc>
          <w:tcPr>
            <w:tcW w:w="154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90"/>
              </w:rPr>
              <w:t>Potential Actions</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Number</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5"/>
              </w:rPr>
              <w:t>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to have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Pending</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Legal</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104(d)</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0"/>
              </w:rPr>
              <w:t>Total Dollar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15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w w:val="98"/>
              </w:rPr>
              <w:t>Violation Pattern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1"/>
              </w:rPr>
              <w:t>as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Actions</w:t>
            </w:r>
          </w:p>
        </w:tc>
        <w:tc>
          <w:tcPr>
            <w:tcW w:w="8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84"/>
              </w:rPr>
              <w:t>Actions</w:t>
            </w: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146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85"/>
              </w:rPr>
              <w:t>Section Citations</w:t>
            </w:r>
          </w:p>
        </w:tc>
        <w:tc>
          <w:tcPr>
            <w:tcW w:w="840" w:type="dxa"/>
            <w:vAlign w:val="bottom"/>
          </w:tcPr>
          <w:p>
            <w:pPr>
              <w:ind w:left="120"/>
              <w:spacing w:after="0" w:line="228" w:lineRule="exact"/>
              <w:rPr>
                <w:sz w:val="20"/>
                <w:szCs w:val="20"/>
                <w:color w:val="auto"/>
              </w:rPr>
            </w:pPr>
            <w:r>
              <w:rPr>
                <w:rFonts w:ascii="Arial" w:cs="Arial" w:eastAsia="Arial" w:hAnsi="Arial"/>
                <w:sz w:val="20"/>
                <w:szCs w:val="20"/>
                <w:b w:val="1"/>
                <w:bCs w:val="1"/>
                <w:color w:val="auto"/>
                <w:w w:val="96"/>
              </w:rPr>
              <w:t>Section</w:t>
            </w:r>
          </w:p>
        </w:tc>
        <w:tc>
          <w:tcPr>
            <w:tcW w:w="660" w:type="dxa"/>
            <w:vAlign w:val="bottom"/>
          </w:tcPr>
          <w:p>
            <w:pPr>
              <w:ind w:left="40"/>
              <w:spacing w:after="0" w:line="228" w:lineRule="exact"/>
              <w:rPr>
                <w:sz w:val="20"/>
                <w:szCs w:val="20"/>
                <w:color w:val="auto"/>
              </w:rPr>
            </w:pPr>
            <w:r>
              <w:rPr>
                <w:rFonts w:ascii="Arial" w:cs="Arial" w:eastAsia="Arial" w:hAnsi="Arial"/>
                <w:sz w:val="20"/>
                <w:szCs w:val="20"/>
                <w:b w:val="1"/>
                <w:bCs w:val="1"/>
                <w:color w:val="auto"/>
                <w:w w:val="82"/>
              </w:rPr>
              <w:t>Section</w:t>
            </w:r>
          </w:p>
        </w:tc>
        <w:tc>
          <w:tcPr>
            <w:tcW w:w="140" w:type="dxa"/>
            <w:vAlign w:val="bottom"/>
          </w:tcPr>
          <w:p>
            <w:pPr>
              <w:spacing w:after="0"/>
              <w:rPr>
                <w:sz w:val="19"/>
                <w:szCs w:val="19"/>
                <w:color w:val="auto"/>
              </w:rPr>
            </w:pPr>
          </w:p>
        </w:tc>
        <w:tc>
          <w:tcPr>
            <w:tcW w:w="104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Mining</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under</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Last</w:t>
            </w:r>
          </w:p>
        </w:tc>
        <w:tc>
          <w:tcPr>
            <w:tcW w:w="1640" w:type="dxa"/>
            <w:vAlign w:val="bottom"/>
            <w:gridSpan w:val="3"/>
          </w:tcPr>
          <w:p>
            <w:pPr>
              <w:spacing w:after="0" w:line="228" w:lineRule="exact"/>
              <w:rPr>
                <w:sz w:val="20"/>
                <w:szCs w:val="20"/>
                <w:color w:val="auto"/>
              </w:rPr>
            </w:pPr>
            <w:r>
              <w:rPr>
                <w:rFonts w:ascii="Arial" w:cs="Arial" w:eastAsia="Arial" w:hAnsi="Arial"/>
                <w:sz w:val="20"/>
                <w:szCs w:val="20"/>
                <w:b w:val="1"/>
                <w:bCs w:val="1"/>
                <w:color w:val="auto"/>
                <w:w w:val="87"/>
              </w:rPr>
              <w:t>Instituted Resolved</w:t>
            </w:r>
          </w:p>
        </w:tc>
      </w:tr>
      <w:tr>
        <w:trPr>
          <w:trHeight w:val="227"/>
        </w:trPr>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 S&amp;S</w:t>
            </w:r>
          </w:p>
        </w:tc>
        <w:tc>
          <w:tcPr>
            <w:tcW w:w="7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104(b)</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and</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110(b)(2)</w:t>
            </w:r>
          </w:p>
        </w:tc>
        <w:tc>
          <w:tcPr>
            <w:tcW w:w="6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107(a)</w:t>
            </w:r>
          </w:p>
        </w:tc>
        <w:tc>
          <w:tcPr>
            <w:tcW w:w="140" w:type="dxa"/>
            <w:vAlign w:val="bottom"/>
          </w:tcPr>
          <w:p>
            <w:pPr>
              <w:spacing w:after="0"/>
              <w:rPr>
                <w:sz w:val="19"/>
                <w:szCs w:val="19"/>
                <w:color w:val="auto"/>
              </w:rPr>
            </w:pPr>
          </w:p>
        </w:tc>
        <w:tc>
          <w:tcPr>
            <w:tcW w:w="104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Related</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Day 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93"/>
              </w:rPr>
              <w:t>During</w:t>
            </w:r>
          </w:p>
        </w:tc>
      </w:tr>
      <w:tr>
        <w:trPr>
          <w:trHeight w:val="227"/>
        </w:trPr>
        <w:tc>
          <w:tcPr>
            <w:tcW w:w="1020" w:type="dxa"/>
            <w:vAlign w:val="bottom"/>
          </w:tcPr>
          <w:p>
            <w:pPr>
              <w:spacing w:after="0"/>
              <w:rPr>
                <w:sz w:val="19"/>
                <w:szCs w:val="19"/>
                <w:color w:val="auto"/>
              </w:rPr>
            </w:pPr>
          </w:p>
        </w:tc>
        <w:tc>
          <w:tcPr>
            <w:tcW w:w="222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Orders</w:t>
            </w:r>
          </w:p>
        </w:tc>
        <w:tc>
          <w:tcPr>
            <w:tcW w:w="3500" w:type="dxa"/>
            <w:vAlign w:val="bottom"/>
            <w:gridSpan w:val="5"/>
          </w:tcPr>
          <w:p>
            <w:pPr>
              <w:spacing w:after="0" w:line="228" w:lineRule="exact"/>
              <w:rPr>
                <w:sz w:val="20"/>
                <w:szCs w:val="20"/>
                <w:color w:val="auto"/>
              </w:rPr>
            </w:pPr>
            <w:r>
              <w:rPr>
                <w:rFonts w:ascii="Arial" w:cs="Arial" w:eastAsia="Arial" w:hAnsi="Arial"/>
                <w:sz w:val="20"/>
                <w:szCs w:val="20"/>
                <w:b w:val="1"/>
                <w:bCs w:val="1"/>
                <w:color w:val="auto"/>
                <w:w w:val="87"/>
              </w:rPr>
              <w:t>Violations Orders Assessment/$ Fatalities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6"/>
              </w:rPr>
              <w:t>104(e)</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20" w:type="dxa"/>
            <w:vAlign w:val="bottom"/>
            <w:gridSpan w:val="2"/>
          </w:tcPr>
          <w:p>
            <w:pPr>
              <w:jc w:val="center"/>
              <w:ind w:right="20"/>
              <w:spacing w:after="0" w:line="228" w:lineRule="exact"/>
              <w:rPr>
                <w:sz w:val="20"/>
                <w:szCs w:val="20"/>
                <w:color w:val="auto"/>
              </w:rPr>
            </w:pPr>
            <w:r>
              <w:rPr>
                <w:rFonts w:ascii="Arial" w:cs="Arial" w:eastAsia="Arial" w:hAnsi="Arial"/>
                <w:sz w:val="20"/>
                <w:szCs w:val="20"/>
                <w:b w:val="1"/>
                <w:bCs w:val="1"/>
                <w:color w:val="auto"/>
                <w:w w:val="89"/>
              </w:rPr>
              <w:t>Period</w:t>
            </w:r>
          </w:p>
        </w:tc>
      </w:tr>
      <w:tr>
        <w:trPr>
          <w:trHeight w:val="250"/>
        </w:trPr>
        <w:tc>
          <w:tcPr>
            <w:tcW w:w="1020" w:type="dxa"/>
            <w:vAlign w:val="bottom"/>
          </w:tcPr>
          <w:p>
            <w:pPr>
              <w:ind w:left="140"/>
              <w:spacing w:after="0"/>
              <w:rPr>
                <w:sz w:val="20"/>
                <w:szCs w:val="20"/>
                <w:color w:val="auto"/>
              </w:rPr>
            </w:pPr>
            <w:r>
              <w:rPr>
                <w:rFonts w:ascii="Arial" w:cs="Arial" w:eastAsia="Arial" w:hAnsi="Arial"/>
                <w:sz w:val="20"/>
                <w:szCs w:val="20"/>
                <w:b w:val="1"/>
                <w:bCs w:val="1"/>
                <w:color w:val="auto"/>
              </w:rPr>
              <w:t>Location</w:t>
            </w:r>
          </w:p>
        </w:tc>
        <w:tc>
          <w:tcPr>
            <w:tcW w:w="740" w:type="dxa"/>
            <w:vAlign w:val="bottom"/>
          </w:tcPr>
          <w:p>
            <w:pPr>
              <w:jc w:val="right"/>
              <w:ind w:right="162"/>
              <w:spacing w:after="0"/>
              <w:rPr>
                <w:sz w:val="20"/>
                <w:szCs w:val="20"/>
                <w:color w:val="auto"/>
              </w:rPr>
            </w:pPr>
            <w:r>
              <w:rPr>
                <w:rFonts w:ascii="Arial" w:cs="Arial" w:eastAsia="Arial" w:hAnsi="Arial"/>
                <w:sz w:val="20"/>
                <w:szCs w:val="20"/>
                <w:b w:val="1"/>
                <w:bCs w:val="1"/>
                <w:color w:val="auto"/>
              </w:rPr>
              <w:t>ID</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40" w:type="dxa"/>
            <w:vAlign w:val="bottom"/>
          </w:tcPr>
          <w:p>
            <w:pPr>
              <w:spacing w:after="0"/>
              <w:rPr>
                <w:sz w:val="21"/>
                <w:szCs w:val="21"/>
                <w:color w:val="auto"/>
              </w:rPr>
            </w:pPr>
          </w:p>
        </w:tc>
        <w:tc>
          <w:tcPr>
            <w:tcW w:w="1040" w:type="dxa"/>
            <w:vAlign w:val="bottom"/>
          </w:tcPr>
          <w:p>
            <w:pPr>
              <w:jc w:val="center"/>
              <w:ind w:right="82"/>
              <w:spacing w:after="0"/>
              <w:rPr>
                <w:sz w:val="20"/>
                <w:szCs w:val="20"/>
                <w:color w:val="auto"/>
              </w:rPr>
            </w:pPr>
            <w:r>
              <w:rPr>
                <w:rFonts w:ascii="Arial" w:cs="Arial" w:eastAsia="Arial" w:hAnsi="Arial"/>
                <w:sz w:val="20"/>
                <w:szCs w:val="20"/>
                <w:b w:val="1"/>
                <w:bCs w:val="1"/>
                <w:color w:val="auto"/>
                <w:w w:val="84"/>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3"/>
              </w:rPr>
              <w:t>(yes/no)</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20" w:type="dxa"/>
            <w:vAlign w:val="bottom"/>
          </w:tcPr>
          <w:p>
            <w:pPr>
              <w:spacing w:after="0"/>
              <w:rPr>
                <w:sz w:val="21"/>
                <w:szCs w:val="21"/>
                <w:color w:val="auto"/>
              </w:rPr>
            </w:pPr>
          </w:p>
        </w:tc>
      </w:tr>
      <w:tr>
        <w:trPr>
          <w:trHeight w:val="241"/>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Snyder</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3401651</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792</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w w:val="89"/>
              </w:rPr>
              <w:t>South Texas</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Port No.2</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4104204</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97"/>
              </w:rPr>
              <w:t>Tin Top SG</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4102852</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Washita</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3402049</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95"/>
              </w:rPr>
              <w:t>Webberville</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4104363</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w w:val="98"/>
              </w:rPr>
              <w:t>Woodworth</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line="228" w:lineRule="exact"/>
              <w:rPr>
                <w:sz w:val="20"/>
                <w:szCs w:val="20"/>
                <w:color w:val="auto"/>
              </w:rPr>
            </w:pPr>
            <w:r>
              <w:rPr>
                <w:rFonts w:ascii="Arial" w:cs="Arial" w:eastAsia="Arial" w:hAnsi="Arial"/>
                <w:sz w:val="20"/>
                <w:szCs w:val="20"/>
                <w:color w:val="auto"/>
                <w:w w:val="97"/>
              </w:rPr>
              <w:t>Aggregates</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TXI</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1601070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232</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w w:val="93"/>
              </w:rPr>
              <w:t>Cottonwood</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Sand and</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504418</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Fountain</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line="228" w:lineRule="exact"/>
              <w:rPr>
                <w:sz w:val="20"/>
                <w:szCs w:val="20"/>
                <w:color w:val="auto"/>
              </w:rPr>
            </w:pPr>
            <w:r>
              <w:rPr>
                <w:rFonts w:ascii="Arial" w:cs="Arial" w:eastAsia="Arial" w:hAnsi="Arial"/>
                <w:sz w:val="20"/>
                <w:szCs w:val="20"/>
                <w:color w:val="auto"/>
              </w:rPr>
              <w:t>Sand and</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Gravel</w:t>
            </w:r>
          </w:p>
        </w:tc>
        <w:tc>
          <w:tcPr>
            <w:tcW w:w="740" w:type="dxa"/>
            <w:vAlign w:val="bottom"/>
          </w:tcPr>
          <w:p>
            <w:pPr>
              <w:jc w:val="right"/>
              <w:spacing w:after="0"/>
              <w:rPr>
                <w:sz w:val="20"/>
                <w:szCs w:val="20"/>
                <w:color w:val="auto"/>
              </w:rPr>
            </w:pPr>
            <w:r>
              <w:rPr>
                <w:rFonts w:ascii="Arial" w:cs="Arial" w:eastAsia="Arial" w:hAnsi="Arial"/>
                <w:sz w:val="20"/>
                <w:szCs w:val="20"/>
                <w:color w:val="auto"/>
              </w:rPr>
              <w:t>503821</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13,437</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Granite</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Canyon</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4800018</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Greeley</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line="228" w:lineRule="exact"/>
              <w:rPr>
                <w:sz w:val="20"/>
                <w:szCs w:val="20"/>
                <w:color w:val="auto"/>
              </w:rPr>
            </w:pPr>
            <w:r>
              <w:rPr>
                <w:rFonts w:ascii="Arial" w:cs="Arial" w:eastAsia="Arial" w:hAnsi="Arial"/>
                <w:sz w:val="20"/>
                <w:szCs w:val="20"/>
                <w:color w:val="auto"/>
                <w:w w:val="97"/>
              </w:rPr>
              <w:t>35th Ready</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Mix</w:t>
            </w:r>
          </w:p>
        </w:tc>
        <w:tc>
          <w:tcPr>
            <w:tcW w:w="740" w:type="dxa"/>
            <w:vAlign w:val="bottom"/>
          </w:tcPr>
          <w:p>
            <w:pPr>
              <w:jc w:val="right"/>
              <w:spacing w:after="0"/>
              <w:rPr>
                <w:sz w:val="20"/>
                <w:szCs w:val="20"/>
                <w:color w:val="auto"/>
              </w:rPr>
            </w:pPr>
            <w:r>
              <w:rPr>
                <w:rFonts w:ascii="Arial" w:cs="Arial" w:eastAsia="Arial" w:hAnsi="Arial"/>
                <w:sz w:val="20"/>
                <w:szCs w:val="20"/>
                <w:color w:val="auto"/>
              </w:rPr>
              <w:t>503215</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Greeley</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35th Sand</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and Gravel</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504613</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1"/>
        </w:trPr>
        <w:tc>
          <w:tcPr>
            <w:tcW w:w="1020" w:type="dxa"/>
            <w:vAlign w:val="bottom"/>
          </w:tcPr>
          <w:p>
            <w:pPr>
              <w:spacing w:after="0"/>
              <w:rPr>
                <w:sz w:val="20"/>
                <w:szCs w:val="20"/>
                <w:color w:val="auto"/>
              </w:rPr>
            </w:pPr>
            <w:r>
              <w:rPr>
                <w:rFonts w:ascii="Arial" w:cs="Arial" w:eastAsia="Arial" w:hAnsi="Arial"/>
                <w:sz w:val="20"/>
                <w:szCs w:val="20"/>
                <w:color w:val="auto"/>
              </w:rPr>
              <w:t>Guernsey</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4800004</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41"/>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Milford</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4202177</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0"/>
                <w:szCs w:val="20"/>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Northern</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line="228" w:lineRule="exact"/>
              <w:rPr>
                <w:sz w:val="20"/>
                <w:szCs w:val="20"/>
                <w:color w:val="auto"/>
              </w:rPr>
            </w:pPr>
            <w:r>
              <w:rPr>
                <w:rFonts w:ascii="Arial" w:cs="Arial" w:eastAsia="Arial" w:hAnsi="Arial"/>
                <w:sz w:val="20"/>
                <w:szCs w:val="20"/>
                <w:color w:val="auto"/>
              </w:rPr>
              <w:t>Portable</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Plant #1</w:t>
            </w:r>
          </w:p>
        </w:tc>
        <w:tc>
          <w:tcPr>
            <w:tcW w:w="740" w:type="dxa"/>
            <w:vAlign w:val="bottom"/>
          </w:tcPr>
          <w:p>
            <w:pPr>
              <w:jc w:val="right"/>
              <w:spacing w:after="0"/>
              <w:rPr>
                <w:sz w:val="20"/>
                <w:szCs w:val="20"/>
                <w:color w:val="auto"/>
              </w:rPr>
            </w:pPr>
            <w:r>
              <w:rPr>
                <w:rFonts w:ascii="Arial" w:cs="Arial" w:eastAsia="Arial" w:hAnsi="Arial"/>
                <w:sz w:val="20"/>
                <w:szCs w:val="20"/>
                <w:color w:val="auto"/>
              </w:rPr>
              <w:t>504359</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232</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Northern</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Portable</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Plant #4</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4801565</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tcPr>
          <w:p>
            <w:pPr>
              <w:spacing w:after="0" w:line="224" w:lineRule="exact"/>
              <w:rPr>
                <w:sz w:val="20"/>
                <w:szCs w:val="20"/>
                <w:color w:val="auto"/>
              </w:rPr>
            </w:pPr>
            <w:r>
              <w:rPr>
                <w:rFonts w:ascii="Arial" w:cs="Arial" w:eastAsia="Arial" w:hAnsi="Arial"/>
                <w:sz w:val="20"/>
                <w:szCs w:val="20"/>
                <w:color w:val="auto"/>
              </w:rPr>
              <w:t>Northern</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1020" w:type="dxa"/>
            <w:vAlign w:val="bottom"/>
          </w:tcPr>
          <w:p>
            <w:pPr>
              <w:spacing w:after="0" w:line="228" w:lineRule="exact"/>
              <w:rPr>
                <w:sz w:val="20"/>
                <w:szCs w:val="20"/>
                <w:color w:val="auto"/>
              </w:rPr>
            </w:pPr>
            <w:r>
              <w:rPr>
                <w:rFonts w:ascii="Arial" w:cs="Arial" w:eastAsia="Arial" w:hAnsi="Arial"/>
                <w:sz w:val="20"/>
                <w:szCs w:val="20"/>
                <w:color w:val="auto"/>
              </w:rPr>
              <w:t>Portable</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tcPr>
          <w:p>
            <w:pPr>
              <w:spacing w:after="0"/>
              <w:rPr>
                <w:sz w:val="20"/>
                <w:szCs w:val="20"/>
                <w:color w:val="auto"/>
              </w:rPr>
            </w:pPr>
            <w:r>
              <w:rPr>
                <w:rFonts w:ascii="Arial" w:cs="Arial" w:eastAsia="Arial" w:hAnsi="Arial"/>
                <w:sz w:val="20"/>
                <w:szCs w:val="20"/>
                <w:color w:val="auto"/>
              </w:rPr>
              <w:t>Plant #19</w:t>
            </w:r>
          </w:p>
        </w:tc>
        <w:tc>
          <w:tcPr>
            <w:tcW w:w="740" w:type="dxa"/>
            <w:vAlign w:val="bottom"/>
          </w:tcPr>
          <w:p>
            <w:pPr>
              <w:jc w:val="right"/>
              <w:spacing w:after="0"/>
              <w:rPr>
                <w:sz w:val="20"/>
                <w:szCs w:val="20"/>
                <w:color w:val="auto"/>
              </w:rPr>
            </w:pPr>
            <w:r>
              <w:rPr>
                <w:rFonts w:ascii="Arial" w:cs="Arial" w:eastAsia="Arial" w:hAnsi="Arial"/>
                <w:sz w:val="20"/>
                <w:szCs w:val="20"/>
                <w:color w:val="auto"/>
              </w:rPr>
              <w:t>504382</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232</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4"/>
        </w:trPr>
        <w:tc>
          <w:tcPr>
            <w:tcW w:w="102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Parkdale</w:t>
            </w: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0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504635</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9"/>
        </w:trPr>
        <w:tc>
          <w:tcPr>
            <w:tcW w:w="1020" w:type="dxa"/>
            <w:vAlign w:val="bottom"/>
          </w:tcPr>
          <w:p>
            <w:pPr>
              <w:spacing w:after="0"/>
              <w:rPr>
                <w:sz w:val="20"/>
                <w:szCs w:val="20"/>
                <w:color w:val="auto"/>
              </w:rPr>
            </w:pPr>
            <w:r>
              <w:rPr>
                <w:rFonts w:ascii="Arial" w:cs="Arial" w:eastAsia="Arial" w:hAnsi="Arial"/>
                <w:sz w:val="20"/>
                <w:szCs w:val="20"/>
                <w:color w:val="auto"/>
                <w:w w:val="91"/>
              </w:rPr>
              <w:t>Penrose SG</w:t>
            </w:r>
          </w:p>
        </w:tc>
        <w:tc>
          <w:tcPr>
            <w:tcW w:w="740" w:type="dxa"/>
            <w:vAlign w:val="bottom"/>
          </w:tcPr>
          <w:p>
            <w:pPr>
              <w:jc w:val="right"/>
              <w:spacing w:after="0"/>
              <w:rPr>
                <w:sz w:val="20"/>
                <w:szCs w:val="20"/>
                <w:color w:val="auto"/>
              </w:rPr>
            </w:pPr>
            <w:r>
              <w:rPr>
                <w:rFonts w:ascii="Arial" w:cs="Arial" w:eastAsia="Arial" w:hAnsi="Arial"/>
                <w:sz w:val="20"/>
                <w:szCs w:val="20"/>
                <w:color w:val="auto"/>
              </w:rPr>
              <w:t>504509</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677</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748"/>
        </w:trPr>
        <w:tc>
          <w:tcPr>
            <w:tcW w:w="10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50"/>
        </w:trPr>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40" w:type="dxa"/>
            <w:vAlign w:val="bottom"/>
            <w:gridSpan w:val="2"/>
          </w:tcPr>
          <w:p>
            <w:pPr>
              <w:ind w:left="720"/>
              <w:spacing w:after="0"/>
              <w:rPr>
                <w:sz w:val="20"/>
                <w:szCs w:val="20"/>
                <w:color w:val="auto"/>
              </w:rPr>
            </w:pPr>
            <w:r>
              <w:rPr>
                <w:rFonts w:ascii="Arial" w:cs="Arial" w:eastAsia="Arial" w:hAnsi="Arial"/>
                <w:sz w:val="20"/>
                <w:szCs w:val="20"/>
                <w:color w:val="auto"/>
                <w:w w:val="89"/>
              </w:rPr>
              <w:t>Appendix 1</w:t>
            </w:r>
          </w:p>
        </w:tc>
      </w:tr>
      <w:tr>
        <w:trPr>
          <w:trHeight w:val="441"/>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84"/>
              </w:rPr>
              <w:t>Received Received</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87"/>
              </w:rPr>
              <w:t>Notice of Notice of</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Total</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Pattern</w:t>
            </w:r>
          </w:p>
        </w:tc>
        <w:tc>
          <w:tcPr>
            <w:tcW w:w="154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90"/>
              </w:rPr>
              <w:t>Potential Actions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Number</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to have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Pending</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Legal</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Legal</w:t>
            </w:r>
          </w:p>
        </w:tc>
      </w:t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104(d)</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2"/>
              </w:rPr>
              <w:t>Total Dollar</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of</w:t>
            </w:r>
          </w:p>
        </w:tc>
        <w:tc>
          <w:tcPr>
            <w:tcW w:w="158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96"/>
              </w:rPr>
              <w:t>Violation Pattern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1"/>
              </w:rPr>
              <w:t>as of</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7"/>
              </w:rPr>
              <w:t>Actions</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4"/>
              </w:rPr>
              <w:t>Actions</w:t>
            </w:r>
          </w:p>
        </w:tc>
      </w:t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5"/>
              </w:rPr>
              <w:t>Section</w:t>
            </w:r>
          </w:p>
        </w:tc>
        <w:tc>
          <w:tcPr>
            <w:tcW w:w="148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auto"/>
                <w:w w:val="86"/>
              </w:rPr>
              <w:t>Section Citations</w:t>
            </w:r>
          </w:p>
        </w:tc>
        <w:tc>
          <w:tcPr>
            <w:tcW w:w="840" w:type="dxa"/>
            <w:vAlign w:val="bottom"/>
          </w:tcPr>
          <w:p>
            <w:pPr>
              <w:ind w:left="120"/>
              <w:spacing w:after="0" w:line="228" w:lineRule="exact"/>
              <w:rPr>
                <w:sz w:val="20"/>
                <w:szCs w:val="20"/>
                <w:color w:val="auto"/>
              </w:rPr>
            </w:pPr>
            <w:r>
              <w:rPr>
                <w:rFonts w:ascii="Arial" w:cs="Arial" w:eastAsia="Arial" w:hAnsi="Arial"/>
                <w:sz w:val="20"/>
                <w:szCs w:val="20"/>
                <w:b w:val="1"/>
                <w:bCs w:val="1"/>
                <w:color w:val="auto"/>
                <w:w w:val="96"/>
              </w:rPr>
              <w:t>Section</w:t>
            </w:r>
          </w:p>
        </w:tc>
        <w:tc>
          <w:tcPr>
            <w:tcW w:w="660" w:type="dxa"/>
            <w:vAlign w:val="bottom"/>
          </w:tcPr>
          <w:p>
            <w:pPr>
              <w:ind w:left="40"/>
              <w:spacing w:after="0" w:line="228" w:lineRule="exact"/>
              <w:rPr>
                <w:sz w:val="20"/>
                <w:szCs w:val="20"/>
                <w:color w:val="auto"/>
              </w:rPr>
            </w:pPr>
            <w:r>
              <w:rPr>
                <w:rFonts w:ascii="Arial" w:cs="Arial" w:eastAsia="Arial" w:hAnsi="Arial"/>
                <w:sz w:val="20"/>
                <w:szCs w:val="20"/>
                <w:b w:val="1"/>
                <w:bCs w:val="1"/>
                <w:color w:val="auto"/>
                <w:w w:val="82"/>
              </w:rPr>
              <w:t>Section</w:t>
            </w:r>
          </w:p>
        </w:tc>
        <w:tc>
          <w:tcPr>
            <w:tcW w:w="140" w:type="dxa"/>
            <w:vAlign w:val="bottom"/>
          </w:tcPr>
          <w:p>
            <w:pPr>
              <w:spacing w:after="0"/>
              <w:rPr>
                <w:sz w:val="19"/>
                <w:szCs w:val="19"/>
                <w:color w:val="auto"/>
              </w:rPr>
            </w:pPr>
          </w:p>
        </w:tc>
        <w:tc>
          <w:tcPr>
            <w:tcW w:w="106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w w:val="89"/>
              </w:rPr>
              <w:t>Value of</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6"/>
              </w:rPr>
              <w:t>Mining</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under</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2"/>
              </w:rPr>
              <w:t>Last</w:t>
            </w:r>
          </w:p>
        </w:tc>
        <w:tc>
          <w:tcPr>
            <w:tcW w:w="1640" w:type="dxa"/>
            <w:vAlign w:val="bottom"/>
            <w:gridSpan w:val="2"/>
          </w:tcPr>
          <w:p>
            <w:pPr>
              <w:ind w:left="20"/>
              <w:spacing w:after="0" w:line="228" w:lineRule="exact"/>
              <w:rPr>
                <w:sz w:val="20"/>
                <w:szCs w:val="20"/>
                <w:color w:val="auto"/>
              </w:rPr>
            </w:pPr>
            <w:r>
              <w:rPr>
                <w:rFonts w:ascii="Arial" w:cs="Arial" w:eastAsia="Arial" w:hAnsi="Arial"/>
                <w:sz w:val="20"/>
                <w:szCs w:val="20"/>
                <w:b w:val="1"/>
                <w:bCs w:val="1"/>
                <w:color w:val="auto"/>
                <w:w w:val="86"/>
              </w:rPr>
              <w:t>Instituted Resolved</w:t>
            </w:r>
          </w:p>
        </w:tc>
      </w:tr>
      <w:tr>
        <w:trPr>
          <w:trHeight w:val="227"/>
        </w:trPr>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 S&amp;S</w:t>
            </w:r>
          </w:p>
        </w:tc>
        <w:tc>
          <w:tcPr>
            <w:tcW w:w="7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104(b)</w:t>
            </w: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and</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110(b)(2)</w:t>
            </w:r>
          </w:p>
        </w:tc>
        <w:tc>
          <w:tcPr>
            <w:tcW w:w="6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107(a)</w:t>
            </w:r>
          </w:p>
        </w:tc>
        <w:tc>
          <w:tcPr>
            <w:tcW w:w="140" w:type="dxa"/>
            <w:vAlign w:val="bottom"/>
          </w:tcPr>
          <w:p>
            <w:pPr>
              <w:spacing w:after="0"/>
              <w:rPr>
                <w:sz w:val="19"/>
                <w:szCs w:val="19"/>
                <w:color w:val="auto"/>
              </w:rPr>
            </w:pPr>
          </w:p>
        </w:tc>
        <w:tc>
          <w:tcPr>
            <w:tcW w:w="1060" w:type="dxa"/>
            <w:vAlign w:val="bottom"/>
          </w:tcPr>
          <w:p>
            <w:pPr>
              <w:jc w:val="center"/>
              <w:ind w:right="102"/>
              <w:spacing w:after="0" w:line="228" w:lineRule="exact"/>
              <w:rPr>
                <w:sz w:val="20"/>
                <w:szCs w:val="20"/>
                <w:color w:val="auto"/>
              </w:rPr>
            </w:pPr>
            <w:r>
              <w:rPr>
                <w:rFonts w:ascii="Arial" w:cs="Arial" w:eastAsia="Arial" w:hAnsi="Arial"/>
                <w:sz w:val="20"/>
                <w:szCs w:val="20"/>
                <w:b w:val="1"/>
                <w:bCs w:val="1"/>
                <w:color w:val="auto"/>
                <w:w w:val="98"/>
              </w:rPr>
              <w:t>MSHA</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Related</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2"/>
              </w:rPr>
              <w:t>Section</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8"/>
              </w:rPr>
              <w:t>Day of</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3"/>
              </w:rPr>
              <w:t>During</w:t>
            </w:r>
          </w:p>
        </w:tc>
      </w:tr>
      <w:tr>
        <w:trPr>
          <w:trHeight w:val="227"/>
        </w:trPr>
        <w:tc>
          <w:tcPr>
            <w:tcW w:w="960" w:type="dxa"/>
            <w:vAlign w:val="bottom"/>
          </w:tcPr>
          <w:p>
            <w:pPr>
              <w:spacing w:after="0"/>
              <w:rPr>
                <w:sz w:val="19"/>
                <w:szCs w:val="19"/>
                <w:color w:val="auto"/>
              </w:rPr>
            </w:pPr>
          </w:p>
        </w:tc>
        <w:tc>
          <w:tcPr>
            <w:tcW w:w="224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auto"/>
                <w:w w:val="94"/>
              </w:rPr>
              <w:t>MSHA Citations Orders</w:t>
            </w:r>
          </w:p>
        </w:tc>
        <w:tc>
          <w:tcPr>
            <w:tcW w:w="78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1"/>
              </w:rPr>
              <w:t>Orders</w:t>
            </w:r>
          </w:p>
        </w:tc>
        <w:tc>
          <w:tcPr>
            <w:tcW w:w="3500" w:type="dxa"/>
            <w:vAlign w:val="bottom"/>
            <w:gridSpan w:val="5"/>
          </w:tcPr>
          <w:p>
            <w:pPr>
              <w:spacing w:after="0" w:line="228" w:lineRule="exact"/>
              <w:rPr>
                <w:sz w:val="20"/>
                <w:szCs w:val="20"/>
                <w:color w:val="auto"/>
              </w:rPr>
            </w:pPr>
            <w:r>
              <w:rPr>
                <w:rFonts w:ascii="Arial" w:cs="Arial" w:eastAsia="Arial" w:hAnsi="Arial"/>
                <w:sz w:val="20"/>
                <w:szCs w:val="20"/>
                <w:b w:val="1"/>
                <w:bCs w:val="1"/>
                <w:color w:val="auto"/>
                <w:w w:val="87"/>
              </w:rPr>
              <w:t>Violations Orders Assessment/$ Fatalities</w:t>
            </w:r>
          </w:p>
        </w:tc>
        <w:tc>
          <w:tcPr>
            <w:tcW w:w="76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8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104(e)</w:t>
            </w:r>
          </w:p>
        </w:tc>
        <w:tc>
          <w:tcPr>
            <w:tcW w:w="72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c>
          <w:tcPr>
            <w:tcW w:w="8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Period</w:t>
            </w:r>
          </w:p>
        </w:tc>
      </w:tr>
      <w:tr>
        <w:trPr>
          <w:trHeight w:val="250"/>
        </w:trPr>
        <w:tc>
          <w:tcPr>
            <w:tcW w:w="960" w:type="dxa"/>
            <w:vAlign w:val="bottom"/>
          </w:tcPr>
          <w:p>
            <w:pPr>
              <w:ind w:left="120"/>
              <w:spacing w:after="0"/>
              <w:rPr>
                <w:sz w:val="20"/>
                <w:szCs w:val="20"/>
                <w:color w:val="auto"/>
              </w:rPr>
            </w:pPr>
            <w:r>
              <w:rPr>
                <w:rFonts w:ascii="Arial" w:cs="Arial" w:eastAsia="Arial" w:hAnsi="Arial"/>
                <w:sz w:val="20"/>
                <w:szCs w:val="20"/>
                <w:b w:val="1"/>
                <w:bCs w:val="1"/>
                <w:color w:val="auto"/>
                <w:w w:val="98"/>
              </w:rPr>
              <w:t>Location</w:t>
            </w:r>
          </w:p>
        </w:tc>
        <w:tc>
          <w:tcPr>
            <w:tcW w:w="740" w:type="dxa"/>
            <w:vAlign w:val="bottom"/>
          </w:tcPr>
          <w:p>
            <w:pPr>
              <w:jc w:val="right"/>
              <w:ind w:right="162"/>
              <w:spacing w:after="0"/>
              <w:rPr>
                <w:sz w:val="20"/>
                <w:szCs w:val="20"/>
                <w:color w:val="auto"/>
              </w:rPr>
            </w:pPr>
            <w:r>
              <w:rPr>
                <w:rFonts w:ascii="Arial" w:cs="Arial" w:eastAsia="Arial" w:hAnsi="Arial"/>
                <w:sz w:val="20"/>
                <w:szCs w:val="20"/>
                <w:b w:val="1"/>
                <w:bCs w:val="1"/>
                <w:color w:val="auto"/>
              </w:rPr>
              <w:t>ID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6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40" w:type="dxa"/>
            <w:vAlign w:val="bottom"/>
          </w:tcPr>
          <w:p>
            <w:pPr>
              <w:spacing w:after="0"/>
              <w:rPr>
                <w:sz w:val="21"/>
                <w:szCs w:val="21"/>
                <w:color w:val="auto"/>
              </w:rPr>
            </w:pPr>
          </w:p>
        </w:tc>
        <w:tc>
          <w:tcPr>
            <w:tcW w:w="1060" w:type="dxa"/>
            <w:vAlign w:val="bottom"/>
          </w:tcPr>
          <w:p>
            <w:pPr>
              <w:jc w:val="center"/>
              <w:ind w:right="102"/>
              <w:spacing w:after="0"/>
              <w:rPr>
                <w:sz w:val="20"/>
                <w:szCs w:val="20"/>
                <w:color w:val="auto"/>
              </w:rPr>
            </w:pPr>
            <w:r>
              <w:rPr>
                <w:rFonts w:ascii="Arial" w:cs="Arial" w:eastAsia="Arial" w:hAnsi="Arial"/>
                <w:sz w:val="20"/>
                <w:szCs w:val="20"/>
                <w:b w:val="1"/>
                <w:bCs w:val="1"/>
                <w:color w:val="auto"/>
                <w:w w:val="84"/>
              </w:rPr>
              <w:t>Proposed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Portable</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Crushing</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503984</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Portable</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w w:val="94"/>
              </w:rPr>
              <w:t>Recycle 21</w:t>
            </w:r>
          </w:p>
        </w:tc>
        <w:tc>
          <w:tcPr>
            <w:tcW w:w="740" w:type="dxa"/>
            <w:vAlign w:val="bottom"/>
          </w:tcPr>
          <w:p>
            <w:pPr>
              <w:jc w:val="right"/>
              <w:spacing w:after="0"/>
              <w:rPr>
                <w:sz w:val="20"/>
                <w:szCs w:val="20"/>
                <w:color w:val="auto"/>
              </w:rPr>
            </w:pPr>
            <w:r>
              <w:rPr>
                <w:rFonts w:ascii="Arial" w:cs="Arial" w:eastAsia="Arial" w:hAnsi="Arial"/>
                <w:sz w:val="20"/>
                <w:szCs w:val="20"/>
                <w:color w:val="auto"/>
              </w:rPr>
              <w:t>504520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Red</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7"/>
        </w:trPr>
        <w:tc>
          <w:tcPr>
            <w:tcW w:w="96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Canyon</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504136</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Riverbend</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960" w:type="dxa"/>
            <w:vAlign w:val="bottom"/>
          </w:tcPr>
          <w:p>
            <w:pPr>
              <w:spacing w:after="0" w:line="228" w:lineRule="exact"/>
              <w:rPr>
                <w:sz w:val="20"/>
                <w:szCs w:val="20"/>
                <w:color w:val="auto"/>
              </w:rPr>
            </w:pPr>
            <w:r>
              <w:rPr>
                <w:rFonts w:ascii="Arial" w:cs="Arial" w:eastAsia="Arial" w:hAnsi="Arial"/>
                <w:sz w:val="20"/>
                <w:szCs w:val="20"/>
                <w:color w:val="auto"/>
              </w:rPr>
              <w:t>Sand and</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Gravel</w:t>
            </w:r>
          </w:p>
        </w:tc>
        <w:tc>
          <w:tcPr>
            <w:tcW w:w="740" w:type="dxa"/>
            <w:vAlign w:val="bottom"/>
          </w:tcPr>
          <w:p>
            <w:pPr>
              <w:jc w:val="right"/>
              <w:spacing w:after="0"/>
              <w:rPr>
                <w:sz w:val="20"/>
                <w:szCs w:val="20"/>
                <w:color w:val="auto"/>
              </w:rPr>
            </w:pPr>
            <w:r>
              <w:rPr>
                <w:rFonts w:ascii="Arial" w:cs="Arial" w:eastAsia="Arial" w:hAnsi="Arial"/>
                <w:sz w:val="20"/>
                <w:szCs w:val="20"/>
                <w:color w:val="auto"/>
              </w:rPr>
              <w:t>504841</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1"/>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Sokol SG</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0504977</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Spanish</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960" w:type="dxa"/>
            <w:vAlign w:val="bottom"/>
          </w:tcPr>
          <w:p>
            <w:pPr>
              <w:spacing w:after="0" w:line="228" w:lineRule="exact"/>
              <w:rPr>
                <w:sz w:val="20"/>
                <w:szCs w:val="20"/>
                <w:color w:val="auto"/>
              </w:rPr>
            </w:pPr>
            <w:r>
              <w:rPr>
                <w:rFonts w:ascii="Arial" w:cs="Arial" w:eastAsia="Arial" w:hAnsi="Arial"/>
                <w:sz w:val="20"/>
                <w:szCs w:val="20"/>
                <w:color w:val="auto"/>
                <w:w w:val="94"/>
              </w:rPr>
              <w:t>Springs Co</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2</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2600803</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232</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6</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Spec Agg</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7"/>
        </w:trPr>
        <w:tc>
          <w:tcPr>
            <w:tcW w:w="96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Sand and</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500860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Taft Sand</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w w:val="96"/>
              </w:rPr>
              <w:t>and Gravel</w:t>
            </w:r>
          </w:p>
        </w:tc>
        <w:tc>
          <w:tcPr>
            <w:tcW w:w="740" w:type="dxa"/>
            <w:vAlign w:val="bottom"/>
          </w:tcPr>
          <w:p>
            <w:pPr>
              <w:jc w:val="right"/>
              <w:spacing w:after="0"/>
              <w:rPr>
                <w:sz w:val="20"/>
                <w:szCs w:val="20"/>
                <w:color w:val="auto"/>
              </w:rPr>
            </w:pPr>
            <w:r>
              <w:rPr>
                <w:rFonts w:ascii="Arial" w:cs="Arial" w:eastAsia="Arial" w:hAnsi="Arial"/>
                <w:sz w:val="20"/>
                <w:szCs w:val="20"/>
                <w:color w:val="auto"/>
              </w:rPr>
              <w:t>504526</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1"/>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Taft Shop</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504735</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w w:val="92"/>
              </w:rPr>
              <w:t>Three Bells</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960" w:type="dxa"/>
            <w:vAlign w:val="bottom"/>
          </w:tcPr>
          <w:p>
            <w:pPr>
              <w:spacing w:after="0" w:line="228" w:lineRule="exact"/>
              <w:rPr>
                <w:sz w:val="20"/>
                <w:szCs w:val="20"/>
                <w:color w:val="auto"/>
              </w:rPr>
            </w:pPr>
            <w:r>
              <w:rPr>
                <w:rFonts w:ascii="Arial" w:cs="Arial" w:eastAsia="Arial" w:hAnsi="Arial"/>
                <w:sz w:val="20"/>
                <w:szCs w:val="20"/>
                <w:color w:val="auto"/>
              </w:rPr>
              <w:t>Ditullio</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960" w:type="dxa"/>
            <w:vAlign w:val="bottom"/>
          </w:tcPr>
          <w:p>
            <w:pPr>
              <w:spacing w:after="0" w:line="228" w:lineRule="exact"/>
              <w:rPr>
                <w:sz w:val="20"/>
                <w:szCs w:val="20"/>
                <w:color w:val="auto"/>
              </w:rPr>
            </w:pPr>
            <w:r>
              <w:rPr>
                <w:rFonts w:ascii="Arial" w:cs="Arial" w:eastAsia="Arial" w:hAnsi="Arial"/>
                <w:sz w:val="20"/>
                <w:szCs w:val="20"/>
                <w:color w:val="auto"/>
              </w:rPr>
              <w:t>Sand and</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Gravel</w:t>
            </w:r>
          </w:p>
        </w:tc>
        <w:tc>
          <w:tcPr>
            <w:tcW w:w="740" w:type="dxa"/>
            <w:vAlign w:val="bottom"/>
          </w:tcPr>
          <w:p>
            <w:pPr>
              <w:jc w:val="right"/>
              <w:spacing w:after="0"/>
              <w:rPr>
                <w:sz w:val="20"/>
                <w:szCs w:val="20"/>
                <w:color w:val="auto"/>
              </w:rPr>
            </w:pPr>
            <w:r>
              <w:rPr>
                <w:rFonts w:ascii="Arial" w:cs="Arial" w:eastAsia="Arial" w:hAnsi="Arial"/>
                <w:sz w:val="20"/>
                <w:szCs w:val="20"/>
                <w:color w:val="auto"/>
              </w:rPr>
              <w:t>504361</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Hunter</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7"/>
        </w:trPr>
        <w:tc>
          <w:tcPr>
            <w:tcW w:w="960" w:type="dxa"/>
            <w:vAlign w:val="bottom"/>
            <w:shd w:val="clear" w:color="auto" w:fill="CFF0FC"/>
          </w:tcPr>
          <w:p>
            <w:pPr>
              <w:spacing w:after="0" w:line="228" w:lineRule="exact"/>
              <w:rPr>
                <w:sz w:val="20"/>
                <w:szCs w:val="20"/>
                <w:color w:val="auto"/>
              </w:rPr>
            </w:pPr>
            <w:r>
              <w:rPr>
                <w:rFonts w:ascii="Arial" w:cs="Arial" w:eastAsia="Arial" w:hAnsi="Arial"/>
                <w:sz w:val="20"/>
                <w:szCs w:val="20"/>
                <w:color w:val="auto"/>
              </w:rPr>
              <w:t>Cement</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4102820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2,297</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4"/>
        </w:trPr>
        <w:tc>
          <w:tcPr>
            <w:tcW w:w="960" w:type="dxa"/>
            <w:vAlign w:val="bottom"/>
          </w:tcPr>
          <w:p>
            <w:pPr>
              <w:spacing w:after="0" w:line="224" w:lineRule="exact"/>
              <w:rPr>
                <w:sz w:val="20"/>
                <w:szCs w:val="20"/>
                <w:color w:val="auto"/>
              </w:rPr>
            </w:pPr>
            <w:r>
              <w:rPr>
                <w:rFonts w:ascii="Arial" w:cs="Arial" w:eastAsia="Arial" w:hAnsi="Arial"/>
                <w:sz w:val="20"/>
                <w:szCs w:val="20"/>
                <w:color w:val="auto"/>
              </w:rPr>
              <w:t>Midlothian</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960" w:type="dxa"/>
            <w:vAlign w:val="bottom"/>
          </w:tcPr>
          <w:p>
            <w:pPr>
              <w:spacing w:after="0" w:line="228" w:lineRule="exact"/>
              <w:rPr>
                <w:sz w:val="20"/>
                <w:szCs w:val="20"/>
                <w:color w:val="auto"/>
              </w:rPr>
            </w:pPr>
            <w:r>
              <w:rPr>
                <w:rFonts w:ascii="Arial" w:cs="Arial" w:eastAsia="Arial" w:hAnsi="Arial"/>
                <w:sz w:val="20"/>
                <w:szCs w:val="20"/>
                <w:color w:val="auto"/>
              </w:rPr>
              <w:t>Cement</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4"/>
        </w:trPr>
        <w:tc>
          <w:tcPr>
            <w:tcW w:w="960" w:type="dxa"/>
            <w:vAlign w:val="bottom"/>
          </w:tcPr>
          <w:p>
            <w:pPr>
              <w:spacing w:after="0"/>
              <w:rPr>
                <w:sz w:val="20"/>
                <w:szCs w:val="20"/>
                <w:color w:val="auto"/>
              </w:rPr>
            </w:pPr>
            <w:r>
              <w:rPr>
                <w:rFonts w:ascii="Arial" w:cs="Arial" w:eastAsia="Arial" w:hAnsi="Arial"/>
                <w:sz w:val="20"/>
                <w:szCs w:val="20"/>
                <w:color w:val="auto"/>
              </w:rPr>
              <w:t>TXI</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4100071</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4"/>
        </w:trPr>
        <w:tc>
          <w:tcPr>
            <w:tcW w:w="960" w:type="dxa"/>
            <w:vAlign w:val="bottom"/>
            <w:shd w:val="clear" w:color="auto" w:fill="CFF0FC"/>
          </w:tcPr>
          <w:p>
            <w:pPr>
              <w:spacing w:after="0" w:line="224" w:lineRule="exact"/>
              <w:rPr>
                <w:sz w:val="20"/>
                <w:szCs w:val="20"/>
                <w:color w:val="auto"/>
              </w:rPr>
            </w:pPr>
            <w:r>
              <w:rPr>
                <w:rFonts w:ascii="Arial" w:cs="Arial" w:eastAsia="Arial" w:hAnsi="Arial"/>
                <w:sz w:val="20"/>
                <w:szCs w:val="20"/>
                <w:color w:val="auto"/>
              </w:rPr>
              <w:t>Salisbury</w:t>
            </w: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4"/>
        </w:trPr>
        <w:tc>
          <w:tcPr>
            <w:tcW w:w="960" w:type="dxa"/>
            <w:vAlign w:val="bottom"/>
            <w:shd w:val="clear" w:color="auto" w:fill="CFF0FC"/>
          </w:tcPr>
          <w:p>
            <w:pPr>
              <w:spacing w:after="0"/>
              <w:rPr>
                <w:sz w:val="20"/>
                <w:szCs w:val="20"/>
                <w:color w:val="auto"/>
              </w:rPr>
            </w:pPr>
            <w:r>
              <w:rPr>
                <w:rFonts w:ascii="Arial" w:cs="Arial" w:eastAsia="Arial" w:hAnsi="Arial"/>
                <w:sz w:val="20"/>
                <w:szCs w:val="20"/>
                <w:color w:val="auto"/>
              </w:rPr>
              <w:t>Shop</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3101235</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41"/>
        </w:trPr>
        <w:tc>
          <w:tcPr>
            <w:tcW w:w="960" w:type="dxa"/>
            <w:vAlign w:val="bottom"/>
          </w:tcPr>
          <w:p>
            <w:pPr>
              <w:spacing w:after="0"/>
              <w:rPr>
                <w:sz w:val="20"/>
                <w:szCs w:val="20"/>
                <w:color w:val="auto"/>
              </w:rPr>
            </w:pPr>
            <w:r>
              <w:rPr>
                <w:rFonts w:ascii="Arial" w:cs="Arial" w:eastAsia="Arial" w:hAnsi="Arial"/>
                <w:sz w:val="20"/>
                <w:szCs w:val="20"/>
                <w:color w:val="auto"/>
              </w:rPr>
              <w:t>Woodville</w:t>
            </w:r>
          </w:p>
        </w:tc>
        <w:tc>
          <w:tcPr>
            <w:tcW w:w="740" w:type="dxa"/>
            <w:vAlign w:val="bottom"/>
          </w:tcPr>
          <w:p>
            <w:pPr>
              <w:jc w:val="right"/>
              <w:spacing w:after="0"/>
              <w:rPr>
                <w:sz w:val="20"/>
                <w:szCs w:val="20"/>
                <w:color w:val="auto"/>
              </w:rPr>
            </w:pPr>
            <w:r>
              <w:rPr>
                <w:rFonts w:ascii="Arial" w:cs="Arial" w:eastAsia="Arial" w:hAnsi="Arial"/>
                <w:sz w:val="20"/>
                <w:szCs w:val="20"/>
                <w:color w:val="auto"/>
                <w:w w:val="89"/>
              </w:rPr>
              <w:t>3300156</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71"/>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848</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1"/>
        </w:trPr>
        <w:tc>
          <w:tcPr>
            <w:tcW w:w="9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TOTALS</w:t>
            </w:r>
          </w:p>
        </w:tc>
        <w:tc>
          <w:tcPr>
            <w:tcW w:w="740" w:type="dxa"/>
            <w:vAlign w:val="bottom"/>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b w:val="1"/>
                <w:bCs w:val="1"/>
                <w:color w:val="auto"/>
                <w:w w:val="89"/>
              </w:rPr>
              <w:t>45</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b w:val="1"/>
                <w:bCs w:val="1"/>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b w:val="1"/>
                <w:bCs w:val="1"/>
                <w:color w:val="auto"/>
                <w:w w:val="71"/>
              </w:rPr>
              <w:t>1</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b w:val="1"/>
                <w:bCs w:val="1"/>
                <w:color w:val="auto"/>
                <w:w w:val="8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b w:val="1"/>
                <w:bCs w:val="1"/>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45,163</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b w:val="1"/>
                <w:bCs w:val="1"/>
                <w:color w:val="auto"/>
                <w:w w:val="89"/>
              </w:rPr>
              <w:t>0</w:t>
            </w:r>
          </w:p>
        </w:tc>
        <w:tc>
          <w:tcPr>
            <w:tcW w:w="7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b w:val="1"/>
                <w:bCs w:val="1"/>
                <w:color w:val="auto"/>
                <w:w w:val="89"/>
              </w:rPr>
              <w:t>39</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b w:val="1"/>
                <w:bCs w:val="1"/>
                <w:color w:val="auto"/>
                <w:w w:val="89"/>
              </w:rPr>
              <w:t>15</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b w:val="1"/>
                <w:bCs w:val="1"/>
                <w:color w:val="auto"/>
                <w:w w:val="89"/>
              </w:rPr>
              <w:t>10</w:t>
            </w:r>
          </w:p>
        </w:tc>
      </w:tr>
    </w:tbl>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*Of the 39 legal actions pending on June 30, 2017, 25 were contests of citations or orders referenced in Subpart B of CFR Part 2700, which includes contests of citations and orders issued under Section 104 of the Mine Act and contests of imminent danger orders under Section 107 of the Mine Act and 14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4"/>
    </w:lvl>
  </w:abstractNum>
  <w:abstractNum w:abstractNumId="12">
    <w:nsid w:val="79838CB2"/>
    <w:multiLevelType w:val="hybridMultilevel"/>
    <w:lvl w:ilvl="0">
      <w:lvlJc w:val="left"/>
      <w:lvlText w:val="%1."/>
      <w:numFmt w:val="decimal"/>
      <w:start w:val="4"/>
    </w:lvl>
  </w:abstractNum>
  <w:abstractNum w:abstractNumId="13">
    <w:nsid w:val="4353D0CD"/>
    <w:multiLevelType w:val="hybridMultilevel"/>
    <w:lvl w:ilvl="0">
      <w:lvlJc w:val="left"/>
      <w:lvlText w:val="%1."/>
      <w:numFmt w:val="decimal"/>
      <w:start w:val="5"/>
    </w:lvl>
  </w:abstractNum>
  <w:abstractNum w:abstractNumId="14">
    <w:nsid w:val="B03E0C6"/>
    <w:multiLevelType w:val="hybridMultilevel"/>
    <w:lvl w:ilvl="0">
      <w:lvlJc w:val="left"/>
      <w:lvlText w:val="%1."/>
      <w:numFmt w:val="decimal"/>
      <w:start w:val="7"/>
    </w:lvl>
  </w:abstractNum>
  <w:abstractNum w:abstractNumId="15">
    <w:nsid w:val="189A769B"/>
    <w:multiLevelType w:val="hybridMultilevel"/>
    <w:lvl w:ilvl="0">
      <w:lvlJc w:val="left"/>
      <w:lvlText w:val="%1."/>
      <w:numFmt w:val="decimal"/>
      <w:start w:val="8"/>
    </w:lvl>
  </w:abstractNum>
  <w:abstractNum w:abstractNumId="16">
    <w:nsid w:val="54E49EB4"/>
    <w:multiLevelType w:val="hybridMultilevel"/>
    <w:lvl w:ilvl="0">
      <w:lvlJc w:val="left"/>
      <w:lvlText w:val="%1."/>
      <w:numFmt w:val="decimal"/>
      <w:start w:val="9"/>
    </w:lvl>
  </w:abstractNum>
  <w:abstractNum w:abstractNumId="17">
    <w:nsid w:val="71F32454"/>
    <w:multiLevelType w:val="hybridMultilevel"/>
    <w:lvl w:ilvl="0">
      <w:lvlJc w:val="left"/>
      <w:lvlText w:val="%1."/>
      <w:numFmt w:val="decimal"/>
      <w:start w:val="9"/>
    </w:lvl>
  </w:abstractNum>
  <w:abstractNum w:abstractNumId="18">
    <w:nsid w:val="2CA88611"/>
    <w:multiLevelType w:val="hybridMultilevel"/>
    <w:lvl w:ilvl="0">
      <w:lvlJc w:val="left"/>
      <w:lvlText w:val="%1."/>
      <w:numFmt w:val="decimal"/>
      <w:start w:val="10"/>
    </w:lvl>
  </w:abstractNum>
  <w:abstractNum w:abstractNumId="19">
    <w:nsid w:val="836C40E"/>
    <w:multiLevelType w:val="hybridMultilevel"/>
    <w:lvl w:ilvl="0">
      <w:lvlJc w:val="left"/>
      <w:lvlText w:val="%1."/>
      <w:numFmt w:val="decimal"/>
      <w:start w:val="11"/>
    </w:lvl>
  </w:abstractNum>
  <w:abstractNum w:abstractNumId="20">
    <w:nsid w:val="2901D82"/>
    <w:multiLevelType w:val="hybridMultilevel"/>
    <w:lvl w:ilvl="0">
      <w:lvlJc w:val="left"/>
      <w:lvlText w:val="%1."/>
      <w:numFmt w:val="decimal"/>
      <w:start w:val="12"/>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lvl w:ilvl="1">
      <w:lvlJc w:val="left"/>
      <w:lvlText w:val="%2."/>
      <w:numFmt w:val="lowerLetter"/>
      <w:start w:val="1"/>
    </w:lvl>
  </w:abstractNum>
  <w:abstractNum w:abstractNumId="30">
    <w:nsid w:val="614FD4A1"/>
    <w:multiLevelType w:val="hybridMultilevel"/>
    <w:lvl w:ilvl="0">
      <w:lvlJc w:val="left"/>
      <w:lvlText w:val="%1."/>
      <w:numFmt w:val="decimal"/>
      <w:start w:val="5"/>
    </w:lvl>
    <w:lvl w:ilvl="1">
      <w:lvlJc w:val="left"/>
      <w:lvlText w:val="%2."/>
      <w:numFmt w:val="lowerLetter"/>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5"/>
    </w:lvl>
    <w:lvl w:ilvl="1">
      <w:lvlJc w:val="left"/>
      <w:lvlText w:val="%2."/>
      <w:numFmt w:val="lowerLetter"/>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2019-12-29T05:50:20Z</dcterms:created>
  <dcterms:modified xsi:type="dcterms:W3CDTF">2019-12-29T05:50:20Z</dcterms:modified>
</cp:coreProperties>
</file>