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482d8k.htm"/>
      <w:bookmarkStart w:id="1" w:name="ksd1494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North Carolina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001-12744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56-1848578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4123 Parklake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Raleigh, North Carolina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27612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919-781-4550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MLM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of $750 million aggregate principal amount of 4.850% Senior Notes due 2029 (the “2029 Notes”), $1,250 million aggregate principal amount of 5.200% Senior Notes due 2032 (the “2032 Notes”), $1,000 million aggregate principal amount of 5.400% Senior Notes due 2034 (the “2034 Notes”), $1,500 million aggregate principal amount of 5.625% Senior Notes due 2036 (the “2036 Notes”) and $1,000 million aggregate principal amount of 6.375% Senior Notes due 2056 (the “2056 Notes” and, together with the 2029 Notes, 2032 Notes, 2034 Notes and 2036 Notes, the “Notes”) on August 11, 2026, Martin Marietta Materials, Inc. (“Martin Marietta” or the “Company”) entered into an underwriting agreement (the “Underwriting Agreement”) with Goldman Sachs &amp; Co. LLC, J.P. Morgan Securities LLC, Deutsche Bank Securities Inc. and Truist Securities, Inc., as representatives of the several underwriters named therein (the “Underwriters”) pursuant to which the Underwriters agreed to purchase the Notes from the Company. The Underwriting Agreement contains the terms and conditions of the offering and sale of the Notes, indemnification and contribution obligations and other customary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which is attached hereto as Exhibit 1.1 and incorporated by reference herein.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General Instruction B.2. of Form 8-K, the following information and the attached Exhibit 99.1 shall not be deemed to be “filed” for purposes of Section 18 of the Securities Exchange Act of 1934, as amended, nor shall it be deemed incorporated by reference in any filing under the Securities Act of 1933, as amended. Martin Marietta disclaims any intention or obligation to update or revise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Attached as Exhibit 99.1, and incorporated herein by reference, is a copy of Martin Marietta’s press release dated August 12, 2026, announcing the pricing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does not constitute an offer to sell or a solicitation of an offer to buy, nor shall there be any sale of the Notes in any jurisdiction in which such offer, solicitation or sale would be unlawful prior to registration or qualification under the securities laws of any such jurisdiction.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60"/>
        <w:gridCol w:w="1190"/>
        <w:gridCol w:w="120"/>
        <w:gridCol w:w="8569"/>
      </w:tblGrid>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283"/>
              <w:jc w:val="center"/>
              <w:rPr>
                <w:b/>
              </w:rPr>
            </w:pPr>
            <w:r>
              <w:rPr>
                <w:b/>
              </w:rPr>
              <w:t>(d)</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283"/>
              <w:jc w:val="center"/>
              <w:rPr>
                <w:b/>
              </w:rPr>
            </w:pPr>
            <w:r>
              <w:rPr>
                <w:b/>
              </w:rPr>
              <w:t>Exhibit</w:t>
            </w:r>
          </w:p>
        </w:tc>
      </w:tr>
      <w:tr>
        <w:trPr/>
        <w:tc>
          <w:tcPr>
            <w:tcW w:w="266"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8689"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283"/>
              <w:jc w:val="left"/>
              <w:rPr/>
            </w:pPr>
            <w:hyperlink w:anchor="d149482dex11.htm">
              <w:r>
                <w:rPr>
                  <w:rStyle w:val="InternetLink"/>
                </w:rPr>
                <w:t xml:space="preserve">Underwriting Agreement, dated as of August 11, 2026, among Martin Marietta Materials, Inc. and Goldman Sachs &amp; Co. LLC, J.P. Morgan Securities LLC, Deutsche Bank Securities Inc. and Truist Securities, Inc., as representatives of the several underwriters named therein. </w:t>
              </w:r>
            </w:hyperlink>
          </w:p>
        </w:tc>
      </w:tr>
      <w:tr>
        <w:trPr/>
        <w:tc>
          <w:tcPr>
            <w:tcW w:w="266"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8689"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283"/>
              <w:jc w:val="left"/>
              <w:rPr/>
            </w:pPr>
            <w:hyperlink w:anchor="d149482dex991.htm">
              <w:r>
                <w:rPr>
                  <w:rStyle w:val="InternetLink"/>
                </w:rPr>
                <w:t xml:space="preserve">Press release announcing pricing terms of debt offering, dated August 12, 2026. </w:t>
              </w:r>
            </w:hyperlink>
          </w:p>
        </w:tc>
      </w:tr>
      <w:tr>
        <w:trPr/>
        <w:tc>
          <w:tcPr>
            <w:tcW w:w="266"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8689"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569"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78" w:type="dxa"/>
        <w:jc w:val="left"/>
        <w:tblInd w:w="0" w:type="dxa"/>
        <w:tblLayout w:type="fixed"/>
        <w:tblCellMar>
          <w:top w:w="0" w:type="dxa"/>
          <w:left w:w="0" w:type="dxa"/>
          <w:bottom w:w="0" w:type="dxa"/>
          <w:right w:w="0" w:type="dxa"/>
        </w:tblCellMar>
      </w:tblPr>
      <w:tblGrid>
        <w:gridCol w:w="508"/>
        <w:gridCol w:w="804"/>
        <w:gridCol w:w="311"/>
        <w:gridCol w:w="60"/>
        <w:gridCol w:w="650"/>
        <w:gridCol w:w="60"/>
        <w:gridCol w:w="6485"/>
      </w:tblGrid>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pPr>
            <w:r>
              <w:rPr/>
              <w:t>August 12, 2026</w:t>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bidi w:val="0"/>
              <w:spacing w:before="0" w:after="283"/>
              <w:jc w:val="left"/>
              <w:rPr>
                <w:b/>
              </w:rPr>
            </w:pPr>
            <w:r>
              <w:rPr>
                <w:b/>
              </w:rPr>
              <w:t>MARTIN MARIETTA MATERIALS, INC.</w:t>
            </w:r>
          </w:p>
        </w:tc>
      </w:tr>
      <w:tr>
        <w:trPr/>
        <w:tc>
          <w:tcPr>
            <w:tcW w:w="508"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F. Schoen</w:t>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George F. Schoen</w:t>
            </w:r>
          </w:p>
        </w:tc>
      </w:tr>
      <w:tr>
        <w:trPr/>
        <w:tc>
          <w:tcPr>
            <w:tcW w:w="5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2" w:name="d149482dex11.htm"/>
      <w:bookmarkStart w:id="3" w:name="ksd14948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$750,000,000 4.850%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5.200% SENIOR NOTES DUE 2032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5.400% SENIOR NOTES DUE 2034 </w:t>
      </w:r>
    </w:p>
    <w:p>
      <w:pPr>
        <w:pStyle w:val="TextBody"/>
        <w:bidi w:val="0"/>
        <w:spacing w:before="0" w:after="0"/>
        <w:jc w:val="center"/>
        <w:rPr>
          <w:rFonts w:ascii="Times New Roman" w:hAnsi="Times New Roman"/>
          <w:b/>
          <w:sz w:val="20"/>
        </w:rPr>
      </w:pPr>
      <w:r>
        <w:rPr>
          <w:rFonts w:ascii="Times New Roman" w:hAnsi="Times New Roman"/>
          <w:b/>
          <w:sz w:val="20"/>
        </w:rPr>
        <w:t xml:space="preserve">$1,500,000,000 5.625%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6.375% SENIOR NOTES DUE 2056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c/o 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w:t>
      </w:r>
    </w:p>
    <w:p>
      <w:pPr>
        <w:pStyle w:val="TextBody"/>
        <w:bidi w:val="0"/>
        <w:spacing w:before="0" w:after="0"/>
        <w:jc w:val="left"/>
        <w:rPr>
          <w:rFonts w:ascii="Times New Roman" w:hAnsi="Times New Roman"/>
          <w:sz w:val="20"/>
        </w:rPr>
      </w:pPr>
      <w:r>
        <w:rPr>
          <w:rFonts w:ascii="Times New Roman" w:hAnsi="Times New Roman"/>
          <w:sz w:val="20"/>
        </w:rPr>
        <w:t xml:space="preserve">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Martin Marietta Materials, Inc., a North Carolina corporation (the “</w:t>
      </w:r>
      <w:r>
        <w:rPr>
          <w:rFonts w:ascii="Times New Roman" w:hAnsi="Times New Roman"/>
          <w:sz w:val="20"/>
          <w:u w:val="single"/>
        </w:rPr>
        <w:t>Company</w:t>
      </w:r>
      <w:r>
        <w:rPr>
          <w:rFonts w:ascii="Times New Roman" w:hAnsi="Times New Roman"/>
          <w:sz w:val="20"/>
        </w:rPr>
        <w:t xml:space="preserve">”), proposes, subject to the terms and conditions stated herein, to issue and sell to the Underwriters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Underwriters</w:t>
      </w:r>
      <w:r>
        <w:rPr>
          <w:rFonts w:ascii="Times New Roman" w:hAnsi="Times New Roman"/>
          <w:sz w:val="20"/>
        </w:rPr>
        <w:t>”) for whom Goldman Sachs &amp; Co. LLC, J.P. Morgan Securities LLC, Deutsche Bank Securities Inc. and Truist Securities, Inc. are acting as representatives (in such capacity, the “</w:t>
      </w:r>
      <w:r>
        <w:rPr>
          <w:rFonts w:ascii="Times New Roman" w:hAnsi="Times New Roman"/>
          <w:sz w:val="20"/>
          <w:u w:val="single"/>
        </w:rPr>
        <w:t>Representatives</w:t>
      </w:r>
      <w:r>
        <w:rPr>
          <w:rFonts w:ascii="Times New Roman" w:hAnsi="Times New Roman"/>
          <w:sz w:val="20"/>
        </w:rPr>
        <w:t>”) $750,000,000 aggregate principal amount of the Company’s 4.850% Senior Notes due 2029 (the “2029 Notes”), $1,250,000,000 aggregate principal amount of the Company’s 5.200% Senior Notes due 2032 (the “2032 Notes”), $1,000,000,000 aggregate principal amount of the Company’s 5.400% Senior Notes due 2034 (the “2034 Notes”), $1,500,000,000 aggregate principal amount of the Company’s 5.625% Senior Notes due 2036 (the “2036 Notes”) and $1,000,000,000 aggregate principal amount of the Company’s 6.375% Senior Notes due 2056 (the “2056 Notes” and, together with the 2029 Notes, the 2032 Notes, the 2034 Notes and the 2036 Notes, the “</w:t>
      </w:r>
      <w:r>
        <w:rPr>
          <w:rFonts w:ascii="Times New Roman" w:hAnsi="Times New Roman"/>
          <w:sz w:val="20"/>
          <w:u w:val="single"/>
        </w:rPr>
        <w:t>Securities</w:t>
      </w:r>
      <w:r>
        <w:rPr>
          <w:rFonts w:ascii="Times New Roman" w:hAnsi="Times New Roman"/>
          <w:sz w:val="20"/>
        </w:rPr>
        <w:t>”), to be issued under an indenture, dated May 22, 2017 (together with a sixth supplemental indenture by and between the Company and Regions Bank, as trustee (the “</w:t>
      </w:r>
      <w:r>
        <w:rPr>
          <w:rFonts w:ascii="Times New Roman" w:hAnsi="Times New Roman"/>
          <w:sz w:val="20"/>
          <w:u w:val="single"/>
        </w:rPr>
        <w:t>Trustee</w:t>
      </w:r>
      <w:r>
        <w:rPr>
          <w:rFonts w:ascii="Times New Roman" w:hAnsi="Times New Roman"/>
          <w:sz w:val="20"/>
        </w:rPr>
        <w:t>”), dated the Time of Delivery (as defined in Section 2 hereof) establishing the terms of the Securities, the “</w:t>
      </w:r>
      <w:r>
        <w:rPr>
          <w:rFonts w:ascii="Times New Roman" w:hAnsi="Times New Roman"/>
          <w:sz w:val="20"/>
          <w:u w:val="single"/>
        </w:rPr>
        <w:t>Indenture</w:t>
      </w:r>
      <w:r>
        <w:rPr>
          <w:rFonts w:ascii="Times New Roman" w:hAnsi="Times New Roman"/>
          <w:sz w:val="20"/>
        </w:rPr>
        <w:t xml:space="preserv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The Securities are being issued and sold in connection with the Company’s proposed acquisition (the “</w:t>
      </w:r>
      <w:r>
        <w:rPr>
          <w:rFonts w:ascii="Times New Roman" w:hAnsi="Times New Roman"/>
          <w:sz w:val="20"/>
          <w:u w:val="single"/>
        </w:rPr>
        <w:t>Acquisition</w:t>
      </w:r>
      <w:r>
        <w:rPr>
          <w:rFonts w:ascii="Times New Roman" w:hAnsi="Times New Roman"/>
          <w:sz w:val="20"/>
        </w:rPr>
        <w:t>”) of all of the outstanding equity interests in Lhoist North America, Inc. (“</w:t>
      </w:r>
      <w:r>
        <w:rPr>
          <w:rFonts w:ascii="Times New Roman" w:hAnsi="Times New Roman"/>
          <w:sz w:val="20"/>
          <w:u w:val="single"/>
        </w:rPr>
        <w:t>LNA</w:t>
      </w:r>
      <w:r>
        <w:rPr>
          <w:rFonts w:ascii="Times New Roman" w:hAnsi="Times New Roman"/>
          <w:sz w:val="20"/>
        </w:rPr>
        <w:t>”), a Delaware corporation and a wholly-owned subsidiary of LNA Holding SRL (“</w:t>
      </w:r>
      <w:r>
        <w:rPr>
          <w:rFonts w:ascii="Times New Roman" w:hAnsi="Times New Roman"/>
          <w:sz w:val="20"/>
          <w:u w:val="single"/>
        </w:rPr>
        <w:t>LNA Holding</w:t>
      </w:r>
      <w:r>
        <w:rPr>
          <w:rFonts w:ascii="Times New Roman" w:hAnsi="Times New Roman"/>
          <w:sz w:val="20"/>
        </w:rPr>
        <w:t xml:space="preserve">”), a </w:t>
      </w:r>
      <w:r>
        <w:rPr>
          <w:rFonts w:ascii="Times New Roman" w:hAnsi="Times New Roman"/>
          <w:i/>
          <w:sz w:val="20"/>
        </w:rPr>
        <w:t>société à responsabilité limitée</w:t>
      </w:r>
      <w:r>
        <w:rPr>
          <w:rFonts w:ascii="Times New Roman" w:hAnsi="Times New Roman"/>
          <w:sz w:val="20"/>
        </w:rPr>
        <w:t xml:space="preserve"> organized under the laws of Belgium, pursuant to a securities sale agreement, dated as of June 27, 2026 (the “</w:t>
      </w:r>
      <w:r>
        <w:rPr>
          <w:rFonts w:ascii="Times New Roman" w:hAnsi="Times New Roman"/>
          <w:sz w:val="20"/>
          <w:u w:val="single"/>
        </w:rPr>
        <w:t>Sale Agreement</w:t>
      </w:r>
      <w:r>
        <w:rPr>
          <w:rFonts w:ascii="Times New Roman" w:hAnsi="Times New Roman"/>
          <w:sz w:val="20"/>
        </w:rPr>
        <w:t>”), by and between the Company and LNA Holding. Subject to the terms of the Indenture, each of the Securities will be redeemed (the “</w:t>
      </w:r>
      <w:r>
        <w:rPr>
          <w:rFonts w:ascii="Times New Roman" w:hAnsi="Times New Roman"/>
          <w:sz w:val="20"/>
          <w:u w:val="single"/>
        </w:rPr>
        <w:t>Special Mandatory Redemption</w:t>
      </w:r>
      <w:r>
        <w:rPr>
          <w:rFonts w:ascii="Times New Roman" w:hAnsi="Times New Roman"/>
          <w:sz w:val="20"/>
        </w:rPr>
        <w:t>”) at a price equal to 101% of the aggregate principal amount of the notes of the applicable series plus accrued and unpaid interest to, but excluding, the Special Mandatory Redemption Date (as defined in the Indenture), in the event that (i) the Acquisition is not consummated prior to June 15, 2027 or such later date as the parties to the Sale Agreement may agree as the “Extended Long Stop Date” thereunder (the “</w:t>
      </w:r>
      <w:r>
        <w:rPr>
          <w:rFonts w:ascii="Times New Roman" w:hAnsi="Times New Roman"/>
          <w:sz w:val="20"/>
          <w:u w:val="single"/>
        </w:rPr>
        <w:t>SMR Outside Date</w:t>
      </w:r>
      <w:r>
        <w:rPr>
          <w:rFonts w:ascii="Times New Roman" w:hAnsi="Times New Roman"/>
          <w:sz w:val="20"/>
        </w:rPr>
        <w:t xml:space="preserve">”), (ii) the Sale Agreement is terminated at any time prior to the SMR Outside Date (other than as a result of consummating the Acquisition) or (iii) the Company publicly announces at any time prior to the SMR Outside Date that it will no longer pursue the consummation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Warranties and Agreements of the Company</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(a) An “automatic shelf registration statement” as defined under Rule 405 under the Securities Act of 1933, as amended (the “</w:t>
      </w:r>
      <w:r>
        <w:rPr>
          <w:rFonts w:ascii="Times New Roman" w:hAnsi="Times New Roman"/>
          <w:sz w:val="20"/>
          <w:u w:val="single"/>
        </w:rPr>
        <w:t>Securities Act</w:t>
      </w:r>
      <w:r>
        <w:rPr>
          <w:rFonts w:ascii="Times New Roman" w:hAnsi="Times New Roman"/>
          <w:sz w:val="20"/>
        </w:rPr>
        <w:t>”), on Form S-3 (File No. 333-293581) in respect of the Securities has been filed with the Securities and Exchange Commission (the “</w:t>
      </w:r>
      <w:r>
        <w:rPr>
          <w:rFonts w:ascii="Times New Roman" w:hAnsi="Times New Roman"/>
          <w:sz w:val="20"/>
          <w:u w:val="single"/>
        </w:rPr>
        <w:t>Commission</w:t>
      </w:r>
      <w:r>
        <w:rPr>
          <w:rFonts w:ascii="Times New Roman" w:hAnsi="Times New Roman"/>
          <w:sz w:val="20"/>
        </w:rPr>
        <w:t>”) not earlier than three years prior to the date of this Agreement; such registration statement, and any post-effective amendment thereto, became effective on filing; no stop order suspending the effectiveness of such registration statement or any part thereof has been issued and no proceeding for that purpose has been initiated or threatened by the Commission, and no notice of objection of the Commission to the use of such registration statement or any post-effective amendment thereto pursuant to Rule 401(g)(2) under the Securities Act has been received by the Company; the various parts of such registration statement, including all exhibits thereto (other than the Statement of Eligibility and Qualification on Form T-1) and including any prospectus supplement relating to the Securities that is filed with the Commission pursuant to Rule 424(b) under the Securities Act and deemed by Rule 430B under the Securities Act to be part of such registration statement, each as amended at the time such part of the registration statement became effective, are hereinafter collectively called the “</w:t>
      </w:r>
      <w:r>
        <w:rPr>
          <w:rFonts w:ascii="Times New Roman" w:hAnsi="Times New Roman"/>
          <w:sz w:val="20"/>
          <w:u w:val="single"/>
        </w:rPr>
        <w:t>Registration Statement</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base prospectus filed as part of the Registration Statement, in the form in which it was most recently filed with the Commission prior to or on the date of this Agreement, is hereinafter called the “</w:t>
      </w:r>
      <w:r>
        <w:rPr>
          <w:rFonts w:ascii="Times New Roman" w:hAnsi="Times New Roman"/>
          <w:sz w:val="20"/>
          <w:u w:val="single"/>
        </w:rPr>
        <w:t>Base Prospectus</w:t>
      </w:r>
      <w:r>
        <w:rPr>
          <w:rFonts w:ascii="Times New Roman" w:hAnsi="Times New Roman"/>
          <w:sz w:val="20"/>
        </w:rPr>
        <w:t>”; the final prospectus supplement to such prospectus (including the Base Prospectus) relating to the Securities, in the form filed or to be filed with the Commission pursuant to Rule 424(b) under the Securities Act, is hereinafter called the “</w:t>
      </w:r>
      <w:r>
        <w:rPr>
          <w:rFonts w:ascii="Times New Roman" w:hAnsi="Times New Roman"/>
          <w:sz w:val="20"/>
          <w:u w:val="single"/>
        </w:rPr>
        <w:t>Prospectus</w:t>
      </w:r>
      <w:r>
        <w:rPr>
          <w:rFonts w:ascii="Times New Roman" w:hAnsi="Times New Roman"/>
          <w:sz w:val="20"/>
        </w:rPr>
        <w:t>”; any preliminary prospectus (including any preliminary prospectus supplement) relating to the Securities, in the form filed or to be filed with the Commission pursuant to Rule 424(b), is hereinafter called a “</w:t>
      </w:r>
      <w:r>
        <w:rPr>
          <w:rFonts w:ascii="Times New Roman" w:hAnsi="Times New Roman"/>
          <w:sz w:val="20"/>
          <w:u w:val="single"/>
        </w:rPr>
        <w:t>Preliminary Prospectus</w:t>
      </w:r>
      <w:r>
        <w:rPr>
          <w:rFonts w:ascii="Times New Roman" w:hAnsi="Times New Roman"/>
          <w:sz w:val="20"/>
        </w:rPr>
        <w:t>”; the Base Prospectus, as amended or supplemented immediately prior to the Applicable Time (as defined in Section 1(e) hereof), including, without limitation, any Preliminary Prospectus relating to the Securities, is hereinafter called the “</w:t>
      </w:r>
      <w:r>
        <w:rPr>
          <w:rFonts w:ascii="Times New Roman" w:hAnsi="Times New Roman"/>
          <w:sz w:val="20"/>
          <w:u w:val="single"/>
        </w:rPr>
        <w:t>Pricing Prospectus</w:t>
      </w:r>
      <w:r>
        <w:rPr>
          <w:rFonts w:ascii="Times New Roman" w:hAnsi="Times New Roman"/>
          <w:sz w:val="20"/>
        </w:rPr>
        <w:t>”; any reference in this Agreement to the Registration Statement, the Base Prospectus, any Preliminary Prospectus, the Pricing Prospectus or the Prospectus shall be deemed to refer to and include the documents incorporated by reference therein that were filed under the Securities Exchange Act of 1934, as amended (the “</w:t>
      </w:r>
      <w:r>
        <w:rPr>
          <w:rFonts w:ascii="Times New Roman" w:hAnsi="Times New Roman"/>
          <w:sz w:val="20"/>
          <w:u w:val="single"/>
        </w:rPr>
        <w:t>Exchange Act</w:t>
      </w:r>
      <w:r>
        <w:rPr>
          <w:rFonts w:ascii="Times New Roman" w:hAnsi="Times New Roman"/>
          <w:sz w:val="20"/>
        </w:rPr>
        <w:t>”), or the Securities Act, as the case may be, and the rules and regulations of the Commission thereunder, on or before the date of this Agreement or the issue date of any such prospectus; any reference to “amend,” “amendment,” “supplement” or similar terms with respect to the Registration Statement, the Base Prospectus, any Preliminary Prospectus, the Pricing Prospectus or the Prospectus shall be deemed to refer to and include any documents filed under the Exchange Act or the Securities Act, as the case may be, after the date of this Agreement or the issue date of any such prospectus which are deemed to be incorporated by reference therein; and any “issuer free writing prospectus” (as defined in Rule 433 under the Securities Act) relating to the Securities that (x) is required to be filed with the Commission by the Company or (y) is exempt from filing pursuant to Rule 433(d)(5)(i) under the Securities Act because it contains a description of the Securities or the offering that does not reflect the final terms is hereinafter called an “</w:t>
      </w:r>
      <w:r>
        <w:rPr>
          <w:rFonts w:ascii="Times New Roman" w:hAnsi="Times New Roman"/>
          <w:sz w:val="20"/>
          <w:u w:val="single"/>
        </w:rPr>
        <w:t>Issuer 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documents incorporated by reference in the Registration Statement, the Pricing Prospectus and the Prospectus (including, without limitation, the interactive data in eXtensible Business Reporting Language (“</w:t>
      </w:r>
      <w:r>
        <w:rPr>
          <w:rFonts w:ascii="Times New Roman" w:hAnsi="Times New Roman"/>
          <w:sz w:val="20"/>
          <w:u w:val="single"/>
        </w:rPr>
        <w:t>XBRL</w:t>
      </w:r>
      <w:r>
        <w:rPr>
          <w:rFonts w:ascii="Times New Roman" w:hAnsi="Times New Roman"/>
          <w:sz w:val="20"/>
        </w:rPr>
        <w:t xml:space="preserve">”) included or incorporated by reference therein), when they were filed with the Commission or became effective, as the case may be, conformed in all material respects to the requirements of the Exchange Act or the Securities Act, as the case may be, and the rules and regulations of the Commission thereunder; none of such documents contained an untrue statement of a material fact or omitted to state a material fact required to be stated therein or necessary to make the statements therein not misleading; and any further documents so filed and incorporated by reference in the Registration Statement, the Pricing Prospectus and the Prospectus (including, without limitation, the interactive data in XBRL included or incorporated by reference therein), when such documents are filed with the Commission or become effective, as the case may be, will conform in all material respects to the requirements of the Exchange Act or the Securities Act, as applicable, and the rules and regulations of the Commission thereunder and will not contain an untrue statement of a material fact or omit to state a material fact required to be stated therein or necessary to make the statements therein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statements or omissions made therein in reliance upon and in conformity with information furnished in writing to the Company by any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Registration Statement, any Preliminary Prospectus and the Pricing Prospectus conform, and the Prospectus and any post-effective amendments or supplements to the Registration Statement or the Prospectus will conform, in all material respects, to the requirements of the Securities Act and the Trust Indenture Act of 1939, as amended (the “</w:t>
      </w:r>
      <w:r>
        <w:rPr>
          <w:rFonts w:ascii="Times New Roman" w:hAnsi="Times New Roman"/>
          <w:sz w:val="20"/>
          <w:u w:val="single"/>
        </w:rPr>
        <w:t>Trust Indenture Act</w:t>
      </w:r>
      <w:r>
        <w:rPr>
          <w:rFonts w:ascii="Times New Roman" w:hAnsi="Times New Roman"/>
          <w:sz w:val="20"/>
        </w:rPr>
        <w:t xml:space="preserve">”), and the rules and regulations of the Commission thereunder; and (i) the Registration Statement and any amendment thereto, as of their applicable effective dates relating to the Securities, did not, and at the Time of Delivery will not, contain any untrue statement of material fact or omit to state a material fact required to be stated therein or necessary to make the statements therein not misleading, (ii) any Preliminary Prospectus, the Pricing Prospectus, the Prospectus and any amendment or supplement thereto, as of their respective issue dates, did not, and at the Time of Delivery will not, contain any untrue statement of a material fact or omit to state a material fact necessary in order to make the statements therein, in the light of the circumstances under which they were made, not misleading and (iii) the Prospectus and the Prospectus as amended or supplemented, if applicable, at the Time of Delivery (as defined in Section 2 hereof), will not contain any untrue statement of a material fact or omit to state a material fact necessary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representations and warranties set forth in this paragraph shall not apply to any statements or omissions made therein in reliance upon and in conformity with information furnished in writing to the Company by any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(d) The Company has been, and continues to be, a “well-known seasoned issuer” (as defined in Rule 405 under the Securities Act), and has not been, and continues not to be, an “ineligible issuer” (as such term is defined in Rule 405 under the Securities Act), in each case as from the earliest time after the filing of the Registration Statement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Securities; </w:t>
      </w:r>
    </w:p>
    <w:p>
      <w:pPr>
        <w:pStyle w:val="TextBody"/>
        <w:bidi w:val="0"/>
        <w:spacing w:before="240" w:after="0"/>
        <w:jc w:val="left"/>
        <w:rPr>
          <w:rFonts w:ascii="Times New Roman" w:hAnsi="Times New Roman"/>
          <w:sz w:val="20"/>
        </w:rPr>
      </w:pPr>
      <w:r>
        <w:rPr>
          <w:rFonts w:ascii="Times New Roman" w:hAnsi="Times New Roman"/>
          <w:sz w:val="20"/>
        </w:rPr>
        <w:t>(e) As used herein, the “</w:t>
      </w:r>
      <w:r>
        <w:rPr>
          <w:rFonts w:ascii="Times New Roman" w:hAnsi="Times New Roman"/>
          <w:sz w:val="20"/>
          <w:u w:val="single"/>
        </w:rPr>
        <w:t>Pricing Disclosure Package</w:t>
      </w:r>
      <w:r>
        <w:rPr>
          <w:rFonts w:ascii="Times New Roman" w:hAnsi="Times New Roman"/>
          <w:sz w:val="20"/>
        </w:rPr>
        <w:t xml:space="preserve">” means, collectively, (i) the Pricing Prospectus, (ii) the Pricing Term Sheet prepared and filed pursuant to Section 5(b) hereof and (iii) any other Issuer Free Writing Prospectus that is identified on </w:t>
      </w:r>
      <w:r>
        <w:rPr>
          <w:rFonts w:ascii="Times New Roman" w:hAnsi="Times New Roman"/>
          <w:sz w:val="20"/>
          <w:u w:val="single"/>
        </w:rPr>
        <w:t>Schedule II</w:t>
      </w:r>
      <w:r>
        <w:rPr>
          <w:rFonts w:ascii="Times New Roman" w:hAnsi="Times New Roman"/>
          <w:sz w:val="20"/>
        </w:rPr>
        <w:t xml:space="preserve"> hereto; and the “</w:t>
      </w:r>
      <w:r>
        <w:rPr>
          <w:rFonts w:ascii="Times New Roman" w:hAnsi="Times New Roman"/>
          <w:sz w:val="20"/>
          <w:u w:val="single"/>
        </w:rPr>
        <w:t>Applicable Time</w:t>
      </w:r>
      <w:r>
        <w:rPr>
          <w:rFonts w:ascii="Times New Roman" w:hAnsi="Times New Roman"/>
          <w:sz w:val="20"/>
        </w:rPr>
        <w:t xml:space="preserve">” means 4:20 p.m. (New York City time) on the date of this Agreement. The Pricing Disclosure Package, as of the Applicable Time, did not contain any untrue statement of a material fact or omit to state any material fact necessary in order to make the statements therein, in the light of the circumstances under which they were made, not misleading; and each Issuer Free Writing Prospectus identified on </w:t>
      </w:r>
      <w:r>
        <w:rPr>
          <w:rFonts w:ascii="Times New Roman" w:hAnsi="Times New Roman"/>
          <w:sz w:val="20"/>
          <w:u w:val="single"/>
        </w:rPr>
        <w:t>Schedule II</w:t>
      </w:r>
      <w:r>
        <w:rPr>
          <w:rFonts w:ascii="Times New Roman" w:hAnsi="Times New Roman"/>
          <w:sz w:val="20"/>
        </w:rPr>
        <w:t xml:space="preserve"> hereto does not conflict with the information contained in the Registration Statement, the Pricing Prospectus or the Prospectus;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representations and warranties set forth in this paragraph shall not apply to statements or omissions made therein in reliance upon and in conformity with information furnished in writing to the Company by any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made, and, without the prior written consent of the Representatives, will not make, any offer relating to the Securities that would constitute an “issuer free writing prospectus” (as defined in Rule 433 under the Securities Act) required to be filed by the Company with the Commission or retained by the Company pursuant to Rule 433 under the Securities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prior written consent of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have been given with respect to the Issuer Free Writing Prospectuses identified on </w:t>
      </w:r>
      <w:r>
        <w:rPr>
          <w:rFonts w:ascii="Times New Roman" w:hAnsi="Times New Roman"/>
          <w:sz w:val="20"/>
          <w:u w:val="single"/>
        </w:rPr>
        <w:t>Schedule II</w:t>
      </w:r>
      <w:r>
        <w:rPr>
          <w:rFonts w:ascii="Times New Roman" w:hAnsi="Times New Roman"/>
          <w:sz w:val="20"/>
        </w:rPr>
        <w:t xml:space="preserve"> hereto or used prior to the date hereof with the approval of the Representatives; and the Company has complied, and will comply, with the requirements of Rule 433 under the Securities Act applicable to any such Issuer Free Writing Prospectus, including in respect of timely filing with the Commission, legending and record-keeping; </w:t>
      </w:r>
    </w:p>
    <w:p>
      <w:pPr>
        <w:pStyle w:val="TextBody"/>
        <w:bidi w:val="0"/>
        <w:spacing w:before="240" w:after="0"/>
        <w:jc w:val="left"/>
        <w:rPr>
          <w:rFonts w:ascii="Times New Roman" w:hAnsi="Times New Roman"/>
          <w:sz w:val="20"/>
        </w:rPr>
      </w:pPr>
      <w:r>
        <w:rPr>
          <w:rFonts w:ascii="Times New Roman" w:hAnsi="Times New Roman"/>
          <w:sz w:val="20"/>
        </w:rPr>
        <w:t>(g) All of the outstanding shares of capital stock of the Company and shares of capital stock or other ownership interests of those subsidiaries of the Company that are “significant subsidiaries” within the meaning of Rule 405 under the Securities Act (each, a “</w:t>
      </w:r>
      <w:r>
        <w:rPr>
          <w:rFonts w:ascii="Times New Roman" w:hAnsi="Times New Roman"/>
          <w:sz w:val="20"/>
          <w:u w:val="single"/>
        </w:rPr>
        <w:t>Significant Subsidiary</w:t>
      </w:r>
      <w:r>
        <w:rPr>
          <w:rFonts w:ascii="Times New Roman" w:hAnsi="Times New Roman"/>
          <w:sz w:val="20"/>
        </w:rPr>
        <w:t xml:space="preserve">”) have been, and at the Time of Delivery will be, duly authorized and validly issued and are fully paid and, with respect to shares of capital stock, non-assessable, and were not issued in violation of any preemptive or similar rights. As of the date hereof, all of the outstanding shares of capital stock or other ownership interests of each of the Significant Subsidiaries are, and at the Time of Delivery will be, free and clear of all liens, encumbrances, equities and claims or restrictions on transferability (other than those imposed by the Securities Act and the securities or “Blue Sky” laws of certain jurisdictions) or voting. Except as set forth in the Registration Statement, the Pricing Disclosure Package and the Prospectus, there are no (i) options, warrants or other rights to purchase, (ii) agreements or other obligations to issue or (iii) other rights to convert any obligation into, or exchange any securities for, shares of capital stock of the Company or shares of capital stock or other ownership interests of any of the Significant Subsidiaries outstanding; </w:t>
      </w:r>
    </w:p>
    <w:p>
      <w:pPr>
        <w:pStyle w:val="TextBody"/>
        <w:bidi w:val="0"/>
        <w:spacing w:before="240" w:after="0"/>
        <w:jc w:val="left"/>
        <w:rPr>
          <w:rFonts w:ascii="Times New Roman" w:hAnsi="Times New Roman"/>
          <w:sz w:val="20"/>
        </w:rPr>
      </w:pPr>
      <w:r>
        <w:rPr>
          <w:rFonts w:ascii="Times New Roman" w:hAnsi="Times New Roman"/>
          <w:sz w:val="20"/>
        </w:rPr>
        <w:t>(h) Each of the Company and its subsidiaries (i) has been duly incorporated or formed, is validly existing and in good standing (where such concept is recognized in the relevant jurisdiction) under the laws of its respective jurisdiction of incorporation or formation, (ii) has all requisite power and authority to own its properties and conduct its business as now conducted and as described in the Registration Statement, Pricing Disclosure Package and the Prospectus and (iii) is duly qualified to do business in all other jurisdictions where the ownership or leasing of its properties or the conduct of its business requires such qualification, except where the failure to satisfy any of the conditions of clause (i) with respect to the Company’s subsidiaries or clause (ii) or (iii) with respect to the Company or its subsidiaries would not, individually or in the aggregate, have a material adverse effect on the general affairs, management, business, financial position, results of operations or prospects of the Company and its subsidiaries taken as a whole or on the performance by the Company of its obligations under the Securities (any such event, a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Company has all requisite corporate power and authority to execute, deliver and perform each of its obligations under the Securities. The Securities, when issued, will be in the form contemplated by the Indenture. The Securities have been duly and validly authorized by the Company and, when executed by the Company and authenticated by the Trustee in accordance with the provisions of the Indenture and when delivered to and paid for by the Underwriters in accordance with the terms of this Agreement, will constitute valid and legally binding obligations of the Company, entitled to the benefits of the Indenture, and enforceable against the Company in accordance with their terms, except that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 may be brought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has all requisite corporate power and authority to execute, deliver and perform its obligations under the Indenture. The Indenture has been duly and validly authorized by the Company and duly qualified under the Trust Indenture Act, and, when executed and delivered by the Company (assuming the due authorization, execution and delivery by the Trustee) will constitute a valid and legally binding agreement of the Company, enforceable against the Company in accordance with its terms, except that the enforcement thereof may be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(k) The Company has all requisite corporate power and authority to execute, deliver and perform its obligations under this Agreement and to consummate the transactions contemplated hereby. This Agreement and the consummation by the Company of the transactions contemplated hereby have been duly and validly authorized by the Company. This Agreement has been duly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(l) Assuming the accuracy of and, subject to compliance by the Underwriters with the representations and warranties set forth in Section 4 hereof, no consent, approval, authorization or order of any court or governmental agency or body, or of any third party is required for the issuance and sale by the Company of the Securities to the Underwriters or the consummation by the Company of the other transactions contemplated hereby, except for the registration of the Securities under the Securities Act, the qualification of the Indenture under the Trust Indenture Act and such consents, approvals, authorizations, orders and registrations or qualifications (x) as may be required under applicable state securities laws in connection with the purpose and distribution of the Securities by the Underwriters or (y) the failure of which to obtain, or the absence of which, would not, individually or in the aggregate, result in a Material Adverse Effect. None of the Company or its subsidiaries is (i) in violation of its certificate of incorporation or bylaws (or similar organizational document), (ii) in breach or violation of any statute, judgment, decree, order, rule or regulation applicable to any of them or any of their respective properties or assets or (iii) in breach of or default under (nor has any event occurred that, with notice or passage of time or both, would constitute a default under) or in violation of any of the terms or provisions of any indenture, mortgage, loan agreement or other agreement or instrument to which any of them is a party or to which any of them or their respective properties or assets is subject (collectively, “</w:t>
      </w:r>
      <w:r>
        <w:rPr>
          <w:rFonts w:ascii="Times New Roman" w:hAnsi="Times New Roman"/>
          <w:sz w:val="20"/>
          <w:u w:val="single"/>
        </w:rPr>
        <w:t>Contracts</w:t>
      </w:r>
      <w:r>
        <w:rPr>
          <w:rFonts w:ascii="Times New Roman" w:hAnsi="Times New Roman"/>
          <w:sz w:val="20"/>
        </w:rPr>
        <w:t xml:space="preserve">”), except, in the case of clauses (ii) and (iii), for any such breach, default, violation or event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The execution, delivery and performance by the Company of this Agreement, the Indenture and the Securities and the consummation by the Company of the transactions contemplated hereby and thereby (including, without limitation, the issuance and sale of the Securities to the Underwriters) will not conflict with or constitute or result in a breach of or a default under (or an event that with notice or passage of time or both would constitute a default under) or violation of any of (i) the terms or provisions of any Contract, except for any such conflict, breach, violation, default or event that would not, individually or in the aggregate, have a Material Adverse Effect, (ii) the certificate of incorporation or bylaws (or similar organizational document) of the Company or any of its Significant Subsidiaries or (iii) (assuming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all applicable state securities or “Blue Sky” laws and assuming the accuracy of the representations and warranties of the Underwriters in Section 4 hereof) any statute, judgment, decree, order, rule or regulation applicable to the Company or any of its subsidiaries or any of their respective properties or assets, except for any such conflict, breach, violation, default or event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The audited consolidated financial statements of the Company and the related notes thereto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results of operations and cash flows of the Company and its subsidiaries at the dates and for the periods to which they relate and have been prepared in accordance with U.S. generally accepted accounting principles applied on a consistent basis, except as otherwise stated therein. The summary financial and statistical data of the Company in the Registration Statement, the Pricing Disclosure Package and the Prospectus present fairly in all material respects the information shown therein and have been prepared and compiled on a basis consistent with the audited financial statements included therein, except as otherwise stated therein. To the Company’s knowledge, the audited consolidated financial statements of LNA and the related notes thereto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results of operations and cash flows of the Company and its subsidiaries at the dates and for the periods to which they relate and have been prepared in accordance with U.S. generally accepted accounting principles applied on a consistent basis, except as otherwise stated therein. To the Company’s knowledge, the summary financial and statistical data of LNA in the Registration Statement, the Pricing Disclosure Package and the Prospectus present fairly in all material respects the information shown therein and have been prepared and compiled on a basis consistent with the audited financial statements included therein, except as otherwise stated therein. The pro forma financial information and the related notes thereto included or incorporated by reference in the Registration Statement, the Pricing Disclosure Package and the Prospectus comply in all material respects with the applicable requirements of the Securities Act and the Exchange Act, as applicable, and the assumptions underlying such pro forma financial information are reasonable and are set forth in each of the Registration Statement, the Pricing Disclosure Package and the Prospectus. Except as included or incorporated by reference therein, no historical or pro forma financial statements are required to be included or incorporated by reference in the Registration Statement, the Pricing Disclosure Package and the Prospectus. The interactive data in XBRL included or incorporated by reference in the Registration Statement, the Pricing Disclosure Package and the Prospectus fairly presents the information called for in all material respects and is prepared in accordance with the Commission’s rules and guidelines applicable thereto. PricewaterhouseCoopers LLP, who has certified certain financial statements of the Company and its subsidiaries, is an independent public accounting firm within the meaning of the Securities Act and the rules and regulations promulgated thereunder. Forvis Mazars, LLP, who has certified certain financial statements of LNA and its subsidiaries, is, to the Company’s knowledge, an independent auditor with respect to LNA as required by the American Institute of Certified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Except as described in the Registration Statement, the Pricing Disclosure Package and the Prospectus, there is not pending or, to the knowledge of the Company, threatened any action, suit, proceeding, inquiry or investigation to which the Company or any of its subsidiaries is a party, or to which the property or assets of the Company or any of its subsidiaries are subject, before or brought by any court, arbitrator or governmental agency or body, the adverse determination of which is reasonably likely to occur, and if so determined adversely to the Company or any of its subsidiaries, would, individually or in the aggregate, be reasonably likely to have a Material Adverse Effect or restrain, enjoin or prevent the consummation of the issuance or sale of the Securities to be sold hereunder or the consummation of the other transactions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(p) Each of the Company and its subsidiaries possesses all licenses, permits, certificates, consents, orders, approvals and other authorizations from, and has made all declarations and filings with, all federal, state, local and other governmental authorities, all self-regulatory organizations and all courts and other tribunals, presently required or necessary to own or lease, as the case may be, and to operate its respective properties and to carry on its respective businesses as now or proposed to be conducted as set forth in the Registration Statement, the Pricing Disclosure Package and the Prospectus (“</w:t>
      </w:r>
      <w:r>
        <w:rPr>
          <w:rFonts w:ascii="Times New Roman" w:hAnsi="Times New Roman"/>
          <w:sz w:val="20"/>
          <w:u w:val="single"/>
        </w:rPr>
        <w:t>Permits</w:t>
      </w:r>
      <w:r>
        <w:rPr>
          <w:rFonts w:ascii="Times New Roman" w:hAnsi="Times New Roman"/>
          <w:sz w:val="20"/>
        </w:rPr>
        <w:t xml:space="preserve">”), except where the failure to obtain such Permits would not, individually or in the aggregate, have a Material Adverse Effect. Each of the Company and its subsidiaries has fulfilled and performed all of its obligations with respect to such Permits and no event has occurred that allows, or after notice or lapse of time would allow, revocation or termination thereof or results in any other material impairment of the rights of the holder of any such Permit, except where any such failure or event would not, individually or in the aggregate, have a Material Adverse Effect. None of the Company or its subsidiaries has received any notice of any proceeding relating to revocation or modification of any such Permit, except as described in the Registration Statement, the Pricing Disclosure Package and the Prospectus and except where such revocation or modification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(q) Except as described in the Registration Statement, the Pricing Disclosure Package and the Prospectus, since the date of the most recent financial statements of the Company included or incorporated by reference in the Registration Statement, the Pricing Disclosure Package and the Prospectus, (i) none of the Company or its subsidiaries has incurred any liabilities or obligations, direct or contingent, or entered into or agreed to enter into any transactions or contracts (written or oral) not in the ordinary course of business, which liabilities, obligations, transactions or contracts would, individually or in the aggregate, be material to the general affairs, management, business, financial position, results of operations or prospects of the Company and its subsidiaries, taken as a whole, (ii) the Company has not purchased any of its outstanding capital stock, nor declared, paid or otherwise made any dividend or distribution of any kind on its capital stock, except such quarterly dividends made in the ordinary course of the Company’s business, and (iii) there has not been any change in the capital stock or long-term indebtedness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(r) Each of the Company and its subsidiaries has filed all necessary federal, state and foreign income and franchise tax returns, except where the failure to so file such returns would not, individually or in the aggregate, have a Material Adverse Effect, and has paid all taxes shown as due thereon. Other than tax deficiencies that the Company or any subsidiary is contesting in good faith and for which the Company or such subsidiary has provided adequate reserves, there is no tax deficiency that has been asserted against the Company or any of its subsidiaries that would,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The statistical and market-related data included or incorporated by reference in the Registration Statement, the Pricing Disclosure Package and the Prospectus are based on or derived from sources that the Company and its subsidiaries believe to be reliable and accurate; </w:t>
      </w:r>
    </w:p>
    <w:p>
      <w:pPr>
        <w:pStyle w:val="TextBody"/>
        <w:bidi w:val="0"/>
        <w:spacing w:before="240" w:after="0"/>
        <w:jc w:val="left"/>
        <w:rPr>
          <w:rFonts w:ascii="Times New Roman" w:hAnsi="Times New Roman"/>
          <w:sz w:val="20"/>
        </w:rPr>
      </w:pPr>
      <w:r>
        <w:rPr>
          <w:rFonts w:ascii="Times New Roman" w:hAnsi="Times New Roman"/>
          <w:sz w:val="20"/>
        </w:rPr>
        <w:t>(t) Except as would not, individually or in the aggregate, have a Material Adverse Effect, (i) the Company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as required in connection with, the operation of the business of the Company and its subsidiaries as currently conducted, (ii) the Company and its subsidiaries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in connection with their businesses, (iii) except for any breaches, violations, outages or unauthorized uses of or accesses to IT Systems or Personal Data that have been remedied without material cost or liability or the duty to notify any other person, to the knowledge of the Company there have not been any breaches, violations, outages or unauthorized uses of or accesses to IT Systems or Personal Data, or any incidents under internal review or investigations relating to the same and (iv)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(u) None of the Company, its subsidiaries or any agent acting on their behalf has taken or will take any action that might cause this Agreement or the sale of the Securities to violate Regulation T, U or X of the Board of Governors of the Federal Reserve System, in each case as in effect, or as the same may hereafter be in effect, at the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(v) Each of the Company and its subsidiaries has good and marketable title to all real property and good title to all personal property described in the Registration Statement, the Pricing Disclosure Package and the Prospectus as being owned by it and good and marketable title to a leasehold estate in the real and personal property described in the Registration Statement, the Pricing Disclosure Package and the Prospectus as being leased by it free and clear of all liens, charges, encumbrances or restrictions, except as described in the Registration Statement, the Pricing Disclosure Package and the Prospectus or to the extent the failure to have such title or the existence of such liens, charges, encumbrances or restrictions would not, individually or in the aggregate, have a Material Adverse Effect. The Company and its subsidiaries own or possess adequate licenses or other rights to use all patents, trademarks, service marks, trade names, copyrights and know-how necessary to conduct the businesses now or proposed to be operated by them in all material respects as described in the Registration Statement, the Pricing Disclosure Package and the Prospectus, and none of the Company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has received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(w) Except as described in the Registration Statement, the Pricing Disclosure Package and the Prospectus or as would not, individually or in the aggregate, have a Material Adverse Effect, (A) each of the Company and its subsidiaries is in compliance with, and has not received any notice alleging liability under, applicable Environmental Laws (as defined below), (B) each of the Company and its subsidiaries has made all filings and provided all notices required under any applicable Environmental Law, and has obtained and is in compliance with, all Permits required under any applicable Environmental Laws and each of them is in full force and effect, (C) there is no civil, criminal or administrative action, suit, demand, claim, hearing, notice of violation, investigation, proceeding, notice or demand letter or request for information pending or, to the knowledge of the Company or any of its subsidiaries, threatened against the Company or any of its subsidiaries under any Environmental Law, (D) none of the Company or its subsidiaries has received notice that it has been identified as a potentially responsible party under the Comprehensive Environmental Response, Compensation and Liability Act of 1980, as amended (“</w:t>
      </w:r>
      <w:r>
        <w:rPr>
          <w:rFonts w:ascii="Times New Roman" w:hAnsi="Times New Roman"/>
          <w:sz w:val="20"/>
          <w:u w:val="single"/>
        </w:rPr>
        <w:t>CERCLA</w:t>
      </w:r>
      <w:r>
        <w:rPr>
          <w:rFonts w:ascii="Times New Roman" w:hAnsi="Times New Roman"/>
          <w:sz w:val="20"/>
        </w:rPr>
        <w:t>”), or any comparable state law and (E) no property or facility of the Company or any of its subsidiaries is (i) listed or, to the knowledge of the Company or any of its subsidiaries, proposed for listing on the National Priorities List under CERCLA or is (ii) listed in the Comprehensive Environmental Response, Compensation, Liability Information System List or Superfund Enterprise Management System promulgated pursuant to CERCLA, or on any comparable list maintained by any state or local governmental authority. For purposes of this Agreement, “</w:t>
      </w:r>
      <w:r>
        <w:rPr>
          <w:rFonts w:ascii="Times New Roman" w:hAnsi="Times New Roman"/>
          <w:sz w:val="20"/>
          <w:u w:val="single"/>
        </w:rPr>
        <w:t>Environmental Laws</w:t>
      </w:r>
      <w:r>
        <w:rPr>
          <w:rFonts w:ascii="Times New Roman" w:hAnsi="Times New Roman"/>
          <w:sz w:val="20"/>
        </w:rPr>
        <w:t xml:space="preserve">” means the common law and all applicable federal, state and local laws or regulations, codes, orders, decrees, judgments or injunctions issued, promulgated, approved or entered thereunder, relating to pollution or protection of public or employee health and safety (as such relates to hazardous materials) or the environment, including, without limitation, laws relating to (i) emissions, discharges, releases or threatened releases of hazardous materials into the environment (including, without limitation, ambient air, surface water, ground water, land surface or subsurface strata), (ii) the manufacture, processing, distribution, use, generation, treatment, storage, disposal, transport or handling of hazardous materials and (iii) underground and above ground storage tanks and related piping, and emissions, discharges, releases or threatened releases of hazardous materials therefrom; </w:t>
      </w:r>
    </w:p>
    <w:p>
      <w:pPr>
        <w:pStyle w:val="TextBody"/>
        <w:bidi w:val="0"/>
        <w:spacing w:before="240" w:after="0"/>
        <w:jc w:val="left"/>
        <w:rPr>
          <w:rFonts w:ascii="Times New Roman" w:hAnsi="Times New Roman"/>
          <w:sz w:val="20"/>
        </w:rPr>
      </w:pPr>
      <w:r>
        <w:rPr>
          <w:rFonts w:ascii="Times New Roman" w:hAnsi="Times New Roman"/>
          <w:sz w:val="20"/>
        </w:rPr>
        <w:t xml:space="preserve">(x) There is no strike, labor dispute or work stoppage with the employees of the Company or any of its subsidiaries that is pending or, to the knowledge of the Company or any of its subsidiaries, threatened that would,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The Company carries insurance in such amounts and covering such risks as is adequate for the conduct of its business and the value of its properties; </w:t>
      </w:r>
    </w:p>
    <w:p>
      <w:pPr>
        <w:pStyle w:val="TextBody"/>
        <w:bidi w:val="0"/>
        <w:spacing w:before="240" w:after="0"/>
        <w:jc w:val="left"/>
        <w:rPr>
          <w:rFonts w:ascii="Times New Roman" w:hAnsi="Times New Roman"/>
          <w:sz w:val="20"/>
        </w:rPr>
      </w:pPr>
      <w:r>
        <w:rPr>
          <w:rFonts w:ascii="Times New Roman" w:hAnsi="Times New Roman"/>
          <w:sz w:val="20"/>
        </w:rPr>
        <w:t xml:space="preserve">(z) Except as would not, individually or in the aggregate, have a Material Adverse Effect, none of the Company or its subsidiaries has any liability for any prohibited transaction or funding deficiency or any complete or partial withdrawal liability with respect to any pension, profit sharing or other plan that is subject to the Employee Retirement Income Security Act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1974, as amended (“</w:t>
      </w:r>
      <w:r>
        <w:rPr>
          <w:rFonts w:ascii="Times New Roman" w:hAnsi="Times New Roman"/>
          <w:sz w:val="20"/>
          <w:u w:val="single"/>
        </w:rPr>
        <w:t>ERISA</w:t>
      </w:r>
      <w:r>
        <w:rPr>
          <w:rFonts w:ascii="Times New Roman" w:hAnsi="Times New Roman"/>
          <w:sz w:val="20"/>
        </w:rPr>
        <w:t xml:space="preserve">”), to which the Company or any of its subsidiaries makes or ever has made a contribution and in which any employee claiming a benefit through its employment with the Company or any of its subsidiaries is a participant. With respect to such plans, the Company and each subsidiary is in compliance in all material respects with all applicable provisions of ERISA; </w:t>
      </w:r>
    </w:p>
    <w:p>
      <w:pPr>
        <w:pStyle w:val="TextBody"/>
        <w:bidi w:val="0"/>
        <w:spacing w:before="240" w:after="0"/>
        <w:jc w:val="left"/>
        <w:rPr>
          <w:rFonts w:ascii="Times New Roman" w:hAnsi="Times New Roman"/>
          <w:sz w:val="20"/>
        </w:rPr>
      </w:pPr>
      <w:r>
        <w:rPr>
          <w:rFonts w:ascii="Times New Roman" w:hAnsi="Times New Roman"/>
          <w:sz w:val="20"/>
        </w:rPr>
        <w:t xml:space="preserve">(aa) Each of the Company and its subsidiaries (i) makes and keeps accurate books and records and (ii) maintains internal accounting 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The Company and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(bb)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(cc) The Company is not, nor after receipt of the proceeds of the offering of the Securities and the application thereof as described in the Registration Statement, the Pricing Disclosure Package and the Prospectus will be, an “investment company” as such term is defined in the Investment Company Act of 1940,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(dd) The Securities and the Indenture will, at the Time of Delivery, conform in all material respects to the descriptions thereof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(ee) Immediately after the consummation of the transactions contemplated by this Agreement, the fair value and present fair saleable value of the assets of each of the Company and its subsidiaries (each on a consolidated basis) will exceed the sum of its stated liabilities and identified contingent liabilities; none of the Company or its subsidiaries (each on a consolidated basis) is, nor will any of the Company or its subsidiaries (each on a consolidated basis) be, after giving effect to the execution, delivery and performance of this Agreement, and the consummation of the transactions contemplated hereby, (a) left with unreasonably small capital with which to carry on its business as it is proposed to be conducted, (b) unable to pay its debts (contingent or otherwise) as they mature or (c) otherwise “insolvent” as such term is generally understood for purposes of applicable fraudulent transfer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None of the Company or its subsidiaries has taken, nor will any of them take, directly or indirectly, any action designed to, or that might be reasonably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(gg) Neither the Company nor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or (to the extent applicable) any law or regulation implementing the OECD Convention on Combating Bribery of Foreign Public Officials in International Business Transactions, or (to the extent applicable) committed an offence under the Bribery Act 2010 of the United Kingdom, or any other applicable anti-bribery or anti-corruption laws; or (iv) made any unlawful bribe, rebate, payoff, influence payment, kickback or other unlawful payment. The Company and its subsidiaries have instituted, maintained and enforced, and will continue to maintain and enforce policies and procedures designed to promote and ensure compliance with all applicable anti-bribery and anti-corruption laws. The Company will not directly or, to the knowledge of the Company, indirectly use the proceeds of the offering of the Securities, or lend, contribute or otherwise make available such proceeds to any subsidiary, joint venture partner or other person or entity in furtherance of an offer, payment, promise to pay, or authorization of the payment or giving of money, or anything else of value, to any Person in violation of any applicable anti-bribery or anti-corruption law. </w:t>
      </w:r>
    </w:p>
    <w:p>
      <w:pPr>
        <w:pStyle w:val="TextBody"/>
        <w:bidi w:val="0"/>
        <w:spacing w:before="240" w:after="0"/>
        <w:jc w:val="left"/>
        <w:rPr>
          <w:rFonts w:ascii="Times New Roman" w:hAnsi="Times New Roman"/>
          <w:sz w:val="20"/>
        </w:rPr>
      </w:pPr>
      <w:r>
        <w:rPr>
          <w:rFonts w:ascii="Times New Roman" w:hAnsi="Times New Roman"/>
          <w:sz w:val="20"/>
        </w:rPr>
        <w:t>(hh) The operations of the Company and its subsidiaries are and have been conducted at all times in compliance in all material respects with applicable financial recordkeeping and reporting requirements of the Currency and Foreign Transactions Reporting Act of 1970, as amended, and (to the extent applicable) the money laundering statutes of all jurisdictions in which the Company or its subsidiaries conduct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(ii) Neither the Company nor any of its subsidiaries nor, to the knowledge of the Company, any director, officer, agent, employee, affiliate or other person associated with or acting on behalf of the Company or any of its subsidiaries is currently subject to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or (to the extent applicable) the United Nations Security Council, the European Union, His Majesty’s Treasury or other relevant sanctions authority (collectively,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nor is the Company or any of its subsidiaries located, organized or resident in a country or territory that is the subject or the target of Sanctions, including, without limitation, Crimea, Kherson, Zaporizhzhia regions and so-called Donetsk People’s Republic and Luhansk People’s Republic in Ukraine, Cuba, Iran and North Korea (each, a “</w:t>
      </w:r>
      <w:r>
        <w:rPr>
          <w:rFonts w:ascii="Times New Roman" w:hAnsi="Times New Roman"/>
          <w:sz w:val="20"/>
          <w:u w:val="single"/>
        </w:rPr>
        <w:t>Sanctioned Country</w:t>
      </w:r>
      <w:r>
        <w:rPr>
          <w:rFonts w:ascii="Times New Roman" w:hAnsi="Times New Roman"/>
          <w:sz w:val="20"/>
        </w:rPr>
        <w:t xml:space="preserve">”); and the Company will not directly or indirectly use the proceeds of the offering of the Securities,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to the knowledge of the Company, in any other manner that will result in a violation by any person participating in the transaction, whether as an underwriter, initial purchaser, advisor, investor or otherwise of Sanctions. Since April 24, 2019, the Company and its subsidiaries have not knowingly engaged in, are not now knowingly engaged in, and will not knowingly engage in, any dealings or transactions with any person that at the time of the dealing or transaction is or was the subject or the target of Sanctions or with any Sanctioned Country; and </w:t>
      </w:r>
    </w:p>
    <w:p>
      <w:pPr>
        <w:pStyle w:val="TextBody"/>
        <w:bidi w:val="0"/>
        <w:spacing w:before="240" w:after="0"/>
        <w:jc w:val="left"/>
        <w:rPr>
          <w:rFonts w:ascii="Times New Roman" w:hAnsi="Times New Roman"/>
          <w:sz w:val="20"/>
        </w:rPr>
      </w:pPr>
      <w:r>
        <w:rPr>
          <w:rFonts w:ascii="Times New Roman" w:hAnsi="Times New Roman"/>
          <w:sz w:val="20"/>
        </w:rPr>
        <w:t xml:space="preserve">(jj) The Sale Agreement has been duly authorized, executed and delivered by the Company and, assuming that the Sale Agreement has been duly authorized, executed and delivered by the other party thereto, constitutes a valid and legally binding agreement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and delivered to the Representatives or counsel for the Underwriters pursuant to this Agreement shall be deemed a representation and warranty by the Company, as to matters covered thereby, to each Underwriter.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Subject to the terms and conditions herein set forth, the Company agrees to issue and sell to each of the Underwriters, and each of the Underwriters agrees, severally and not jointly, to purchase from the Company, the respective principal amount of Securities set forth opposite such Underwriter’s name in </w:t>
      </w:r>
      <w:r>
        <w:rPr>
          <w:rFonts w:ascii="Times New Roman" w:hAnsi="Times New Roman"/>
          <w:sz w:val="20"/>
          <w:u w:val="single"/>
        </w:rPr>
        <w:t>Schedule I</w:t>
      </w:r>
      <w:r>
        <w:rPr>
          <w:rFonts w:ascii="Times New Roman" w:hAnsi="Times New Roman"/>
          <w:sz w:val="20"/>
        </w:rPr>
        <w:t xml:space="preserve"> hereto at price equal to 99.586% of the principal amount of the 2029 Notes, 99.294% of the principal amount of the 2032 Notes, 99.147% of the principal amount of the 2034 Notes, 99.010% of the principal amount of the 2036 Notes and 98.846% of the principal amount of the 2056 Notes, plus, in each case, accrued interest, if any, from August 14, 2026 to the Time of Delivery (as defined below). </w:t>
      </w:r>
    </w:p>
    <w:p>
      <w:pPr>
        <w:pStyle w:val="TextBody"/>
        <w:bidi w:val="0"/>
        <w:spacing w:before="240" w:after="0"/>
        <w:jc w:val="left"/>
        <w:rPr>
          <w:rFonts w:ascii="Times New Roman" w:hAnsi="Times New Roman"/>
          <w:sz w:val="20"/>
        </w:rPr>
      </w:pPr>
      <w:r>
        <w:rPr>
          <w:rFonts w:ascii="Times New Roman" w:hAnsi="Times New Roman"/>
          <w:sz w:val="20"/>
        </w:rPr>
        <w:t>The Securities to be purchased by each Underwriter hereunder will be delivered by or on behalf of the Company to the Representatives for the account of such Underwriter, against payment by such Underwriter or on its behalf of the purchase price therefor by wire transfer of federal (same-day) funds, at the office of Davis Polk &amp; Wardwell LLP, at 9:30 a.m. (New York City time) on August 14, 2026, or at such other time and date (not later than the fifth business day thereafter) as the Representatives and the Company may agree upon in writing, such time and date being herein called the “</w:t>
      </w:r>
      <w:r>
        <w:rPr>
          <w:rFonts w:ascii="Times New Roman" w:hAnsi="Times New Roman"/>
          <w:sz w:val="20"/>
          <w:u w:val="single"/>
        </w:rPr>
        <w:t>Time of Delivery</w:t>
      </w:r>
      <w:r>
        <w:rPr>
          <w:rFonts w:ascii="Times New Roman" w:hAnsi="Times New Roman"/>
          <w:sz w:val="20"/>
        </w:rPr>
        <w:t xml:space="preserve">”. The Securities will be delivered by the Company to the Representatives in the form of global Securities, representing all of the Securities, which will be deposited by the Representatives on behalf of the Underwriters with The Depository Trust Company, or its nominee, for credit to the respective accounts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Offer and Sale of Securities by the Underwriters</w:t>
      </w:r>
      <w:r>
        <w:rPr>
          <w:rFonts w:ascii="Times New Roman" w:hAnsi="Times New Roman"/>
          <w:sz w:val="20"/>
        </w:rPr>
        <w:t xml:space="preserve">. Upon the authorization by the Representatives of the release of the Securities, the several Underwriters propose to offer the Securities for sale upon the terms and conditions set forth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Warranties and Agreements of the Underwriters</w:t>
      </w:r>
      <w:r>
        <w:rPr>
          <w:rFonts w:ascii="Times New Roman" w:hAnsi="Times New Roman"/>
          <w:sz w:val="20"/>
        </w:rPr>
        <w:t xml:space="preserve">. Each Underwriter, severally and not jointly, represents and warrants to, and agrees with, the Company and the Representatives that it has not made, and unless it obtains the prior written consent of the Company and the Representatives, it will not make, any offer relating to the Securities that would constitute an “issuer free writing prospectus” (as defined in Rule 433 under the Securities Act) or that would otherwise constitute a “free writing prospectus” (as defined in Rule 405 under the Securities Act) required to be filed with the Commission;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prior written consent of the Company shall be deemed to have been given with respect to the Issuer Free Writing Prospectuses identified on </w:t>
      </w:r>
      <w:r>
        <w:rPr>
          <w:rFonts w:ascii="Times New Roman" w:hAnsi="Times New Roman"/>
          <w:sz w:val="20"/>
          <w:u w:val="single"/>
        </w:rPr>
        <w:t>Schedule II</w:t>
      </w:r>
      <w:r>
        <w:rPr>
          <w:rFonts w:ascii="Times New Roman" w:hAnsi="Times New Roman"/>
          <w:sz w:val="20"/>
        </w:rPr>
        <w:t xml:space="preserve"> hereto. The Company represents that it has treated or agrees that it will treat any such issuer free writing prospectus or free writing prospectus to which it so consents as an Issuer Free Writing Prospectus, and has complied and will comply with the requirements of Rule 433 applicable thereto, including with respect to timely filing with the Commission, legending and record-keeping.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agrees with each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in a form reasonably approved by the Representatives and to file the Prospectus pursuant to Rule 424(b) under the Securities Act no later than the Commission’s close of business on the second business day following the date of this Agreement or, if applicable, such earlier time as may be required by Rule 424(b); and to make no further amendment or supplement to the Registration Statement, the Pricing Prospectus or the Prospectus after the date of this Agreement and prior to the Time of Delivery which shall be reasonably disapproved by the Representatives promptly after reasonable notice thereof unless in the opinion of counsel for the Company such amendment or supplement is required by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periodic filing to be filed by the Company with the Commission pursuant to Section 13(a) or 15(d) of the Exchange Act during such period, the Company shall furnish to the Representatives a draft of any such filing for review by the Representatives prior to filing with the Commission and shall discuss any reasonable comments that the Representatives may have with respect to such draft prior to filing; </w:t>
      </w:r>
    </w:p>
    <w:p>
      <w:pPr>
        <w:pStyle w:val="TextBody"/>
        <w:bidi w:val="0"/>
        <w:spacing w:before="240" w:after="0"/>
        <w:jc w:val="left"/>
        <w:rPr>
          <w:rFonts w:ascii="Times New Roman" w:hAnsi="Times New Roman"/>
          <w:sz w:val="20"/>
        </w:rPr>
      </w:pPr>
      <w:r>
        <w:rPr>
          <w:rFonts w:ascii="Times New Roman" w:hAnsi="Times New Roman"/>
          <w:sz w:val="20"/>
        </w:rPr>
        <w:t>(b) To prepare a pricing term sheet (the “</w:t>
      </w:r>
      <w:r>
        <w:rPr>
          <w:rFonts w:ascii="Times New Roman" w:hAnsi="Times New Roman"/>
          <w:sz w:val="20"/>
          <w:u w:val="single"/>
        </w:rPr>
        <w:t>Pricing Term Sheet</w:t>
      </w:r>
      <w:r>
        <w:rPr>
          <w:rFonts w:ascii="Times New Roman" w:hAnsi="Times New Roman"/>
          <w:sz w:val="20"/>
        </w:rPr>
        <w:t xml:space="preserve">”) reflecting the final terms of the Securities, in the form previously agreed upon by the Company and the Underwriters, and to file such Pricing Term Sheet as an “issuer free writing prospectus” pursuant to Rule 433 under the Securities Act prior to the close of business two business days after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furnish the Representatives with copies of the Pricing Term Sheet prior to such proposed filing and shall not use or file any such document which shall be disapproved by the Representatives; and to file promptly any other Issuer Free Writing Prospectus or other material required to be filed by the Company with the Commission pursuant to Rule 433 under the Securities Act in accordance with Section 1(f)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To file promptly all reports and any definitive proxy or information statements required to be filed by the Company with the Commission pursuant to Section 13(a) or 15(d) of the Exchange Act subsequent to the date of the Prospectus and for so long as the delivery of a prospectus (or in lieu thereof, the notice referred to in Rule 173(a) under the Securities Act) is required in connection with the offering or sale of the Securities (the “</w:t>
      </w:r>
      <w:r>
        <w:rPr>
          <w:rFonts w:ascii="Times New Roman" w:hAnsi="Times New Roman"/>
          <w:sz w:val="20"/>
          <w:u w:val="single"/>
        </w:rPr>
        <w:t>prospectus delivery period</w:t>
      </w:r>
      <w:r>
        <w:rPr>
          <w:rFonts w:ascii="Times New Roman" w:hAnsi="Times New Roman"/>
          <w:sz w:val="20"/>
        </w:rPr>
        <w:t>”); and, during the prospectus delivery period, to advise the Representatives, promptly after it receives notice thereof, of (i) the time when any post-effective amendment to the Registration Statement has been filed or becomes effective or any amendment or supplement to the Prospectus or any amended Prospectus has been filed with the Commission (</w:t>
      </w:r>
      <w:r>
        <w:rPr>
          <w:rFonts w:ascii="Times New Roman" w:hAnsi="Times New Roman"/>
          <w:i/>
          <w:sz w:val="20"/>
        </w:rPr>
        <w:t>provided</w:t>
      </w:r>
      <w:r>
        <w:rPr>
          <w:rFonts w:ascii="Times New Roman" w:hAnsi="Times New Roman"/>
          <w:sz w:val="20"/>
        </w:rPr>
        <w:t xml:space="preserve"> that no such notification need be given in connection with any such amendment or supplement consisting of a document filed by the Company with the Commission pursuant to Section 13(a) or 15(d) of the Exchange Act subsequent to the Time of Delivery unless the Representatives have advised the Company that the Underwriters have not completed the distribution of the Securities), (ii) the issuance by the Commission of any stop order suspending the effectiveness of the Registration Statement, of any order suspending or preventing the use of any prospectus relating to the Securities or any Issuer Free Writing Prospectus, or of any notice of objection of the Commission to the use of the Registration Statement or any post-effective amendment thereto pursuant to Rule 401(g)(2) under the Securities Act, (iii) the suspension of the qualification of the Securities for offering or sale in any jurisdiction, (iv) the initiation or threatening of any proceeding for the purpose of any of the foregoing or (v) any request by the Commission for the amending or supplementing of the Registration Statement or of the Prospectus or for additional information; and, in the event of the issuance of any such stop order or any such order preventing or suspending the use of any Preliminary Prospectus or other prospectus relating to the Securities or any Issuer Free Writing Prospectus or suspending any such qualification, or of any such notice of objection pursuant to Rule 401(g)(2) under the Securities Act, to use promptly its reasonable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Securities by the Underwriters (references herein to the “</w:t>
      </w:r>
      <w:r>
        <w:rPr>
          <w:rFonts w:ascii="Times New Roman" w:hAnsi="Times New Roman"/>
          <w:sz w:val="20"/>
          <w:u w:val="single"/>
        </w:rPr>
        <w:t>Registration Statement</w:t>
      </w:r>
      <w:r>
        <w:rPr>
          <w:rFonts w:ascii="Times New Roman" w:hAnsi="Times New Roman"/>
          <w:sz w:val="20"/>
        </w:rPr>
        <w:t xml:space="preserve">” shall include any such amendment or new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To take such action as the Representatives may reasonably request to qualify the Securities for offer and sale under the securities laws of such jurisdictions as the Representatives may request and to comply with such laws so as to permit the continuance of sales and dealings therein in such jurisdictions for as long as may be necessary to complete the distribution or sale of the Securities;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connection therewith the Company shall not be required to qualify as a foreign corporation or to file a general consent to service of process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To furnish each Underwriter with one copy of the Registration Statement and, during the prospectus delivery period referred to in Section 5(c) hereof, to furnish the Underwriters with copies of the Pricing Disclosure Package and the Prospectus in New York City in such quantities as the Representatives may reasonably request (excluding, in each case, any documents incorporated by reference therein to the extent available through the Commission’s EDGAR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during the prospectus delivery period referred to in Section 5(c) hereof,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in the opinion of counsel for the Company during such prospectus delivery period to amend or supplement the Prospectus or to file with the Commission any document incorporated by reference in the Prospectus in order to comply with the Securities Act, the Exchange Act or the Trust Indenture Act, to notify the Representatives and prepare and file such document and to furnish without charge to each Underwriter as many copies as the Representatives may from time to time reasonably request of an amended Prospectus or a supplement to the Prospectus which will correct such statement or omission or effect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(g) To make generally available to its securityholders as soon as practicable, but in any event not later than 18 months after the effective date of the Registration Statement (as defined in Rule 158(c) under the Securities Act), an earning statement of the Company and its subsidiaries (which need not be audited) complying with Section 11(a) of the Securities Act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To pay the Commission the required filing fees relating to the Securities within the time period required by Rule 456(b)(1)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(j) During the period beginning from the date hereof and continuing to and including the earlier of the Time of Delivery and such earlier time as you may notify the Company, not to offer, sell, contract to sell, pledge, grant any option to purchase, make any short sale or otherwise transfer or dispose of, directly or indirectly, or file with the Commission a registration statement under the Securities Act relating to, except as provided hereunder, any securities of the Company that are substantially similar to the Securities, or publicly disclose the intention to make any such offer, sale, pledge, disposition or filing without the prior written consent of the Representatives; and </w:t>
      </w:r>
    </w:p>
    <w:p>
      <w:pPr>
        <w:pStyle w:val="TextBody"/>
        <w:bidi w:val="0"/>
        <w:spacing w:before="240" w:after="0"/>
        <w:jc w:val="left"/>
        <w:rPr>
          <w:rFonts w:ascii="Times New Roman" w:hAnsi="Times New Roman"/>
          <w:sz w:val="20"/>
        </w:rPr>
      </w:pPr>
      <w:r>
        <w:rPr>
          <w:rFonts w:ascii="Times New Roman" w:hAnsi="Times New Roman"/>
          <w:sz w:val="20"/>
        </w:rPr>
        <w:t xml:space="preserve">(k)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Payment of Expenses</w:t>
      </w:r>
      <w:r>
        <w:rPr>
          <w:rFonts w:ascii="Times New Roman" w:hAnsi="Times New Roman"/>
          <w:sz w:val="20"/>
        </w:rPr>
        <w:t xml:space="preserve">. The Company covenants and agrees with the several Underwriters that the Company will pay or cause to be paid the following: (i) the fees, disbursements and expenses of counsel for the Company and the Company’s independent registered public accounting firm in connection with the registration of the Securities under the Securities Act and all other expenses in connection with the preparation, printing and filing of the Registration Statement, the Base Prospectus, any Preliminary Prospectus, the Pricing Prospectus and the Prospectus and amendments and supplements thereto, and any Issuer Free Writing Prospectus, and the mailing and delivering of copies thereof to the Underwriters and dealers and any out-of-pocket costs associated with electronic delivery of any of the foregoing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to investors; (ii) all expenses in connection with the qualification of the Securities for offer and sale under state securities laws as provided in Section 5(d) hereof, including the reasonable fees and disbursements of counsel for the Underwriters in connection with such qualification and in connection with the Blue Sky and legal investment memoranda; (iii) all expenses and application fees incurred in connection with any filing with, and clearance of the offering by, the Financial Industry Regulatory Authority, Inc., if any, including the reasonable fees and disbursements of counsel for the Underwriters thereto; (iv) any fees charged by securities rating services for rating the Securities; (v) the cost of preparing the Securities; (vi) the fees and expenses of the Trustee and any agent of the Trustee and the reasonable fees and disbursements of counsel for the Trustee and any such agent in connection with the Indenture and the Securities; (vii) all other costs and expenses incident to the performance of the Company’s obligations hereunder which are not otherwise specifically provided for in this Section 6; and (viii) all expenses incurred by the Company in connection with any “roadshow” presentation to potential investors, if any. It is understood, however, that, except as provided in this Section 6 and Sections 8 and 11 hereof, the Underwriters will pay all of their own costs and expenses, including any transfer taxes on resale of any of the Securities by them, and any advertising expenses incurred in connection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Underwriters’ Obligations</w:t>
      </w:r>
      <w:r>
        <w:rPr>
          <w:rFonts w:ascii="Times New Roman" w:hAnsi="Times New Roman"/>
          <w:sz w:val="20"/>
        </w:rPr>
        <w:t xml:space="preserve">. The obligations of the Underwriters hereunder shall be subject, in the discretion of the Representatives, to (i) the condition that all representations and warranties of the Company herein are as of the Time of Delivery true and correct, (ii) the condition that the Company shall have performed all of its obligations hereunder theretofore to be performed and (iii)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Any Preliminary Prospectus and the Prospectus shall have been filed with the Commission pursuant to Rule 424(b) under the Securities Act within the applicable time period prescribed for each such filing by the rules and regulations under the Securities Act and in accordance with Section 5(a) hereof; and the Pricing Term Sheet provided for in Section 5(b) hereof and any other Issuer Free Writing Prospectus relating to the Securities shall have been filed with the Commission pursuant to Rule 433 under the Securities Act within the applicable time period prescribed for such filing by Rule 433 and in accordance with Section 5(b) hereof (unless such Issuer Free Writing Prospectus is not required to be filed with the Commission pursuant to Rule 433(d)(5)(i)); </w:t>
      </w:r>
    </w:p>
    <w:p>
      <w:pPr>
        <w:pStyle w:val="TextBody"/>
        <w:bidi w:val="0"/>
        <w:spacing w:before="240" w:after="0"/>
        <w:jc w:val="left"/>
        <w:rPr>
          <w:rFonts w:ascii="Times New Roman" w:hAnsi="Times New Roman"/>
          <w:sz w:val="20"/>
        </w:rPr>
      </w:pPr>
      <w:r>
        <w:rPr>
          <w:rFonts w:ascii="Times New Roman" w:hAnsi="Times New Roman"/>
          <w:sz w:val="20"/>
        </w:rPr>
        <w:t xml:space="preserve">(b) No stop order suspending the effectiveness of the Registration Statement or any part thereof or suspending or preventing the use of the Prospectus or any Issuer Free Writing Prospectus shall have been issued, and no proceeding for that purpose shall have been initiated or threatened by the Commission, and no notice of objection of the Commission to the use of the Registration Statement or any post-effective amendment thereto pursuant to Rule 401(g)(2) under the Securities Act shall have been received; </w:t>
      </w:r>
    </w:p>
    <w:p>
      <w:pPr>
        <w:pStyle w:val="TextBody"/>
        <w:bidi w:val="0"/>
        <w:spacing w:before="240" w:after="0"/>
        <w:jc w:val="left"/>
        <w:rPr>
          <w:rFonts w:ascii="Times New Roman" w:hAnsi="Times New Roman"/>
          <w:sz w:val="20"/>
        </w:rPr>
      </w:pPr>
      <w:r>
        <w:rPr>
          <w:rFonts w:ascii="Times New Roman" w:hAnsi="Times New Roman"/>
          <w:sz w:val="20"/>
        </w:rPr>
        <w:t xml:space="preserve">(c) Cravath, Swaine &amp; Moore LLP, counsel for the Company, shall have furnished to the Representatives their written opinion and negative assurance letter, dated the Time of Delivery,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Robinson, Bradshaw &amp; Hinson, P.A., North Carolina counsel for the Company, shall have furnished to the Representatives their written opinion, dated the Time of Delivery,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Davis Polk &amp; Wardwell LLP, counsel for the Underwriters, shall have furnished to the Representatives their written opinion and negative assurance letter, dated the Time of Delivery, with respect to the validity of the Indenture and the Securities, the Registration Statement, the Pricing Disclosure Package, the Prospectus, and other related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(f) On the date of this Agreement and at the Time of Delivery (i) PricewaterhouseCoopers LLP, which has audited the financial statements of the Company and its subsidiaries as of and for the periods ended December 31, 2023, December 31, 2024 and December 31, 2025 included or incorporated by reference in the Registration Statement, the Pricing Disclosure Package and the Prospectus, shall have furnished to the Representatives a “comfort” letter or letters, dated the date of this Agreement and Time of Delivery, respectively, as to such matters as the Representatives may reasonably request and in form and substance reasonably satisfactory to the Representatives (which comfort letter or letters shall, as applicable, be substantially consistent with drafts provided by PricewaterhouseCoopers LLP to the Representatives prior to or on the date of this Agreement) and (ii) Forvis Mazars, LLP, which has audited the financial statements of LNA and its subsidiaries as of and for the periods ended December 31, 2024 and December 31, 2025 included or incorporated by reference in the Registration Statement, the Pricing Disclosure Package and the Prospectus, shall have furnished to the Representatives a “comfort” letter or letters, dated the date of this Agreement and Time of Delivery, respectively, as to such matters as the Representatives may reasonably request and in form and substance reasonably satisfactory to the Representatives (which comfort letter or letters shall, as applicable, be substantially consistent with drafts provided by Forvis Mazars, LLP to the Representatives prior to or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Since the respective dates as of which information is given in the Registration Statement, the Pricing Disclosure Package and the Prospectus, there shall not have been a material adverse change in the business, financial condition, prospects or results of operations of the Company and its subsidiaries, taken as a whole, otherwise than as set forth or contemplated in the Pricing Disclosure Package and the Prospectus (excluding any amendment or supplement thereto), the effect of which is in the judgment of the Representatives so material and adverse as to make it impracticable or inadvisable to proceed with the public offering, sale or the delivery of the Securities on the terms and in the manner contemplated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On or after the date of this Agreement there shall not have occurred any of the following: (i) a suspension or material limitation in trading in securities generally on The New York Stock Exchange or the NASDAQ Global Market; (ii) a suspension or material limitation in trading of any securities issued by the Company; (iii) a general moratorium on commercial banking activities declared by either Federal or New York State authorities; (iv) the outbreak or escalation of hostilities involving the United States or the declaration by the United States of a national emergency or war; or (v) the occurrence of any other calamity or crisis affecting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markets of the United States, if the effect of any such event specified in clause (iv) or (v) in the judgment of the Representatives makes it impractical or inadvisable to proceed with the public offering, sale or the delivery of the Securities on the terms and in the manner contemplated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(i) After the execution and delivery of this Agreement and prior to the Time of Delivery (a) no downgrading shall have occurred in the rating assigned to the Company’s debt securities by a “nationally recognized statistical ratings organization” (as defined under Section 3(a)(62) of the Exchange Act) and (b) no such ratings organizations shall have publicly announced that it has under surveillance or review, with possible negative implications, its rating of the Company’s debt securities, the effect of which, in any event specified in clause (a) or (b), in the reasonable judgment of the Representatives, makes it impracticable or inadvisable to proceed with the public offering or the delivery of the Securities on the terms and in the manner contemplated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furnished or caused to be furnished to the Representatives at the Time of Delivery a certificate of the Company signed by an officer of the Company reasonably satisfactory to the Representatives as to (i) the accuracy of the representations and warranties of the Company herein as of the Time of Delivery, (ii) the performance by the Company of all of its obligations hereunder to be performed at or prior to the Time of Delivery and (iii) the matters set forth in Sections 7(b) and 7(g) hereof; </w:t>
      </w:r>
    </w:p>
    <w:p>
      <w:pPr>
        <w:pStyle w:val="TextBody"/>
        <w:bidi w:val="0"/>
        <w:spacing w:before="240" w:after="0"/>
        <w:jc w:val="left"/>
        <w:rPr>
          <w:rFonts w:ascii="Times New Roman" w:hAnsi="Times New Roman"/>
          <w:sz w:val="20"/>
        </w:rPr>
      </w:pPr>
      <w:r>
        <w:rPr>
          <w:rFonts w:ascii="Times New Roman" w:hAnsi="Times New Roman"/>
          <w:sz w:val="20"/>
        </w:rPr>
        <w:t xml:space="preserve">(k) The Representatives shall have received, on the date hereof and at the Time of Delivery, a certificate, dated the respective dates of delivery thereof and addressed to the Representatives, of the Company’s chief financial officer with respect to certain financial data incorporated by reference in the Pricing Disclosure Package and Prospectus, providing “management comfort” with respect to such information, in form and substance reasonably satisfactory to the Representatives; and </w:t>
      </w:r>
    </w:p>
    <w:p>
      <w:pPr>
        <w:pStyle w:val="TextBody"/>
        <w:bidi w:val="0"/>
        <w:spacing w:before="240" w:after="0"/>
        <w:jc w:val="left"/>
        <w:rPr>
          <w:rFonts w:ascii="Times New Roman" w:hAnsi="Times New Roman"/>
          <w:sz w:val="20"/>
        </w:rPr>
      </w:pPr>
      <w:r>
        <w:rPr>
          <w:rFonts w:ascii="Times New Roman" w:hAnsi="Times New Roman"/>
          <w:sz w:val="20"/>
        </w:rPr>
        <w:t xml:space="preserve">(l) On or prior to the Time of Delivery,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(a) The Company will indemnify and hold harmless each Underwriter, its affiliates, directors and officers and each person, if any, who controls such Underwriter within the meaning of Section 15 of the Securities Act or Section 20 of the Exchange Act, from and against any losses, claims, damages or liabilities, joint or several, to which such Underwriter may become subject, under the Securities Act or otherwise, insofar as such losses, claims, damages or liabilities (or actions in respect thereof) arise out of or are based upon (i) any untrue statement or alleged untrue statement of a material fact contained in the Registration Statement, or any amendment thereto, or any omission or alleged omission to state therein a material fact required to be stated therein or necessary in order to make the statements therein not misleading or (ii) any untrue statement or alleged untrue statement of a material fact contained in the Base Prospectus, any Preliminary Prospectus, the Pricing Prospectus, the Prospectus, or any amendment or supplement thereto, the Pricing Disclosure Package, or any “issuer free writing prospectus” (as defined in Rule 433(d) under the Securities Act) relating to the offering of the Securities, or any omission or alleged omission to state therein a material fact necessary in order to make the statements therein, in light of the circumstances under which they were made, not misleading, and will reimburse each Underwriter for any legal or other expenses reasonably incurred by such Underwriter in connection with investigating or defending any such action or claim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in the Registration Statement, the Base Prospectus, any Preliminary Prospectus, the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the Prospectus, or any amendment or supplement thereto, the Pricing Disclosure Package, or any such issuer free writing prospectus, made in reliance upon and in conformity with written information furnished to the Company by any Underwriter through the Representatives expressly for use therein, it being understood and agreed that the only such information furnished by any Underwriter consists of the information described as such in subsection (b) below.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will, severally and not jointly, indemnify and hold harmless the Company, its directors, its officers and each person, if any, who controls the Company within the meaning of Section 15 of the Securities Act or Section 20 of the Exchange Act to the same extent as the indemnity set forth in Section 8(a) hereof, but only insofar as such losses, claims, damages or liabilities (or actions in respect thereof) arise out of or are based upon an untrue statement or alleged untrue statement of, or omission or alleged omission to state, a material fact made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 it being understood and agreed that the only written information furnished to the Company by such Underwriter through the Representatives expressly for use in the Registration Statement, any amendment or supplement thereto, the Base Prospectus, any Preliminary Prospectus, the Pricing Prospectus, the Prospectus or any amendment or supplement thereto is the name of such Underwriter set forth on the cover page and the information set forth in the third, fourth, tenth and thirty-fourth paragraphs under the caption “Underwriting,” in each case, in the Preliminary Prospectus,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Section 8(a) or 8(b) hereof of notice of the commencement of any action, such indemnified party shall, if a claim in respect thereof is to be made against the indemnifying party under such Section 8(a) or 8(b), as the case may be, notify the indemnifying party in writing of the commencement thereof; </w:t>
      </w:r>
      <w:r>
        <w:rPr>
          <w:rFonts w:ascii="Times New Roman" w:hAnsi="Times New Roman"/>
          <w:i/>
          <w:sz w:val="20"/>
        </w:rPr>
        <w:t>provided that</w:t>
      </w:r>
      <w:r>
        <w:rPr>
          <w:rFonts w:ascii="Times New Roman" w:hAnsi="Times New Roman"/>
          <w:sz w:val="20"/>
        </w:rPr>
        <w:t xml:space="preserve"> the failure to notify the indemnifying party shall not relieve it from any liability that it may have under the preceding paragraphs of this Section 8 except to the extent that it has been materially prejudiced (through the forfeiture of substantive rights or defenses) by such failure; </w:t>
      </w:r>
      <w:r>
        <w:rPr>
          <w:rFonts w:ascii="Times New Roman" w:hAnsi="Times New Roman"/>
          <w:i/>
          <w:sz w:val="20"/>
        </w:rPr>
        <w:t>provided further</w:t>
      </w:r>
      <w:r>
        <w:rPr>
          <w:rFonts w:ascii="Times New Roman" w:hAnsi="Times New Roman"/>
          <w:sz w:val="20"/>
        </w:rPr>
        <w:t xml:space="preserve"> that the omission to so notify the indemnifying party shall not relieve it from any liability which it may have to any indemnified party otherwise than under such Section 8(a) or 8(b), as the case may be.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such Section 8(a) or 8(b), as the case may be, for any legal expenses of other counsel or any other expenses, in each case subsequently incurred by such indemnified party, in connection with the defense thereof other than reasonable costs of investigation;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indemnified party shall have the right to retain its own counsel,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notwithstanding the preceding sentence of this Section 8(c), the indemnifying party shall not be liable for the reasonable fees and expenses of more than one separate firm (in addition to not more than one separate local counsel in any jurisdiction in which the indemnified party requires representation by separate counsel) for all such indemnified parties.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An indemnifying party shall not be liable for any settlement effected by an indemnified party without its prior written consent, but if the settlement is made with such consent, the indemnifying party agrees to indemnify the indemnified party from and against any loss or liability by reason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8 is unavailable to or insufficient to hold harmless an indemnified party under Section 8(a) or 8(b) hereof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or if the indemnified party failed to give the notice required under Section 8(c) hereof,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on the cover page of the Prospectus. The relative fault shall be determined by reference to, among other things, whether the untrue or alleged untrue statement of a material fact or the omission or alleged omission to state a material fact required to be stated therein or necessary in order to make the statements therein not misleading relates to information supplied by the Company, on the one hand, or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Underwriters, on the other, and the parties’ relative intent, knowledge, access to information and opportunity to correct or prevent such statement or omission.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in respect thereof) referred to above in this Section 8(d) shall be deemed to include any legal or other expenses reasonably incurred by such indemnified party in connection with investigating or defending any such action or claim. Notwithstanding the provisions of this Section 8(d),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in this Section 8(d) to contribute are several in proportion to their respective underwriting obligations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Company under this Section 8 shall be in addition to any liability which the Company may otherwise have and shall extend, upon the same terms and conditions, to each person, if any, who controls any Underwriter within the meaning of Section 15 of the Securities Act or Section 20 of the Exchange Act and any other affiliate (within the meaning of Rule 405 under the Securities Act) of any Underwriter; and the obligations of the Underwriters under this Section 8 shall be in addition to any liability which the respective Underwriters may otherwise have and shall extend, upon the same terms and conditions, to each officer and director of the Company, each person, if any, who controls the Company within the meaning of Section 15 of the Securities Act or Section 20 of the Exchange Act and any other affiliate (within the meaning of Rule 405 under the Securities Act)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Defaulting Underwriters</w:t>
      </w:r>
      <w:r>
        <w:rPr>
          <w:rFonts w:ascii="Times New Roman" w:hAnsi="Times New Roman"/>
          <w:sz w:val="20"/>
        </w:rPr>
        <w:t xml:space="preserve">. (a) If any Underwriter shall default in its obligation to purchase the Securities which it has agreed to purchase hereunder, the Representatives may in their discretion arrange for themselves or another party or other parties to purchase such Securities on the terms contained herein. If within 36 hours after such default by any Underwriter the Representatives do not arrange for the purchase of such Securities, then the Company shall be entitled to a further period of 36 hours within which to procure another party or other parties satisfactory to the Representatives to purchase such Securities on such terms. In the event that, within the respective prescribed periods, the Representatives notify the Company that the Representatives have so arranged for the purchase of such Securities, or the Company notifies the Representatives that it has so arranged for the purchase of such Securities, the Representatives or the Company shall have the right to postpone the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the Representatives’ opinion may thereby be made necessary. The term “Underwriter” as used in this Agreement shall include any person substituted under this Section 9 with like effect as if such person had originally been a party to this Agreement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Representatives and the Company as provided in Section 9(a) hereof, the aggregate principal amount of such Securities which remains unpurchased does not exceed one-eleventh of the aggregate principal amount of all the Securities, then the Company shall have the right to require each non-defaulting Underwriter to purchase the principal amount of Securities which such Underwriter agreed to purchase hereunder and, in addition, to require each non-defaulting Underwriter to purchase its pro rata share (based on the principal amount of Securities which such Underwriter agreed to purchase hereunder) of the Securities of such defaulting Underwriter or Underwriters for which such arrangements have not been made;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Representatives and the Company as provided in Section 9(a) hereof, the aggregate principal amount of the Securities which remains unpurchased exceeds one-eleventh of the aggregate principal amount of all the Securities, as referred to in Section 9(b) hereof, or if the Company shall not exercise the right described in Section 9(b) hereof to require non-defaulting Underwriters to purchase the Securities of a defaulting Underwriter or Underwriters, then this Agreement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Survival</w:t>
      </w:r>
      <w:r>
        <w:rPr>
          <w:rFonts w:ascii="Times New Roman" w:hAnsi="Times New Roman"/>
          <w:sz w:val="20"/>
        </w:rPr>
        <w:t xml:space="preserve">. 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If this Agreement shall be terminated pursuant to Section 9 hereof, the Company shall not then be under any liability to any Underwriter except as provided in Sections 6 and 8 hereof; but if for any other reason any Securities are not delivered by or on behalf of the Company as provided herein, the Company will reimburse the Underwriters through the Representatives for all reasonable out-of-pocket expenses approved in writing by the Representatives, including fees and disbursements of counsel, reasonably incurred by the Underwriters in making preparations for the purchase, sale and delivery of the Securities, but the Company shall then be under no further liability to any Underwriter except as provided in Sections 6 and 8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Nature of Underwriters’ Obligations</w:t>
      </w:r>
      <w:r>
        <w:rPr>
          <w:rFonts w:ascii="Times New Roman" w:hAnsi="Times New Roman"/>
          <w:sz w:val="20"/>
        </w:rPr>
        <w:t xml:space="preserve">. The Company acknowledges and agrees that (i)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agent or fiduciary of the Company directly or indirectly, (iii)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similar obligation to the Company with respect to the offering of the Securities contemplated hereby except the obligations expressly set forth in this Agreement and (iv) the Company has consulted its own legal and financial advisors to the extent it deemed appropriate. Any review by any of the Underwriters of the Company, the transactions contemplated hereby or other matters relating to such transactions will be performed solely for the benefit of such Underwriters and shall not be on behalf of the Company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Authority of Representatives</w:t>
      </w:r>
      <w:r>
        <w:rPr>
          <w:rFonts w:ascii="Times New Roman" w:hAnsi="Times New Roman"/>
          <w:sz w:val="20"/>
        </w:rPr>
        <w:t xml:space="preserve">. In all dealings hereunder, the Representatives shall act on behalf of each of the Underwriters, and the Company shall be entitled to act and rely upon any statement, request, notice or agreement on behalf of any Underwriter made or given by the Representatives jointly or by any Representative and may assume that such statement, request, notice or agreement has been duly authorized by such Underwriter.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Notices</w:t>
      </w:r>
      <w:r>
        <w:rPr>
          <w:rFonts w:ascii="Times New Roman" w:hAnsi="Times New Roman"/>
          <w:sz w:val="20"/>
        </w:rPr>
        <w:t xml:space="preserve">. All statements, requests, notices and agreements hereunder shall be in writing or by telephone if promptly confirmed in writing, and if to the Underwriters, shall be sufficient in all respects if delivered or sent by facsimile transmission or registered mail to the Representatives (i) c/o Goldman Sachs &amp; Co. LLC, 200 West Street, New York, New York 10282, Attn: Registration Department, email: registration-syndops@ny.email.gs.com; (ii) c/o J.P. Morgan Securities LLC, 270 Park Avenue, New York, New York 10017, Attn: Investment Grade Syndicate Desk, fax: (212) 834-6081; (iii) c/o Deutsche Bank Securities Inc., 1 Columbus Circle, New York, New York 10019, Attention: Debt Capital Market Syndicate, with a copy at the same address to Attention: General Counsel, email: dbcapmarkets.gcnotices@list.db.com; and (iv) c/o Truist Securities, Inc., 50 Hudson Yards, 70th Floor, New York, New York 10001, Attn: Legal Department; and if to the Company, shall be sufficient in all respects if delivered or sent by facsimile transmission or registered mail to Martin Marietta Materials, Inc., 4123 Parklake Avenue, Raleigh, North Carolina, 27612, Attention: General Counsel, Email: George.Schoen@martinmarietta.com.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Persons Entitled to Benefit of Agreement</w:t>
      </w:r>
      <w:r>
        <w:rPr>
          <w:rFonts w:ascii="Times New Roman" w:hAnsi="Times New Roman"/>
          <w:sz w:val="20"/>
        </w:rPr>
        <w:t xml:space="preserve">. This Agreement shall be binding upon, and inure solely to the benefit of, the Underwriters, the Company and, to the extent provided in Sections 8 and 10 hereof, the officers and directors of the Company, each person who controls the Company or any Underwriter and any other affiliate of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Time of Essence</w:t>
      </w:r>
      <w:r>
        <w:rPr>
          <w:rFonts w:ascii="Times New Roman" w:hAnsi="Times New Roman"/>
          <w:sz w:val="20"/>
        </w:rPr>
        <w:t>. Time shall be of the essence of this Agreement. As used herein, the term “</w:t>
      </w:r>
      <w:r>
        <w:rPr>
          <w:rFonts w:ascii="Times New Roman" w:hAnsi="Times New Roman"/>
          <w:sz w:val="20"/>
          <w:u w:val="single"/>
        </w:rPr>
        <w:t>business day</w:t>
      </w:r>
      <w:r>
        <w:rPr>
          <w:rFonts w:ascii="Times New Roman" w:hAnsi="Times New Roman"/>
          <w:sz w:val="20"/>
        </w:rPr>
        <w:t xml:space="preserve">” shall mean any day, other than a Saturday or a Sunday, which is not a day or which banking institutions in New York, New York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Definitive Agreement</w:t>
      </w:r>
      <w:r>
        <w:rPr>
          <w:rFonts w:ascii="Times New Roman" w:hAnsi="Times New Roman"/>
          <w:sz w:val="20"/>
        </w:rPr>
        <w:t xml:space="preserve">. This Agreement supersedes all prior agreements and understandings (written or oral) between the Company and the Underwriters,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Waiver of Jury Trial</w:t>
      </w:r>
      <w:r>
        <w:rPr>
          <w:rFonts w:ascii="Times New Roman" w:hAnsi="Times New Roman"/>
          <w:sz w:val="20"/>
        </w:rPr>
        <w:t xml:space="preserve">. The Company and each of the Underwriters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Counterparts</w:t>
      </w:r>
      <w:r>
        <w:rPr>
          <w:rFonts w:ascii="Times New Roman" w:hAnsi="Times New Roman"/>
          <w:sz w:val="20"/>
        </w:rPr>
        <w:t xml:space="preserve">. This Agreement may be executed by any one or more of the parties hereto in any number of counterparts, each of which shall be deemed to be an original, but all such counterparts shall together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Recognition of the U.S. Special Resolution Regimes</w:t>
      </w:r>
      <w:r>
        <w:rPr>
          <w:rFonts w:ascii="Times New Roman" w:hAnsi="Times New Roman"/>
          <w:sz w:val="20"/>
        </w:rPr>
        <w:t xml:space="preserve">.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w:t>
      </w:r>
    </w:p>
    <w:p>
      <w:pPr>
        <w:pStyle w:val="TextBody"/>
        <w:bidi w:val="0"/>
        <w:spacing w:before="0" w:after="0"/>
        <w:jc w:val="left"/>
        <w:rPr>
          <w:rFonts w:ascii="Times New Roman" w:hAnsi="Times New Roman"/>
          <w:sz w:val="20"/>
        </w:rPr>
      </w:pPr>
      <w:r>
        <w:rPr>
          <w:rFonts w:ascii="Times New Roman" w:hAnsi="Times New Roman"/>
          <w:sz w:val="20"/>
        </w:rPr>
        <w:t xml:space="preserve">interpreted in accordance with, 12 U.S.C. § 1841(k).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the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the Representatives’ understanding, please sign and return to us a counterpart hereof, and upon the acceptance hereof by the Representatives, on behalf of each of the Underwriters, this letter and such acceptance hereof shall constitute a binding agreement between each of the Underwriters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Representatives’ acceptance of this letter on behalf of each of the Underwriters is pursuant to the authority set forth in a form of an Agreement among the Underwriters, copies of which, to the extent practicable and upon request, shall be submitted to the Company for examination, but without any representation or warranty on the Representatives’ part as to the authority of the senders thereof.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MARTIN MARIETTA MATERIALS,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C. Howard Nye</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 Howard Nye</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 Chair of the Board, President and</w:t>
              <w:b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themselves and on behalf of the several Underwriters listed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Accepted as of the date first written above at New York, New York: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Jonathan Zwart</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Jonathan Zwart</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Robert Bottamedi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Robert Bottamedi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Ritu Ketkar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Ritu Ketkar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Kevin Prior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Kevin Prior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Rob Nordlinger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Rob Nordlinger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26"/>
        <w:gridCol w:w="124"/>
        <w:gridCol w:w="142"/>
        <w:gridCol w:w="1244"/>
        <w:gridCol w:w="60"/>
        <w:gridCol w:w="124"/>
        <w:gridCol w:w="140"/>
        <w:gridCol w:w="1401"/>
        <w:gridCol w:w="60"/>
        <w:gridCol w:w="124"/>
        <w:gridCol w:w="140"/>
        <w:gridCol w:w="1401"/>
        <w:gridCol w:w="60"/>
        <w:gridCol w:w="124"/>
        <w:gridCol w:w="140"/>
        <w:gridCol w:w="1401"/>
        <w:gridCol w:w="60"/>
        <w:gridCol w:w="124"/>
        <w:gridCol w:w="140"/>
        <w:gridCol w:w="1401"/>
        <w:gridCol w:w="69"/>
      </w:tblGrid>
      <w:tr>
        <w:trPr/>
        <w:tc>
          <w:tcPr>
            <w:tcW w:w="172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24"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4.850% Senior</w:t>
              <w:br/>
              <w:t>Notes due 2029</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5.200% Senior</w:t>
              <w:br/>
              <w:t>Notes due 2032</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5.400% Senior</w:t>
              <w:br/>
              <w:t>Notes due 2034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5.625% Senior</w:t>
              <w:br/>
              <w:t>Notes due 2036</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6.375% Senior</w:t>
              <w:br/>
              <w:t>Notes due 2056</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262,500,000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437,500,000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350,000,000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525,000,000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350,000,000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187,500,000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225,000,000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150,000,000</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100,000,000</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90,000,000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90,000,000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60,000,000</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Citizens Capital Securities, LLC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62,500,000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62,500,000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50,000,000</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20,000,000</w:t>
            </w:r>
          </w:p>
        </w:tc>
        <w:tc>
          <w:tcPr>
            <w:tcW w:w="69"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20,000,000</w:t>
            </w:r>
          </w:p>
        </w:tc>
        <w:tc>
          <w:tcPr>
            <w:tcW w:w="69"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20,000,000</w:t>
            </w:r>
          </w:p>
        </w:tc>
        <w:tc>
          <w:tcPr>
            <w:tcW w:w="69"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1,250,000,000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1,000,000,000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1,500,000,000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1,000,000,000</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August 11, 2026, relating to the Securities, substantially in the form of Annex A hereto, which will be filed pursuant to Rule 433 under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333-293581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August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August 10, 2026 </w:t>
      </w:r>
    </w:p>
    <w:p>
      <w:pPr>
        <w:pStyle w:val="TextBody"/>
        <w:bidi w:val="0"/>
        <w:spacing w:before="48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4.850%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5.200% Senior Notes due 2032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5.400% Senior Notes due 2034 </w:t>
      </w:r>
    </w:p>
    <w:p>
      <w:pPr>
        <w:pStyle w:val="TextBody"/>
        <w:bidi w:val="0"/>
        <w:spacing w:before="0" w:after="0"/>
        <w:jc w:val="center"/>
        <w:rPr>
          <w:rFonts w:ascii="Times New Roman" w:hAnsi="Times New Roman"/>
          <w:b/>
          <w:sz w:val="20"/>
        </w:rPr>
      </w:pPr>
      <w:r>
        <w:rPr>
          <w:rFonts w:ascii="Times New Roman" w:hAnsi="Times New Roman"/>
          <w:b/>
          <w:sz w:val="20"/>
        </w:rPr>
        <w:t xml:space="preserve">$1,500,000,000 5.625%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6.375% Senior Notes due 2056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This term sheet (this “Pricing Term Sheet”) relates only to the securities described below and is qualified in its entirety by reference to the preliminary prospectus supplement, dated August 10, 2026, of Martin Marietta Materials, Inc. (the “Preliminary Prospectus Supplement”). The information in this Pricing Term Sheet supplements the Preliminary Prospectus Supplement and supersedes the information in the Preliminary Prospectus Supplement only to the extent it is inconsistent with the information contained in the Preliminary Prospectus Supplement. Capitalized terms used but not defined herein have the meanings given to them in the Preliminary Prospectus Supplement.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4.850% SENIOR NOTES DUE 2029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Martin Marietta Materials,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4.850% Senior Notes due 2029 (the “2029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Principal Amount:</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$750,000,000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August 15,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 Price: </w:t>
            </w:r>
          </w:p>
        </w:tc>
        <w:tc>
          <w:tcPr>
            <w:tcW w:w="6330" w:type="dxa"/>
            <w:tcBorders/>
          </w:tcPr>
          <w:p>
            <w:pPr>
              <w:pStyle w:val="TableContents"/>
              <w:bidi w:val="0"/>
              <w:spacing w:before="0" w:after="283"/>
              <w:jc w:val="left"/>
              <w:rPr/>
            </w:pPr>
            <w:r>
              <w:rPr/>
              <w:t xml:space="preserve">99.936% of principal amount, plus accrued interest, if any, from and including,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UST 4.125% due July 15,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 Price and Yield: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99-17 1/4 and 4.293%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Spread to 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Plus 58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Yield to 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4.873%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Coupon (Interest Rate):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4.850%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6" w:type="dxa"/>
            <w:tcBorders/>
          </w:tcPr>
          <w:p>
            <w:pPr>
              <w:pStyle w:val="TableContents"/>
              <w:bidi w:val="0"/>
              <w:spacing w:before="0" w:after="283"/>
              <w:jc w:val="left"/>
              <w:rPr/>
            </w:pPr>
            <w:r>
              <w:rPr/>
              <w:t xml:space="preserve">Semi-annually on February 15 and August 15, commencing on February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Gross Proceeds to the Issuer: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$749,520,000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Special Mandatory Redemption </w:t>
            </w:r>
          </w:p>
        </w:tc>
        <w:tc>
          <w:tcPr>
            <w:tcW w:w="6328" w:type="dxa"/>
            <w:tcBorders/>
          </w:tcPr>
          <w:p>
            <w:pPr>
              <w:pStyle w:val="TableContents"/>
              <w:bidi w:val="0"/>
              <w:spacing w:before="0" w:after="283"/>
              <w:jc w:val="left"/>
              <w:rPr/>
            </w:pPr>
            <w:r>
              <w:rPr/>
              <w:t xml:space="preserve">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July 15, 2029 (1 month prior to the maturity date of the 2029 Notes) (the “2029 Par Call Date”), the Company may redeem the 2029 Notes at its option, in whole or in part, at any time and from time to time, at a redemption price equal to the greater of (1)(a) the sum of the present values of the remaining scheduled payments of principal and interest thereon discounted to the redemption date (assuming the 2029 Notes matured on the 2029 Par Call Date) on a semi-annual basis (assuming a 360-day year consisting of twelve 30-day months) at the Treasury Rate plus 10 basis points less (b) interest accrued to, but excluding, the date of redemption, and (2) 100% of the principal amount of the 2029 Notes to be redeemed, plus in either case, accrued and unpaid interest thereon to, but excluding,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On or after the 2029 Par Call Date, the Company may redeem the 2029 Notes, in whole or in part, at any time and from time to time, at a redemption price equal to 100% of the principal amount, plus accrued and unpaid interest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Day Count Convention: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30/360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CUSIP / ISIN: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573284 BC9 / US573284BC99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5.200% SENIOR NOTES DUE 2032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Martin Marietta Materials,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5.200% Senior Notes due 2032 (the “2032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Principal Amount: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$1,250,000,000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January 30,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 Price: </w:t>
            </w:r>
          </w:p>
        </w:tc>
        <w:tc>
          <w:tcPr>
            <w:tcW w:w="6330" w:type="dxa"/>
            <w:tcBorders/>
          </w:tcPr>
          <w:p>
            <w:pPr>
              <w:pStyle w:val="TableContents"/>
              <w:bidi w:val="0"/>
              <w:spacing w:before="0" w:after="283"/>
              <w:jc w:val="left"/>
              <w:rPr/>
            </w:pPr>
            <w:r>
              <w:rPr/>
              <w:t xml:space="preserve">99.894% of principal amount, plus accrued interest, if any, from and including,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UST 4.375% due July 31,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 Price and Yield: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99-29 3/8 and 4.393%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Spread to 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Plus 83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Yield to 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5.223%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Coupon (Interest Rate):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5.200%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6" w:type="dxa"/>
            <w:tcBorders/>
          </w:tcPr>
          <w:p>
            <w:pPr>
              <w:pStyle w:val="TableContents"/>
              <w:bidi w:val="0"/>
              <w:spacing w:before="0" w:after="283"/>
              <w:jc w:val="left"/>
              <w:rPr/>
            </w:pPr>
            <w:r>
              <w:rPr/>
              <w:t xml:space="preserve">Semi-annually on January 30 and July 30, commencing on January 30,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Gross Proceeds to the 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$1,248,675,000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Special Mandatory Redemption </w:t>
            </w:r>
          </w:p>
        </w:tc>
        <w:tc>
          <w:tcPr>
            <w:tcW w:w="6328" w:type="dxa"/>
            <w:tcBorders/>
          </w:tcPr>
          <w:p>
            <w:pPr>
              <w:pStyle w:val="TableContents"/>
              <w:bidi w:val="0"/>
              <w:spacing w:before="0" w:after="283"/>
              <w:jc w:val="left"/>
              <w:rPr/>
            </w:pPr>
            <w:r>
              <w:rPr/>
              <w:t xml:space="preserve">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7" w:type="dxa"/>
            <w:tcBorders/>
          </w:tcPr>
          <w:p>
            <w:pPr>
              <w:pStyle w:val="TableContents"/>
              <w:bidi w:val="0"/>
              <w:spacing w:before="0" w:after="283"/>
              <w:jc w:val="left"/>
              <w:rPr/>
            </w:pPr>
            <w:r>
              <w:rPr/>
              <w:t xml:space="preserve">Prior to December 30, 2031 (1 month prior to the maturity date of the 2032 Notes) (the “2032 Par Call Date”), the Company may redeem the 2032 Notes at its option, in whole or in part, at any time and from time to time, at a redemption price equal to the greater of (1)(a) the sum of the present values of the remaining scheduled payments of principal and interest thereon discounted to the redemption date (assuming the 2032 Notes matured on the 2032 Par Call Date) on a semi-annual basis (assuming a 360-day year consisting of twelve 30-day months) at the Treasury Rate plus 15 basis points less (b) interest accrued to, but excluding, the date of redemption, and (2) 100% of the principal amount of the 2032 Notes to be redeemed, plus in either case, accrued and unpaid interest thereon to, but excluding,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On or after the 2032 Par Call Date, the Company may redeem the 2032 Notes, in whole or in part, at any time and from time to time, at a redemption price equal to 100% of the principal amount, plus accrued and unpaid interest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Day Count Convention: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30/360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CUSIP / ISIN:</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573284BD7 / US573284BD72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5.400% SENIOR NOTES DUE 2034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Martin Marietta Materials,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5.400% Senior Notes due 2034 (the “2034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Principal Amount: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$1,000,000,000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January 30,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 Price: </w:t>
            </w:r>
          </w:p>
        </w:tc>
        <w:tc>
          <w:tcPr>
            <w:tcW w:w="6330" w:type="dxa"/>
            <w:tcBorders/>
          </w:tcPr>
          <w:p>
            <w:pPr>
              <w:pStyle w:val="TableContents"/>
              <w:bidi w:val="0"/>
              <w:spacing w:before="0" w:after="283"/>
              <w:jc w:val="left"/>
              <w:rPr/>
            </w:pPr>
            <w:r>
              <w:rPr/>
              <w:t xml:space="preserve">99.772% of principal amount, plus accrued interest, if any, from and including,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UST 4.375% due July 31, 2033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 Price and Yield:</w:t>
            </w:r>
            <w:r>
              <w:rPr>
                <w:rFonts w:ascii="Times New Roman" w:hAnsi="Times New Roman"/>
                <w:sz w:val="20"/>
              </w:rPr>
              <w:t xml:space="preserve">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99-01 and 4.538%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Spread to 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Plus 90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Yield to 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5.438%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Coupon (Interest Rate):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5.400%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6" w:type="dxa"/>
            <w:tcBorders/>
          </w:tcPr>
          <w:p>
            <w:pPr>
              <w:pStyle w:val="TableContents"/>
              <w:bidi w:val="0"/>
              <w:spacing w:before="0" w:after="283"/>
              <w:jc w:val="left"/>
              <w:rPr/>
            </w:pPr>
            <w:r>
              <w:rPr/>
              <w:t xml:space="preserve">Semi-annually on January 30 and July 30, commencing on January 30,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Gross Proceeds to the Issuer: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$997,720,000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Special Mandatory Redemption </w:t>
            </w:r>
          </w:p>
        </w:tc>
        <w:tc>
          <w:tcPr>
            <w:tcW w:w="6328" w:type="dxa"/>
            <w:tcBorders/>
          </w:tcPr>
          <w:p>
            <w:pPr>
              <w:pStyle w:val="TableContents"/>
              <w:bidi w:val="0"/>
              <w:spacing w:before="0" w:after="283"/>
              <w:jc w:val="left"/>
              <w:rPr/>
            </w:pPr>
            <w:r>
              <w:rPr/>
              <w:t xml:space="preserve">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7" w:type="dxa"/>
            <w:tcBorders/>
          </w:tcPr>
          <w:p>
            <w:pPr>
              <w:pStyle w:val="TableContents"/>
              <w:bidi w:val="0"/>
              <w:spacing w:before="0" w:after="283"/>
              <w:jc w:val="left"/>
              <w:rPr/>
            </w:pPr>
            <w:r>
              <w:rPr/>
              <w:t xml:space="preserve">Prior to November 30, 2033 (2 months prior to the maturity date of the 2034 Notes) (the “2034 Par Call Date”), the Company may redeem the 2034 Notes at its option, in whole or in part, at any time and from time to time, at a redemption price equal to the greater of (1)(a) the sum of the present values of the remaining scheduled payments of principal and interest thereon discounted to the redemption date (assuming the 2034 Notes matured on the 2034 Par Call Date) on a semi-annual basis (assuming a 360-day year consisting of twelve 30-day months) at the Treasury Rate plus 15 basis points less (b) interest accrued to, but excluding, the date of redemption, and (2) 100% of the principal amount of the 2034 Notes to be redeemed, plus in either case, accrued and unpaid interest thereon to, but excluding,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On or after the 2034 Par Call Date, the Company may redeem the 2034 Notes, in whole or in part, at any time and from time to time, at a redemption price equal to 100% of the principal amount, plus accrued and unpaid interest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Day Count Convention: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30/360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CUSIP / ISIN: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573284BE5 / US573284BE55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5.625% SENIOR NOTES DUE 2036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Martin Marietta Materials,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5.625% Senior Notes due 2036 (the “2036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Principal Amount: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$1,500,000,000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August 15,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 Price: </w:t>
            </w:r>
          </w:p>
        </w:tc>
        <w:tc>
          <w:tcPr>
            <w:tcW w:w="6330" w:type="dxa"/>
            <w:tcBorders/>
          </w:tcPr>
          <w:p>
            <w:pPr>
              <w:pStyle w:val="TableContents"/>
              <w:bidi w:val="0"/>
              <w:spacing w:before="0" w:after="283"/>
              <w:jc w:val="left"/>
              <w:rPr/>
            </w:pPr>
            <w:r>
              <w:rPr/>
              <w:t xml:space="preserve">99.660% of principal amount, plus accrued interest, if any, from and including,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UST 4.375% due May 15,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 Price and Yield: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97-17+ and 4.690%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Spread to 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Plus 98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Yield to 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5.670%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Coupon (Interest Rate):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5.625%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6" w:type="dxa"/>
            <w:tcBorders/>
          </w:tcPr>
          <w:p>
            <w:pPr>
              <w:pStyle w:val="TableContents"/>
              <w:bidi w:val="0"/>
              <w:spacing w:before="0" w:after="283"/>
              <w:jc w:val="left"/>
              <w:rPr/>
            </w:pPr>
            <w:r>
              <w:rPr/>
              <w:t xml:space="preserve">Semi-annually on February 15 and August 15, commencing on February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Gross Proceeds to the 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$1,494,900,000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Special Mandatory Redemption </w:t>
            </w:r>
          </w:p>
        </w:tc>
        <w:tc>
          <w:tcPr>
            <w:tcW w:w="6328" w:type="dxa"/>
            <w:tcBorders/>
          </w:tcPr>
          <w:p>
            <w:pPr>
              <w:pStyle w:val="TableContents"/>
              <w:bidi w:val="0"/>
              <w:spacing w:before="0" w:after="283"/>
              <w:jc w:val="left"/>
              <w:rPr/>
            </w:pPr>
            <w:r>
              <w:rPr/>
              <w:t xml:space="preserve">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May 15, 2036 (3 months prior to the maturity date of the 2036 Notes) (the “2036 Par Call Date”), the Company may redeem the 2036 Notes at its option, in whole or in part, at any time and from time to time, at a redemption price equal to the greater of (1)(a) the sum of the present values of the remaining scheduled payments of principal and interest thereon discounted to the redemption date (assuming the 2036 Notes matured on the 2036 Par Call Date) on a semi-annual basis (assuming a 360-day year consisting of twelve 30-day months) at the Treasury Rate plus 15 basis points less (b) interest accrued to, but excluding, the date of redemption, and (2) 100% of the principal amount of the 2036 Notes to be redeemed, plus in either case, accrued and unpaid interest thereon to, but excluding,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On or after the 2036 Par Call Date, the Company may redeem the 2036 Notes, in whole or in part, at any time and from time to time, at a redemption price equal to 100% of the principal amount, plus accrued and unpaid interest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Day Count Convention: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30/360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CUSIP / ISIN: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573284BF2 / US573284BF21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6.375% SENIOR NOTES DUE 2056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Martin Marietta Materials,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6.375% Senior Notes due 2056 (the “2056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Principal Amount: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$1,000,000,000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August 15, 2056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 Price: </w:t>
            </w:r>
          </w:p>
        </w:tc>
        <w:tc>
          <w:tcPr>
            <w:tcW w:w="6330" w:type="dxa"/>
            <w:tcBorders/>
          </w:tcPr>
          <w:p>
            <w:pPr>
              <w:pStyle w:val="TableContents"/>
              <w:bidi w:val="0"/>
              <w:spacing w:before="0" w:after="283"/>
              <w:jc w:val="left"/>
              <w:rPr/>
            </w:pPr>
            <w:r>
              <w:rPr/>
              <w:t xml:space="preserve">99.721% of principal amount, plus accrued interest, if any, from and including,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UST 4.750% due February 15, 2056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Benchmark Treasury Price and</w:t>
            </w:r>
            <w:r>
              <w:rPr>
                <w:rFonts w:ascii="Times New Roman" w:hAnsi="Times New Roman"/>
                <w:sz w:val="20"/>
              </w:rPr>
              <w:t xml:space="preserve"> </w:t>
            </w:r>
            <w:r>
              <w:rPr>
                <w:rFonts w:ascii="Times New Roman" w:hAnsi="Times New Roman"/>
                <w:b/>
                <w:sz w:val="20"/>
              </w:rPr>
              <w:t>Yield:</w:t>
            </w:r>
            <w:r>
              <w:rPr>
                <w:rFonts w:ascii="Times New Roman" w:hAnsi="Times New Roman"/>
                <w:sz w:val="20"/>
              </w:rPr>
              <w:t xml:space="preserve">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92-19 and 5.246%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Spread to Benchmark Treasury: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Plus 115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Yield to Maturity:</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6.396%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Coupon (Interest Rate):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6.375%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6" w:type="dxa"/>
            <w:tcBorders/>
          </w:tcPr>
          <w:p>
            <w:pPr>
              <w:pStyle w:val="TableContents"/>
              <w:bidi w:val="0"/>
              <w:spacing w:before="0" w:after="283"/>
              <w:jc w:val="left"/>
              <w:rPr/>
            </w:pPr>
            <w:r>
              <w:rPr/>
              <w:t xml:space="preserve">Semi-annually on February 15 and August 15, commencing on February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Gross Proceeds to the Issuer:</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$997,210,000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Special Mandatory Redemption </w:t>
            </w:r>
          </w:p>
        </w:tc>
        <w:tc>
          <w:tcPr>
            <w:tcW w:w="6328" w:type="dxa"/>
            <w:tcBorders/>
          </w:tcPr>
          <w:p>
            <w:pPr>
              <w:pStyle w:val="TableContents"/>
              <w:bidi w:val="0"/>
              <w:spacing w:before="0" w:after="283"/>
              <w:jc w:val="left"/>
              <w:rPr/>
            </w:pPr>
            <w:r>
              <w:rPr/>
              <w:t xml:space="preserve">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February 15, 2056 (6 months prior to the maturity date of the 2056 Notes) (the “2056 Par Call Date”), the Company may redeem the 2056 Notes at its option, in whole or in part, at any time and from time to time, at a redemption price equal to the greater of (1)(a) the sum of the present values of the remaining scheduled payments of principal and interest thereon discounted to the redemption date (assuming the 2056 Notes matured on the 2056 Par Call Date) on a semi-annual basis (assuming a 360-day year consisting of twelve 30-day months) at the Treasury Rate plus 20 basis points less (b) interest accrued to, but excluding, the date of redemption, and (2) 100% of the principal amount of the 2056 Notes to be redeemed, plus in either case, accrued and unpaid interest thereon to, but excluding,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On or after the 2056 Par Call Date, the Company may redeem the 2056 Notes, in whole or in part, at any time and from time to time, at a redemption price equal to 100% of the principal amount, plus accrued and unpaid interest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Day Count Convention: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30/360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CUSIP / ISIN:</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573284BG0 / US573284BG04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2029 NOTES, 2032 NOTES, 2034 NOTES, 2036 NOTES and 2056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Ratings:*</w:t>
            </w:r>
            <w:r>
              <w:rPr>
                <w:rFonts w:ascii="Times New Roman" w:hAnsi="Times New Roman"/>
                <w:sz w:val="20"/>
              </w:rPr>
              <w:t xml:space="preserve"> </w:t>
            </w:r>
          </w:p>
        </w:tc>
        <w:tc>
          <w:tcPr>
            <w:tcW w:w="632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Trade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August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Settlement Date: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August 14, 2026 (T+3)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expect that delivery of the 2029 Notes, 2032 Notes, 2034 Notes, 2036 Notes and 2056 Notes (collectively, the “Notes”) will be made to investors on or about August 14, 2026, which will be the third business day following the date of the prospectus supplement (such settlement cycle being referred to as “T+3”). Under Rule 15c6-1 under the Securities Exchange Act of 1934, as amended, trades in the secondary market are required to settle in one business day, unless the parties to any such trade expressly agree otherwise. Accordingly, purchasers who wish to trade the Notes any date prior to the business day before delivery will be required, by virtue of the fact that the Notes initially settle in T+3, to specify an alternate settlement arrangement at the time of any such trade to prevent a failed settlement. Purchasers of the Notes who wish to trade the Notes prior to the business day preceding the delivery date of the Notes should consult their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Legal Format:</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SEC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Denominations: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$2,000 x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Joint Book-Running Managers: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Goldman Sachs &amp; 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J.P. Morgan Securities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Deutsche Bank Securities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Truist Securities,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PNC Capital Markets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Wells Fargo Securities,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First Citizens Capital Securities,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Regions Securities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Co-Managers: </w:t>
            </w:r>
          </w:p>
        </w:tc>
        <w:tc>
          <w:tcPr>
            <w:tcW w:w="6328" w:type="dxa"/>
            <w:tcBorders/>
          </w:tcPr>
          <w:p>
            <w:pPr>
              <w:pStyle w:val="TableContents"/>
              <w:bidi w:val="0"/>
              <w:spacing w:before="0" w:after="283"/>
              <w:jc w:val="left"/>
              <w:rPr/>
            </w:pPr>
            <w:r>
              <w:rPr/>
              <w:t xml:space="preserve">Fifth Third Securities,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Loop Capital Markets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Morgan Stanley &amp; 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RBC Capital Markets,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 securities rating is not a recommendation to buy, sell or hold securities and may be subject to revision or withdrawal at any time.</w:t>
            </w:r>
            <w:r>
              <w:rPr>
                <w:rFonts w:ascii="Times New Roman" w:hAnsi="Times New Roman"/>
                <w:sz w:val="20"/>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communication is intended for the sole use of the person to whom it is provided by us. </w:t>
      </w:r>
    </w:p>
    <w:p>
      <w:pPr>
        <w:pStyle w:val="TextBody"/>
        <w:bidi w:val="0"/>
        <w:spacing w:before="240" w:after="0"/>
        <w:jc w:val="left"/>
        <w:rPr>
          <w:rFonts w:ascii="Times New Roman" w:hAnsi="Times New Roman"/>
          <w:sz w:val="20"/>
        </w:rPr>
      </w:pPr>
      <w:r>
        <w:rPr>
          <w:rFonts w:ascii="Times New Roman" w:hAnsi="Times New Roman"/>
          <w:b/>
          <w:sz w:val="20"/>
        </w:rPr>
        <w:t xml:space="preserve">The Issuer has filed a registration statement (including a prospectus) with the U.S.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Times New Roman" w:hAnsi="Times New Roman"/>
          <w:b/>
          <w:i/>
          <w:sz w:val="20"/>
          <w:u w:val="single"/>
        </w:rPr>
        <w:t>www.sec.gov</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Alternatively, the Issuer, any underwriter or any dealer participating in this offering will arrange to send you a copy of the prospectus upon request. Interested parties may obtain a prospectus and the related prospectus supplement from Goldman Sachs &amp; Co. LLC, Attention: Prospectus Department, 200 West Street, New York, New York 10282, by telephone: 866-471-2526, facsimile: 212-902-9316 or by emailing prospectus-ny@ny.email.gs.com; J.P. Morgan Securities LLC, c/o Broadridge Solutions, 1155 Long Island Avenue, Edgewood, New York 11717, or call collect at 212-834-4533; Deutsche Bank Securities Inc., Attn: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Department, 1 Columbus Circle, New York, New York 10019, by telephone: 800-503-4611 or by email: prospectus.cpdg@db.com; or Truist Securities, Inc. 3333 Peachtree Road, Atlanta, GA 30326, Attn: Prospectus Department, or by telephone: 800-685-4786.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other notice was automatically generated as a result of this communication being sent via Bloomberg or another email system. </w:t>
      </w:r>
    </w:p>
    <w:p>
      <w:pPr>
        <w:pStyle w:val="TextBody"/>
        <w:bidi w:val="0"/>
        <w:spacing w:before="0" w:after="0"/>
        <w:jc w:val="right"/>
        <w:rPr>
          <w:rFonts w:ascii="Times New Roman" w:hAnsi="Times New Roman"/>
          <w:b/>
          <w:sz w:val="20"/>
        </w:rPr>
      </w:pPr>
      <w:bookmarkStart w:id="4" w:name="d149482dex991.htm"/>
      <w:bookmarkStart w:id="5" w:name="ksd149482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288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733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Martin Marietta Announces Pricing Terms of Debt Offering </w:t>
      </w:r>
    </w:p>
    <w:p>
      <w:pPr>
        <w:pStyle w:val="TextBody"/>
        <w:bidi w:val="0"/>
        <w:spacing w:before="240" w:after="0"/>
        <w:jc w:val="left"/>
        <w:rPr>
          <w:rFonts w:ascii="Times New Roman" w:hAnsi="Times New Roman"/>
          <w:sz w:val="20"/>
        </w:rPr>
      </w:pPr>
      <w:r>
        <w:rPr>
          <w:rFonts w:ascii="Times New Roman" w:hAnsi="Times New Roman"/>
          <w:sz w:val="20"/>
        </w:rPr>
        <w:t xml:space="preserve">August 12, 2026 </w:t>
      </w:r>
    </w:p>
    <w:p>
      <w:pPr>
        <w:pStyle w:val="TextBody"/>
        <w:bidi w:val="0"/>
        <w:spacing w:before="240" w:after="0"/>
        <w:jc w:val="left"/>
        <w:rPr>
          <w:rFonts w:ascii="Times New Roman" w:hAnsi="Times New Roman"/>
          <w:sz w:val="20"/>
        </w:rPr>
      </w:pPr>
      <w:r>
        <w:rPr>
          <w:rFonts w:ascii="Times New Roman" w:hAnsi="Times New Roman"/>
          <w:sz w:val="20"/>
        </w:rPr>
        <w:t xml:space="preserve">Raleigh, N.C., August 12, 2026 (GLOBE NEWSWIRE) – Martin Marietta Materials, Inc. (NYSE:MLM) (“Martin Marietta” or the “Company”) announced the pricing of its offering of $750 million aggregate principal amount of 4.850% Senior Notes due 2029 (the “2029 Notes”), $1,250 million aggregate principal amount of 5.200% Senior Notes due 2032 (the “2032 Notes”), $1,000 million aggregate principal amount of 5.400% Senior Notes due 2034 (the “2034 Notes”), $1,500 million aggregate principal amount of 5.625% Senior Notes due 2036 (the “2036 Notes”) and $1,000 million aggregate principal amount of 6.375% Senior Notes due 2056 (the “2056 Notes” and, together with the 2029 Notes, 2032 Notes, 2034 Notes and 2036 Notes, the “Notes”). The 2029 Notes will mature on August 15, 2029, will have an interest rate of 4.850% per annum and will be issued at 99.936% of par value. The 2032 Notes will mature on January 30, 2032, will have an interest rate of 5.200% per annum and will be issued at 99.894% of par value. The 2034 Notes will mature on January 30, 2034, will have an interest rate of 5.400% per annum and will be issued at 99.772% of par value. The 2036 Notes will mature on August 15, 2036, will have an interest rate of 5.625% per annum and will be issued at 99.660% of par value. The 2056 Notes will mature on August 15, 2056, will have an interest rate of 6.375% per annum and will be issued at 99.721% of par value. Interest on the 2029 Notes, 2036 Notes and 2056 Notes will be paid semiannually on February 15 and August 15, commencing February 15, 2027. Interest on the 2032 Notes and 2034 Notes will be paid semiannually on January 30 and July 30, commencing January 30, 2027. The Notes will be sold pursuant to Martin Marietta’s shelf registration statement, base prospectus and prospectus supplement on file with the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of the Notes will be used, together with borrowings under a $1.5 billion senior unsecured term loan facility, to pay the cash consideration for the Company’s previously announced acquisition of all of the outstanding equity interests in Lhoist North America, Inc. Closing of the offering is expected to occur in the third quarter of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J.P. Morgan Securities LLC, Deutsche Bank Securities Inc. and Truist Securities, Inc. will serve as underwriters and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Martin Marietta has filed a shelf registration statement on Form S-3 (including a base prospectus) with the SEC for the offering to which this communication relates. Before you invest, you should read the prospectus in that registration statement and the prospectus supplement thereto and the other documents that Martin Marietta has filed or will file with the SEC for more complete information about Martin Marietta and this offering. The offering will be made only pursuant to the terms of the relevant prospectus supplement (including the prospectus). These documents will be available at no charge by visiting EDGAR on the SEC website at www.sec.gov. Alternatively, these documents will be made available upon request to any underwriter participating in the offering. Interested parties may obtain a prospectus and the related prospectus supplement from: Goldman Sachs &amp; Co. LLC, Attention: Prospectus Department, 200 West Street, New York, New York 10282, by email at prospectus-ny@ny.email.gs.com or by telephone at 1-866-471-2526; J.P. Morgan Securities LLC, c/o Broadridge Financial Solutions, 1155 Long Island Avenue, Edgewood, New York 11717 or by email at prospectus-eq_fi@jpmchase.com and postsalemanualrequests@broadridge.com; Deutsche Bank Securities Inc., Attn: Prospectus Department, 1 Columbus Circle, New York, New York 10019, by email at prospectus.cpdg@db.com or by telephone at 1-800-503-4611; and Truist Securities, Inc., Attn: Prospectus Department, 740 Battery Avenue SE, 3rd Fl, Atlanta, Georgia 30339 or by telephone at 1-800-685-4786.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does not constitute an offer to sell or a solicitation of an offer to buy any securities. Offers of securities will be made only by means of a prospectus filed with the SEC. The prospectus is part of a shelf registration statement that has become effective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Company Description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a member of the S&amp;P 500 Index, is an American-based company and a leading supplier of aggregates and other building materials. Through a network of operations spanning 29 states, Canada and The Bahamas, dedicated Martin Marietta teams supply the resources necessary for building the solid foundations on which our communities thrive. Martin Marietta’s Specialties business provides high-purity magnesia and dolomitic lime products used worldwide in environmental, industrial, agricultural and other specialty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Jacklyn Rooker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(919) 510-4736 </w:t>
      </w:r>
    </w:p>
    <w:p>
      <w:pPr>
        <w:pStyle w:val="TextBody"/>
        <w:bidi w:val="0"/>
        <w:spacing w:before="0" w:after="0"/>
        <w:jc w:val="left"/>
        <w:rPr>
          <w:rFonts w:ascii="Times New Roman" w:hAnsi="Times New Roman"/>
          <w:sz w:val="20"/>
        </w:rPr>
      </w:pPr>
      <w:r>
        <w:rPr>
          <w:rFonts w:ascii="Times New Roman" w:hAnsi="Times New Roman"/>
          <w:sz w:val="20"/>
          <w:u w:val="single"/>
        </w:rPr>
        <w:t>Jacklyn.Rooker@martinmarietta.com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MLM-G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About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Investors are cautioned that all statements in this release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turn out to be wrong. </w:t>
      </w:r>
    </w:p>
    <w:p>
      <w:pPr>
        <w:pStyle w:val="TextBody"/>
        <w:bidi w:val="0"/>
        <w:spacing w:before="240" w:after="0"/>
        <w:jc w:val="left"/>
        <w:rPr>
          <w:rFonts w:ascii="Times New Roman" w:hAnsi="Times New Roman"/>
          <w:sz w:val="20"/>
        </w:rPr>
      </w:pPr>
      <w:r>
        <w:rPr>
          <w:rFonts w:ascii="Times New Roman" w:hAnsi="Times New Roman"/>
          <w:sz w:val="20"/>
        </w:rPr>
        <w:t xml:space="preserve">Statements and assumptions on future revenues, income and cash flows, performance, economic trends, the outcome of litigation, regulatory compliance and environmental remediation cost estimates are examples of forward-looking statements. Numerous factors could affect our forward-looking statements and actual performance.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update any forward-looking statements in order to reflect any event or circumstance that may arise after the date of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consider these forward-looking statements in light of risk factors discussed in the preliminary prospectus supplement filed with the SEC on August 10, 2026 and those in our Annual Report on Form 10-K for the year ended December 31, 2025, our Quarterly Report on Form 10-Q for the quarter ended June 30, 2026 and other periodic filings made with the SEC. All of our forward-looking statements should be considered in light of these factors. In addition, other risks and uncertainties not presently known to us or that we consider immaterial could affect the accuracy of our forward-looking statements, or adversely affect or be material to the Company. The Company assumes no obligation to update any such forward-looking statements.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20103</Words>
  <Characters>107516</Characters>
  <CharactersWithSpaces>127949</CharactersWithSpaces>
  <Paragraphs>1052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