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4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877570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126365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154305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7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0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November 04,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197485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MARTIN MARIETTA MATERIALS, INC.</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232410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tbl>
      <w:tblPr>
        <w:tblLayout w:type="fixed"/>
        <w:tblInd w:w="1040" w:type="dxa"/>
        <w:tblCellMar>
          <w:top w:w="0" w:type="dxa"/>
          <w:left w:w="0" w:type="dxa"/>
          <w:bottom w:w="0" w:type="dxa"/>
          <w:right w:w="0" w:type="dxa"/>
        </w:tblCellMar>
      </w:tblPr>
      <w:tr>
        <w:trPr>
          <w:trHeight w:val="207"/>
        </w:trPr>
        <w:tc>
          <w:tcPr>
            <w:tcW w:w="3140" w:type="dxa"/>
            <w:vAlign w:val="bottom"/>
          </w:tcPr>
          <w:p>
            <w:pPr>
              <w:jc w:val="center"/>
              <w:ind w:right="501"/>
              <w:spacing w:after="0"/>
              <w:rPr>
                <w:sz w:val="20"/>
                <w:szCs w:val="20"/>
                <w:color w:val="auto"/>
              </w:rPr>
            </w:pPr>
            <w:r>
              <w:rPr>
                <w:rFonts w:ascii="Arial" w:cs="Arial" w:eastAsia="Arial" w:hAnsi="Arial"/>
                <w:sz w:val="18"/>
                <w:szCs w:val="18"/>
                <w:b w:val="1"/>
                <w:bCs w:val="1"/>
                <w:color w:val="auto"/>
                <w:w w:val="99"/>
              </w:rPr>
              <w:t>North Carolina</w:t>
            </w:r>
          </w:p>
        </w:tc>
        <w:tc>
          <w:tcPr>
            <w:tcW w:w="3240" w:type="dxa"/>
            <w:vAlign w:val="bottom"/>
          </w:tcPr>
          <w:p>
            <w:pPr>
              <w:jc w:val="right"/>
              <w:ind w:right="1381"/>
              <w:spacing w:after="0"/>
              <w:rPr>
                <w:sz w:val="20"/>
                <w:szCs w:val="20"/>
                <w:color w:val="auto"/>
              </w:rPr>
            </w:pPr>
            <w:r>
              <w:rPr>
                <w:rFonts w:ascii="Arial" w:cs="Arial" w:eastAsia="Arial" w:hAnsi="Arial"/>
                <w:sz w:val="18"/>
                <w:szCs w:val="18"/>
                <w:b w:val="1"/>
                <w:bCs w:val="1"/>
                <w:color w:val="auto"/>
              </w:rPr>
              <w:t>1-12744</w:t>
            </w:r>
          </w:p>
        </w:tc>
        <w:tc>
          <w:tcPr>
            <w:tcW w:w="2080" w:type="dxa"/>
            <w:vAlign w:val="bottom"/>
          </w:tcPr>
          <w:p>
            <w:pPr>
              <w:jc w:val="right"/>
              <w:ind w:right="4"/>
              <w:spacing w:after="0"/>
              <w:rPr>
                <w:sz w:val="20"/>
                <w:szCs w:val="20"/>
                <w:color w:val="auto"/>
              </w:rPr>
            </w:pPr>
            <w:r>
              <w:rPr>
                <w:rFonts w:ascii="Arial" w:cs="Arial" w:eastAsia="Arial" w:hAnsi="Arial"/>
                <w:sz w:val="18"/>
                <w:szCs w:val="18"/>
                <w:b w:val="1"/>
                <w:bCs w:val="1"/>
                <w:color w:val="auto"/>
              </w:rPr>
              <w:t>56-1848578</w:t>
            </w:r>
          </w:p>
        </w:tc>
      </w:tr>
      <w:tr>
        <w:trPr>
          <w:trHeight w:val="149"/>
        </w:trPr>
        <w:tc>
          <w:tcPr>
            <w:tcW w:w="3140" w:type="dxa"/>
            <w:vAlign w:val="bottom"/>
          </w:tcPr>
          <w:p>
            <w:pPr>
              <w:jc w:val="center"/>
              <w:ind w:right="501"/>
              <w:spacing w:after="0"/>
              <w:rPr>
                <w:sz w:val="20"/>
                <w:szCs w:val="20"/>
                <w:color w:val="auto"/>
              </w:rPr>
            </w:pPr>
            <w:r>
              <w:rPr>
                <w:rFonts w:ascii="Arial" w:cs="Arial" w:eastAsia="Arial" w:hAnsi="Arial"/>
                <w:sz w:val="13"/>
                <w:szCs w:val="13"/>
                <w:b w:val="1"/>
                <w:bCs w:val="1"/>
                <w:color w:val="auto"/>
              </w:rPr>
              <w:t>(State or Other Jurisdiction</w:t>
            </w:r>
          </w:p>
        </w:tc>
        <w:tc>
          <w:tcPr>
            <w:tcW w:w="3240" w:type="dxa"/>
            <w:vAlign w:val="bottom"/>
          </w:tcPr>
          <w:p>
            <w:pPr>
              <w:jc w:val="center"/>
              <w:ind w:right="261"/>
              <w:spacing w:after="0"/>
              <w:rPr>
                <w:sz w:val="20"/>
                <w:szCs w:val="20"/>
                <w:color w:val="auto"/>
              </w:rPr>
            </w:pPr>
            <w:r>
              <w:rPr>
                <w:rFonts w:ascii="Arial" w:cs="Arial" w:eastAsia="Arial" w:hAnsi="Arial"/>
                <w:sz w:val="13"/>
                <w:szCs w:val="13"/>
                <w:b w:val="1"/>
                <w:bCs w:val="1"/>
                <w:color w:val="auto"/>
              </w:rPr>
              <w:t>(Commission File Number)</w:t>
            </w:r>
          </w:p>
        </w:tc>
        <w:tc>
          <w:tcPr>
            <w:tcW w:w="2080" w:type="dxa"/>
            <w:vAlign w:val="bottom"/>
          </w:tcPr>
          <w:p>
            <w:pPr>
              <w:jc w:val="center"/>
              <w:ind w:left="884"/>
              <w:spacing w:after="0"/>
              <w:rPr>
                <w:sz w:val="20"/>
                <w:szCs w:val="20"/>
                <w:color w:val="auto"/>
              </w:rPr>
            </w:pPr>
            <w:r>
              <w:rPr>
                <w:rFonts w:ascii="Arial" w:cs="Arial" w:eastAsia="Arial" w:hAnsi="Arial"/>
                <w:sz w:val="13"/>
                <w:szCs w:val="13"/>
                <w:b w:val="1"/>
                <w:bCs w:val="1"/>
                <w:color w:val="auto"/>
              </w:rPr>
              <w:t>(IRS Employer</w:t>
            </w:r>
          </w:p>
        </w:tc>
      </w:tr>
      <w:tr>
        <w:trPr>
          <w:trHeight w:val="186"/>
        </w:trPr>
        <w:tc>
          <w:tcPr>
            <w:tcW w:w="3140" w:type="dxa"/>
            <w:vAlign w:val="bottom"/>
          </w:tcPr>
          <w:p>
            <w:pPr>
              <w:jc w:val="center"/>
              <w:ind w:right="501"/>
              <w:spacing w:after="0"/>
              <w:rPr>
                <w:sz w:val="20"/>
                <w:szCs w:val="20"/>
                <w:color w:val="auto"/>
              </w:rPr>
            </w:pPr>
            <w:r>
              <w:rPr>
                <w:rFonts w:ascii="Arial" w:cs="Arial" w:eastAsia="Arial" w:hAnsi="Arial"/>
                <w:sz w:val="13"/>
                <w:szCs w:val="13"/>
                <w:b w:val="1"/>
                <w:bCs w:val="1"/>
                <w:color w:val="auto"/>
              </w:rPr>
              <w:t>of Incorporation)</w:t>
            </w:r>
          </w:p>
        </w:tc>
        <w:tc>
          <w:tcPr>
            <w:tcW w:w="3240" w:type="dxa"/>
            <w:vAlign w:val="bottom"/>
          </w:tcPr>
          <w:p>
            <w:pPr>
              <w:spacing w:after="0"/>
              <w:rPr>
                <w:sz w:val="16"/>
                <w:szCs w:val="16"/>
                <w:color w:val="auto"/>
              </w:rPr>
            </w:pPr>
          </w:p>
        </w:tc>
        <w:tc>
          <w:tcPr>
            <w:tcW w:w="2080" w:type="dxa"/>
            <w:vAlign w:val="bottom"/>
          </w:tcPr>
          <w:p>
            <w:pPr>
              <w:jc w:val="center"/>
              <w:ind w:left="864"/>
              <w:spacing w:after="0"/>
              <w:rPr>
                <w:sz w:val="20"/>
                <w:szCs w:val="20"/>
                <w:color w:val="auto"/>
              </w:rPr>
            </w:pPr>
            <w:r>
              <w:rPr>
                <w:rFonts w:ascii="Arial" w:cs="Arial" w:eastAsia="Arial" w:hAnsi="Arial"/>
                <w:sz w:val="13"/>
                <w:szCs w:val="13"/>
                <w:b w:val="1"/>
                <w:bCs w:val="1"/>
                <w:color w:val="auto"/>
              </w:rPr>
              <w:t>Identification No.)</w:t>
            </w:r>
          </w:p>
        </w:tc>
      </w:tr>
      <w:tr>
        <w:trPr>
          <w:trHeight w:val="363"/>
        </w:trPr>
        <w:tc>
          <w:tcPr>
            <w:tcW w:w="3140" w:type="dxa"/>
            <w:vAlign w:val="bottom"/>
          </w:tcPr>
          <w:p>
            <w:pPr>
              <w:jc w:val="center"/>
              <w:ind w:right="501"/>
              <w:spacing w:after="0"/>
              <w:rPr>
                <w:sz w:val="20"/>
                <w:szCs w:val="20"/>
                <w:color w:val="auto"/>
              </w:rPr>
            </w:pPr>
            <w:r>
              <w:rPr>
                <w:rFonts w:ascii="Arial" w:cs="Arial" w:eastAsia="Arial" w:hAnsi="Arial"/>
                <w:sz w:val="18"/>
                <w:szCs w:val="18"/>
                <w:b w:val="1"/>
                <w:bCs w:val="1"/>
                <w:color w:val="auto"/>
                <w:w w:val="99"/>
              </w:rPr>
              <w:t>4123 Parklake Avenue</w:t>
            </w:r>
          </w:p>
        </w:tc>
        <w:tc>
          <w:tcPr>
            <w:tcW w:w="324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07"/>
        </w:trPr>
        <w:tc>
          <w:tcPr>
            <w:tcW w:w="3140" w:type="dxa"/>
            <w:vAlign w:val="bottom"/>
          </w:tcPr>
          <w:p>
            <w:pPr>
              <w:jc w:val="center"/>
              <w:ind w:right="501"/>
              <w:spacing w:after="0"/>
              <w:rPr>
                <w:sz w:val="20"/>
                <w:szCs w:val="20"/>
                <w:color w:val="auto"/>
              </w:rPr>
            </w:pPr>
            <w:r>
              <w:rPr>
                <w:rFonts w:ascii="Arial" w:cs="Arial" w:eastAsia="Arial" w:hAnsi="Arial"/>
                <w:sz w:val="18"/>
                <w:szCs w:val="18"/>
                <w:b w:val="1"/>
                <w:bCs w:val="1"/>
                <w:color w:val="auto"/>
                <w:w w:val="99"/>
              </w:rPr>
              <w:t>Raleigh, North Carolina</w:t>
            </w:r>
          </w:p>
        </w:tc>
        <w:tc>
          <w:tcPr>
            <w:tcW w:w="3240" w:type="dxa"/>
            <w:vAlign w:val="bottom"/>
          </w:tcPr>
          <w:p>
            <w:pPr>
              <w:spacing w:after="0"/>
              <w:rPr>
                <w:sz w:val="17"/>
                <w:szCs w:val="17"/>
                <w:color w:val="auto"/>
              </w:rPr>
            </w:pPr>
          </w:p>
        </w:tc>
        <w:tc>
          <w:tcPr>
            <w:tcW w:w="2080" w:type="dxa"/>
            <w:vAlign w:val="bottom"/>
          </w:tcPr>
          <w:p>
            <w:pPr>
              <w:jc w:val="right"/>
              <w:ind w:right="244"/>
              <w:spacing w:after="0"/>
              <w:rPr>
                <w:sz w:val="20"/>
                <w:szCs w:val="20"/>
                <w:color w:val="auto"/>
              </w:rPr>
            </w:pPr>
            <w:r>
              <w:rPr>
                <w:rFonts w:ascii="Arial" w:cs="Arial" w:eastAsia="Arial" w:hAnsi="Arial"/>
                <w:sz w:val="18"/>
                <w:szCs w:val="18"/>
                <w:b w:val="1"/>
                <w:bCs w:val="1"/>
                <w:color w:val="auto"/>
              </w:rPr>
              <w:t>27612</w:t>
            </w:r>
          </w:p>
        </w:tc>
      </w:tr>
      <w:tr>
        <w:trPr>
          <w:trHeight w:val="186"/>
        </w:trPr>
        <w:tc>
          <w:tcPr>
            <w:tcW w:w="3140" w:type="dxa"/>
            <w:vAlign w:val="bottom"/>
          </w:tcPr>
          <w:p>
            <w:pPr>
              <w:jc w:val="center"/>
              <w:ind w:right="501"/>
              <w:spacing w:after="0"/>
              <w:rPr>
                <w:sz w:val="20"/>
                <w:szCs w:val="20"/>
                <w:color w:val="auto"/>
              </w:rPr>
            </w:pPr>
            <w:r>
              <w:rPr>
                <w:rFonts w:ascii="Arial" w:cs="Arial" w:eastAsia="Arial" w:hAnsi="Arial"/>
                <w:sz w:val="13"/>
                <w:szCs w:val="13"/>
                <w:b w:val="1"/>
                <w:bCs w:val="1"/>
                <w:color w:val="auto"/>
              </w:rPr>
              <w:t>(Address of Principal Executive Offices)</w:t>
            </w:r>
          </w:p>
        </w:tc>
        <w:tc>
          <w:tcPr>
            <w:tcW w:w="3240" w:type="dxa"/>
            <w:vAlign w:val="bottom"/>
          </w:tcPr>
          <w:p>
            <w:pPr>
              <w:spacing w:after="0"/>
              <w:rPr>
                <w:sz w:val="16"/>
                <w:szCs w:val="16"/>
                <w:color w:val="auto"/>
              </w:rPr>
            </w:pPr>
          </w:p>
        </w:tc>
        <w:tc>
          <w:tcPr>
            <w:tcW w:w="2080" w:type="dxa"/>
            <w:vAlign w:val="bottom"/>
          </w:tcPr>
          <w:p>
            <w:pPr>
              <w:jc w:val="center"/>
              <w:ind w:left="884"/>
              <w:spacing w:after="0"/>
              <w:rPr>
                <w:sz w:val="20"/>
                <w:szCs w:val="20"/>
                <w:color w:val="auto"/>
              </w:rPr>
            </w:pPr>
            <w:r>
              <w:rPr>
                <w:rFonts w:ascii="Arial" w:cs="Arial" w:eastAsia="Arial" w:hAnsi="Arial"/>
                <w:sz w:val="13"/>
                <w:szCs w:val="13"/>
                <w:b w:val="1"/>
                <w:bCs w:val="1"/>
                <w:color w:val="auto"/>
              </w:rPr>
              <w:t>(Zip Code)</w:t>
            </w:r>
          </w:p>
        </w:tc>
      </w:tr>
    </w:tbl>
    <w:p>
      <w:pPr>
        <w:spacing w:after="0" w:line="39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919 781-4550</w:t>
      </w:r>
    </w:p>
    <w:p>
      <w:pPr>
        <w:spacing w:after="0" w:line="200" w:lineRule="exact"/>
        <w:rPr>
          <w:sz w:val="24"/>
          <w:szCs w:val="24"/>
          <w:color w:val="auto"/>
        </w:rPr>
      </w:pPr>
    </w:p>
    <w:p>
      <w:pPr>
        <w:spacing w:after="0" w:line="38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248920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140"/>
        <w:spacing w:after="0" w:line="27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4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53"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9"/>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2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Title of each class</w:t>
            </w:r>
          </w:p>
        </w:tc>
        <w:tc>
          <w:tcPr>
            <w:tcW w:w="120" w:type="dxa"/>
            <w:vAlign w:val="bottom"/>
          </w:tcPr>
          <w:p>
            <w:pPr>
              <w:spacing w:after="0"/>
              <w:rPr>
                <w:sz w:val="19"/>
                <w:szCs w:val="19"/>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Symbol(s)</w:t>
            </w:r>
          </w:p>
        </w:tc>
        <w:tc>
          <w:tcPr>
            <w:tcW w:w="120" w:type="dxa"/>
            <w:vAlign w:val="bottom"/>
          </w:tcPr>
          <w:p>
            <w:pPr>
              <w:spacing w:after="0"/>
              <w:rPr>
                <w:sz w:val="19"/>
                <w:szCs w:val="19"/>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32"/>
        </w:trPr>
        <w:tc>
          <w:tcPr>
            <w:tcW w:w="4280" w:type="dxa"/>
            <w:vAlign w:val="bottom"/>
          </w:tcPr>
          <w:p>
            <w:pPr>
              <w:jc w:val="center"/>
              <w:spacing w:after="0"/>
              <w:rPr>
                <w:sz w:val="20"/>
                <w:szCs w:val="20"/>
                <w:color w:val="auto"/>
              </w:rPr>
            </w:pPr>
            <w:r>
              <w:rPr>
                <w:rFonts w:ascii="Arial" w:cs="Arial" w:eastAsia="Arial" w:hAnsi="Arial"/>
                <w:sz w:val="18"/>
                <w:szCs w:val="18"/>
                <w:color w:val="auto"/>
                <w:w w:val="99"/>
              </w:rPr>
              <w:t>Common Stock, $.01 par value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MLM</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9"/>
              </w:rPr>
              <w:t>The New York Stock Exchange</w:t>
            </w:r>
          </w:p>
        </w:tc>
      </w:tr>
    </w:tbl>
    <w:p>
      <w:pPr>
        <w:spacing w:after="0" w:line="161" w:lineRule="exact"/>
        <w:rPr>
          <w:sz w:val="24"/>
          <w:szCs w:val="24"/>
          <w:color w:val="auto"/>
        </w:rPr>
      </w:pPr>
    </w:p>
    <w:p>
      <w:pPr>
        <w:ind w:right="860"/>
        <w:spacing w:after="0" w:line="27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1" w:lineRule="exact"/>
        <w:rPr>
          <w:sz w:val="24"/>
          <w:szCs w:val="24"/>
          <w:color w:val="auto"/>
        </w:rPr>
      </w:pPr>
    </w:p>
    <w:p>
      <w:pPr>
        <w:ind w:right="200"/>
        <w:spacing w:after="0" w:line="23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750570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1060" w:val="left"/>
        </w:tabs>
        <w:rPr>
          <w:sz w:val="20"/>
          <w:szCs w:val="20"/>
          <w:color w:val="auto"/>
        </w:rPr>
      </w:pPr>
      <w:r>
        <w:rPr>
          <w:rFonts w:ascii="Arial" w:cs="Arial" w:eastAsia="Arial" w:hAnsi="Arial"/>
          <w:sz w:val="20"/>
          <w:szCs w:val="20"/>
          <w:b w:val="1"/>
          <w:bCs w:val="1"/>
          <w:color w:val="auto"/>
        </w:rPr>
        <w:t>Item 2.02</w:t>
      </w:r>
      <w:r>
        <w:rPr>
          <w:sz w:val="20"/>
          <w:szCs w:val="20"/>
          <w:color w:val="auto"/>
        </w:rPr>
        <w:tab/>
      </w:r>
      <w:r>
        <w:rPr>
          <w:rFonts w:ascii="Arial" w:cs="Arial" w:eastAsia="Arial" w:hAnsi="Arial"/>
          <w:sz w:val="19"/>
          <w:szCs w:val="19"/>
          <w:b w:val="1"/>
          <w:bCs w:val="1"/>
          <w:color w:val="auto"/>
        </w:rPr>
        <w:t>Results of Operations and Financial Condition.</w:t>
      </w:r>
    </w:p>
    <w:p>
      <w:pPr>
        <w:spacing w:after="0" w:line="96"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On November 4, 2026, the Company announced financial results for the third quarter ended September 30, 2026. The press release, dated November 4, 2026, is furnished as Exhibit 99.1 to this report and is incorporated by reference herein.</w:t>
      </w:r>
    </w:p>
    <w:p>
      <w:pPr>
        <w:spacing w:after="0" w:line="369" w:lineRule="exact"/>
        <w:rPr>
          <w:sz w:val="20"/>
          <w:szCs w:val="20"/>
          <w:color w:val="auto"/>
        </w:rPr>
      </w:pPr>
    </w:p>
    <w:p>
      <w:pPr>
        <w:spacing w:after="0"/>
        <w:tabs>
          <w:tab w:leader="none" w:pos="1060" w:val="left"/>
        </w:tabs>
        <w:rPr>
          <w:sz w:val="20"/>
          <w:szCs w:val="20"/>
          <w:color w:val="auto"/>
        </w:rPr>
      </w:pPr>
      <w:r>
        <w:rPr>
          <w:rFonts w:ascii="Arial" w:cs="Arial" w:eastAsia="Arial" w:hAnsi="Arial"/>
          <w:sz w:val="20"/>
          <w:szCs w:val="20"/>
          <w:b w:val="1"/>
          <w:bCs w:val="1"/>
          <w:color w:val="auto"/>
        </w:rPr>
        <w:t>Item 7.01</w:t>
      </w:r>
      <w:r>
        <w:rPr>
          <w:sz w:val="20"/>
          <w:szCs w:val="20"/>
          <w:color w:val="auto"/>
        </w:rPr>
        <w:tab/>
      </w:r>
      <w:r>
        <w:rPr>
          <w:rFonts w:ascii="Arial" w:cs="Arial" w:eastAsia="Arial" w:hAnsi="Arial"/>
          <w:sz w:val="19"/>
          <w:szCs w:val="19"/>
          <w:b w:val="1"/>
          <w:bCs w:val="1"/>
          <w:color w:val="auto"/>
        </w:rPr>
        <w:t>Regulation FD Disclosure.</w:t>
      </w:r>
    </w:p>
    <w:p>
      <w:pPr>
        <w:spacing w:after="0" w:line="96"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On November 4, 2026, the Company announced financial results for the third quarter ended September 30, 2026. The press release, dated November 4, 2026, is furnished as Exhibit 99.1 to this report and is incorporated by reference herein. Additional information about the quarter, and the Company’s use of non-GAAP financial measures, is available on the Company’s website at www.martinmarietta.com by clicking the heading “Reports &amp; Filings” in the “Investors” section and then clicking the quick link “Non-GAAP Measures”.</w:t>
      </w:r>
    </w:p>
    <w:p>
      <w:pPr>
        <w:spacing w:after="0" w:line="175"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The Company will host an online web simulcast of its third quarter 2026 earnings conference call on Wednesday, November 4, 2026. The live broadcast of the Company’s conference call will begin at 10:00 a.m., Eastern Time, on November 4, 2026 and can be accessed by dialing +1 (646) 307-1963 and using conference ID 9935145. An online replay will be available approximately two hours following the conclusion of the live broadcast and will remain available for one year. A link to these events will be available on the Company’s website at www.martinmarietta.com. Additional information about the Company’s use of non-GAAP financial measures, as well as certain other financial or statistical information the Company may present at the conference call, will be provided on the Company’s website.</w:t>
      </w:r>
    </w:p>
    <w:p>
      <w:pPr>
        <w:spacing w:after="0" w:line="386" w:lineRule="exact"/>
        <w:rPr>
          <w:sz w:val="20"/>
          <w:szCs w:val="20"/>
          <w:color w:val="auto"/>
        </w:rPr>
      </w:pPr>
    </w:p>
    <w:p>
      <w:pPr>
        <w:spacing w:after="0"/>
        <w:tabs>
          <w:tab w:leader="none" w:pos="1060" w:val="left"/>
        </w:tabs>
        <w:rPr>
          <w:sz w:val="20"/>
          <w:szCs w:val="20"/>
          <w:color w:val="auto"/>
        </w:rPr>
      </w:pPr>
      <w:r>
        <w:rPr>
          <w:rFonts w:ascii="Arial" w:cs="Arial" w:eastAsia="Arial" w:hAnsi="Arial"/>
          <w:sz w:val="20"/>
          <w:szCs w:val="20"/>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color w:val="auto"/>
        </w:rPr>
        <w:t>(d) Exhibits</w:t>
      </w:r>
    </w:p>
    <w:p>
      <w:pPr>
        <w:spacing w:after="0" w:line="202"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u w:val="single" w:color="auto"/>
          <w:color w:val="0000FF"/>
        </w:rPr>
        <w:t>99.1</w:t>
      </w:r>
      <w:r>
        <w:rPr>
          <w:sz w:val="20"/>
          <w:szCs w:val="20"/>
          <w:color w:val="auto"/>
        </w:rPr>
        <w:tab/>
      </w:r>
      <w:r>
        <w:rPr>
          <w:rFonts w:ascii="Arial" w:cs="Arial" w:eastAsia="Arial" w:hAnsi="Arial"/>
          <w:sz w:val="20"/>
          <w:szCs w:val="20"/>
          <w:color w:val="auto"/>
        </w:rPr>
        <w:t>Press Release dated November 4, 2026, announcing financial results for the third quarter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2444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4475" cy="8890"/>
                    </a:xfrm>
                    <a:prstGeom prst="rect">
                      <a:avLst/>
                    </a:prstGeom>
                    <a:noFill/>
                  </pic:spPr>
                </pic:pic>
              </a:graphicData>
            </a:graphic>
          </wp:anchor>
        </w:drawing>
      </w:r>
    </w:p>
    <w:p>
      <w:pPr>
        <w:ind w:left="1040"/>
        <w:spacing w:after="0"/>
        <w:rPr>
          <w:sz w:val="20"/>
          <w:szCs w:val="20"/>
          <w:color w:val="auto"/>
        </w:rPr>
      </w:pPr>
      <w:r>
        <w:rPr>
          <w:rFonts w:ascii="Arial" w:cs="Arial" w:eastAsia="Arial" w:hAnsi="Arial"/>
          <w:sz w:val="20"/>
          <w:szCs w:val="20"/>
          <w:color w:val="auto"/>
        </w:rPr>
        <w:t>2026.</w:t>
      </w:r>
    </w:p>
    <w:p>
      <w:pPr>
        <w:spacing w:after="0" w:line="184"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104</w:t>
        <w:tab/>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746760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3"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SIGNATURES</w:t>
      </w:r>
    </w:p>
    <w:p>
      <w:pPr>
        <w:spacing w:after="0" w:line="204"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155" w:lineRule="exact"/>
        <w:rPr>
          <w:sz w:val="20"/>
          <w:szCs w:val="20"/>
          <w:color w:val="auto"/>
        </w:rPr>
      </w:pPr>
    </w:p>
    <w:p>
      <w:pPr>
        <w:ind w:left="5820"/>
        <w:spacing w:after="0"/>
        <w:rPr>
          <w:sz w:val="20"/>
          <w:szCs w:val="20"/>
          <w:color w:val="auto"/>
        </w:rPr>
      </w:pPr>
      <w:r>
        <w:rPr>
          <w:rFonts w:ascii="Arial" w:cs="Arial" w:eastAsia="Arial" w:hAnsi="Arial"/>
          <w:sz w:val="20"/>
          <w:szCs w:val="20"/>
          <w:color w:val="auto"/>
        </w:rPr>
        <w:t>MARTIN MARIETTA MATERIALS,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5080</wp:posOffset>
            </wp:positionV>
            <wp:extent cx="34372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ind w:left="6440"/>
        <w:spacing w:after="0"/>
        <w:rPr>
          <w:sz w:val="20"/>
          <w:szCs w:val="20"/>
          <w:color w:val="auto"/>
        </w:rPr>
      </w:pPr>
      <w:r>
        <w:rPr>
          <w:rFonts w:ascii="Arial" w:cs="Arial" w:eastAsia="Arial" w:hAnsi="Arial"/>
          <w:sz w:val="20"/>
          <w:szCs w:val="20"/>
          <w:color w:val="auto"/>
        </w:rPr>
        <w:t>(Registrant)</w:t>
      </w:r>
    </w:p>
    <w:p>
      <w:pPr>
        <w:spacing w:after="0" w:line="184" w:lineRule="exact"/>
        <w:rPr>
          <w:sz w:val="20"/>
          <w:szCs w:val="20"/>
          <w:color w:val="auto"/>
        </w:rPr>
      </w:pPr>
    </w:p>
    <w:p>
      <w:pPr>
        <w:spacing w:after="0"/>
        <w:tabs>
          <w:tab w:leader="none" w:pos="5800" w:val="left"/>
          <w:tab w:leader="none" w:pos="6420" w:val="left"/>
        </w:tabs>
        <w:rPr>
          <w:sz w:val="20"/>
          <w:szCs w:val="20"/>
          <w:color w:val="auto"/>
        </w:rPr>
      </w:pPr>
      <w:r>
        <w:rPr>
          <w:rFonts w:ascii="Arial" w:cs="Arial" w:eastAsia="Arial" w:hAnsi="Arial"/>
          <w:sz w:val="20"/>
          <w:szCs w:val="20"/>
          <w:color w:val="auto"/>
        </w:rPr>
        <w:t>Date: November 4, 2026</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/s/ Michael J. Petro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5080</wp:posOffset>
            </wp:positionV>
            <wp:extent cx="30429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ind w:left="6440"/>
        <w:spacing w:after="0"/>
        <w:rPr>
          <w:sz w:val="20"/>
          <w:szCs w:val="20"/>
          <w:color w:val="auto"/>
        </w:rPr>
      </w:pPr>
      <w:r>
        <w:rPr>
          <w:rFonts w:ascii="Arial" w:cs="Arial" w:eastAsia="Arial" w:hAnsi="Arial"/>
          <w:sz w:val="20"/>
          <w:szCs w:val="20"/>
          <w:color w:val="auto"/>
        </w:rPr>
        <w:t>Michael J. Petro,</w:t>
      </w:r>
    </w:p>
    <w:p>
      <w:pPr>
        <w:ind w:left="6440"/>
        <w:spacing w:after="0" w:line="225" w:lineRule="auto"/>
        <w:rPr>
          <w:sz w:val="20"/>
          <w:szCs w:val="20"/>
          <w:color w:val="auto"/>
        </w:rPr>
      </w:pPr>
      <w:r>
        <w:rPr>
          <w:rFonts w:ascii="Arial" w:cs="Arial" w:eastAsia="Arial" w:hAnsi="Arial"/>
          <w:sz w:val="20"/>
          <w:szCs w:val="20"/>
          <w:color w:val="auto"/>
        </w:rPr>
        <w:t>Executive Vice President and Chief Financial Officer</w:t>
      </w:r>
    </w:p>
    <w:p>
      <w:pPr>
        <w:ind w:left="6440"/>
        <w:spacing w:after="0"/>
        <w:rPr>
          <w:sz w:val="20"/>
          <w:szCs w:val="20"/>
          <w:color w:val="auto"/>
        </w:rPr>
      </w:pPr>
      <w:r>
        <w:rPr>
          <w:rFonts w:ascii="Arial" w:cs="Arial" w:eastAsia="Arial" w:hAnsi="Arial"/>
          <w:sz w:val="20"/>
          <w:szCs w:val="20"/>
          <w:color w:val="auto"/>
        </w:rPr>
        <w:t>(Authorized Officer and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3" w:right="339" w:bottom="1440" w:gutter="0" w:footer="0" w:header="0"/>
        </w:sectPr>
      </w:pPr>
    </w:p>
    <w:bookmarkStart w:id="3" w:name="page4"/>
    <w:bookmarkEnd w:id="3"/>
    <w:p>
      <w:pPr>
        <w:spacing w:after="0" w:line="25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6251575</wp:posOffset>
            </wp:positionH>
            <wp:positionV relativeFrom="page">
              <wp:posOffset>500380</wp:posOffset>
            </wp:positionV>
            <wp:extent cx="1088390" cy="3168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088390" cy="316865"/>
                    </a:xfrm>
                    <a:prstGeom prst="rect">
                      <a:avLst/>
                    </a:prstGeom>
                    <a:noFill/>
                  </pic:spPr>
                </pic:pic>
              </a:graphicData>
            </a:graphic>
          </wp:anchor>
        </w:drawing>
      </w:r>
    </w:p>
    <w:p>
      <w:pPr>
        <w:ind w:left="1440" w:right="800" w:hanging="709"/>
        <w:spacing w:after="0" w:line="286" w:lineRule="auto"/>
        <w:rPr>
          <w:sz w:val="20"/>
          <w:szCs w:val="20"/>
          <w:color w:val="auto"/>
        </w:rPr>
      </w:pPr>
      <w:r>
        <w:rPr>
          <w:rFonts w:ascii="Arial" w:cs="Arial" w:eastAsia="Arial" w:hAnsi="Arial"/>
          <w:sz w:val="32"/>
          <w:szCs w:val="32"/>
          <w:color w:val="007DC6"/>
        </w:rPr>
        <w:t>MARTIN MARIETTA REPORTS RECORD THIRD-QUARTER 2026 RESULTS AND UPDATES FULL-YEAR 2026 GUIDANCE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Strong Acquisition Performance Drives Record Results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Despite Inflationary Pressures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Lhoist North America (LNA) Combination Advances Portfolio Transformation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Operational Efficiencies Drive Enhanced Cash Flow Benefits</w:t>
      </w:r>
    </w:p>
    <w:p>
      <w:pPr>
        <w:spacing w:after="0" w:line="14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RALEIGH, N.C. (November 4, 2026) – Martin Marietta Materials, Inc. (NYSE: MLM) (Martin Marietta or the Company), a leading supplier of aggregates, lime and limestone products, magnesia-based products and other building materials, today reported results for the third quarter ended September 30, 2026.</w:t>
      </w:r>
    </w:p>
    <w:p>
      <w:pPr>
        <w:spacing w:after="0" w:line="80" w:lineRule="exact"/>
        <w:rPr>
          <w:sz w:val="20"/>
          <w:szCs w:val="20"/>
          <w:color w:val="auto"/>
        </w:rPr>
      </w:pPr>
    </w:p>
    <w:p>
      <w:pPr>
        <w:spacing w:after="0"/>
        <w:rPr>
          <w:sz w:val="20"/>
          <w:szCs w:val="20"/>
          <w:color w:val="auto"/>
        </w:rPr>
      </w:pPr>
      <w:r>
        <w:rPr>
          <w:rFonts w:ascii="Arial" w:cs="Arial" w:eastAsia="Arial" w:hAnsi="Arial"/>
          <w:sz w:val="29"/>
          <w:szCs w:val="29"/>
          <w:color w:val="007DC6"/>
        </w:rPr>
        <w:t>Third-Quarter and Nine Months Ended September 30, 2026 Highlights</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(Financial highlights are for continuing operations)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740" w:type="dxa"/>
            <w:vAlign w:val="bottom"/>
            <w:shd w:val="clear" w:color="auto" w:fill="007DC6"/>
          </w:tcPr>
          <w:p>
            <w:pPr>
              <w:spacing w:after="0"/>
              <w:rPr>
                <w:sz w:val="18"/>
                <w:szCs w:val="18"/>
                <w:color w:val="auto"/>
              </w:rPr>
            </w:pPr>
          </w:p>
        </w:tc>
        <w:tc>
          <w:tcPr>
            <w:tcW w:w="320" w:type="dxa"/>
            <w:vAlign w:val="bottom"/>
            <w:shd w:val="clear" w:color="auto" w:fill="007DC6"/>
          </w:tcPr>
          <w:p>
            <w:pPr>
              <w:spacing w:after="0"/>
              <w:rPr>
                <w:sz w:val="18"/>
                <w:szCs w:val="18"/>
                <w:color w:val="auto"/>
              </w:rPr>
            </w:pPr>
          </w:p>
        </w:tc>
        <w:tc>
          <w:tcPr>
            <w:tcW w:w="680" w:type="dxa"/>
            <w:vAlign w:val="bottom"/>
            <w:shd w:val="clear" w:color="auto" w:fill="007DC6"/>
          </w:tcPr>
          <w:p>
            <w:pPr>
              <w:spacing w:after="0"/>
              <w:rPr>
                <w:sz w:val="18"/>
                <w:szCs w:val="18"/>
                <w:color w:val="auto"/>
              </w:rPr>
            </w:pPr>
          </w:p>
        </w:tc>
        <w:tc>
          <w:tcPr>
            <w:tcW w:w="2320" w:type="dxa"/>
            <w:vAlign w:val="bottom"/>
            <w:gridSpan w:val="3"/>
            <w:shd w:val="clear" w:color="auto" w:fill="007DC6"/>
          </w:tcPr>
          <w:p>
            <w:pPr>
              <w:jc w:val="center"/>
              <w:ind w:right="866"/>
              <w:spacing w:after="0"/>
              <w:rPr>
                <w:sz w:val="20"/>
                <w:szCs w:val="20"/>
                <w:color w:val="auto"/>
              </w:rPr>
            </w:pPr>
            <w:r>
              <w:rPr>
                <w:rFonts w:ascii="Arial" w:cs="Arial" w:eastAsia="Arial" w:hAnsi="Arial"/>
                <w:sz w:val="19"/>
                <w:szCs w:val="19"/>
                <w:b w:val="1"/>
                <w:bCs w:val="1"/>
                <w:color w:val="FFFFFF"/>
                <w:w w:val="99"/>
              </w:rPr>
              <w:t>Quarter Ended</w:t>
            </w:r>
          </w:p>
        </w:tc>
        <w:tc>
          <w:tcPr>
            <w:tcW w:w="240" w:type="dxa"/>
            <w:vAlign w:val="bottom"/>
            <w:shd w:val="clear" w:color="auto" w:fill="007DC6"/>
          </w:tcPr>
          <w:p>
            <w:pPr>
              <w:spacing w:after="0"/>
              <w:rPr>
                <w:sz w:val="18"/>
                <w:szCs w:val="18"/>
                <w:color w:val="auto"/>
              </w:rPr>
            </w:pPr>
          </w:p>
        </w:tc>
        <w:tc>
          <w:tcPr>
            <w:tcW w:w="2940" w:type="dxa"/>
            <w:vAlign w:val="bottom"/>
            <w:gridSpan w:val="4"/>
            <w:shd w:val="clear" w:color="auto" w:fill="007DC6"/>
          </w:tcPr>
          <w:p>
            <w:pPr>
              <w:jc w:val="center"/>
              <w:ind w:right="126"/>
              <w:spacing w:after="0"/>
              <w:rPr>
                <w:sz w:val="20"/>
                <w:szCs w:val="20"/>
                <w:color w:val="auto"/>
              </w:rPr>
            </w:pPr>
            <w:r>
              <w:rPr>
                <w:rFonts w:ascii="Arial" w:cs="Arial" w:eastAsia="Arial" w:hAnsi="Arial"/>
                <w:sz w:val="19"/>
                <w:szCs w:val="19"/>
                <w:b w:val="1"/>
                <w:bCs w:val="1"/>
                <w:color w:val="FFFFFF"/>
                <w:w w:val="99"/>
              </w:rPr>
              <w:t>Nine Months Ended</w:t>
            </w:r>
          </w:p>
        </w:tc>
      </w:tr>
      <w:tr>
        <w:trPr>
          <w:trHeight w:val="243"/>
        </w:trPr>
        <w:tc>
          <w:tcPr>
            <w:tcW w:w="4740" w:type="dxa"/>
            <w:vAlign w:val="bottom"/>
            <w:shd w:val="clear" w:color="auto" w:fill="007DC6"/>
          </w:tcPr>
          <w:p>
            <w:pPr>
              <w:spacing w:after="0"/>
              <w:rPr>
                <w:sz w:val="21"/>
                <w:szCs w:val="21"/>
                <w:color w:val="auto"/>
              </w:rPr>
            </w:pPr>
          </w:p>
        </w:tc>
        <w:tc>
          <w:tcPr>
            <w:tcW w:w="320" w:type="dxa"/>
            <w:vAlign w:val="bottom"/>
            <w:shd w:val="clear" w:color="auto" w:fill="007DC6"/>
          </w:tcPr>
          <w:p>
            <w:pPr>
              <w:spacing w:after="0"/>
              <w:rPr>
                <w:sz w:val="21"/>
                <w:szCs w:val="21"/>
                <w:color w:val="auto"/>
              </w:rPr>
            </w:pPr>
          </w:p>
        </w:tc>
        <w:tc>
          <w:tcPr>
            <w:tcW w:w="680" w:type="dxa"/>
            <w:vAlign w:val="bottom"/>
            <w:shd w:val="clear" w:color="auto" w:fill="007DC6"/>
          </w:tcPr>
          <w:p>
            <w:pPr>
              <w:spacing w:after="0"/>
              <w:rPr>
                <w:sz w:val="21"/>
                <w:szCs w:val="21"/>
                <w:color w:val="auto"/>
              </w:rPr>
            </w:pPr>
          </w:p>
        </w:tc>
        <w:tc>
          <w:tcPr>
            <w:tcW w:w="2320" w:type="dxa"/>
            <w:vAlign w:val="bottom"/>
            <w:gridSpan w:val="3"/>
            <w:shd w:val="clear" w:color="auto" w:fill="007DC6"/>
          </w:tcPr>
          <w:p>
            <w:pPr>
              <w:jc w:val="center"/>
              <w:ind w:right="806"/>
              <w:spacing w:after="0"/>
              <w:rPr>
                <w:sz w:val="20"/>
                <w:szCs w:val="20"/>
                <w:color w:val="auto"/>
              </w:rPr>
            </w:pPr>
            <w:r>
              <w:rPr>
                <w:rFonts w:ascii="Arial" w:cs="Arial" w:eastAsia="Arial" w:hAnsi="Arial"/>
                <w:sz w:val="19"/>
                <w:szCs w:val="19"/>
                <w:b w:val="1"/>
                <w:bCs w:val="1"/>
                <w:color w:val="FFFFFF"/>
              </w:rPr>
              <w:t>September 30,</w:t>
            </w:r>
          </w:p>
        </w:tc>
        <w:tc>
          <w:tcPr>
            <w:tcW w:w="240" w:type="dxa"/>
            <w:vAlign w:val="bottom"/>
            <w:shd w:val="clear" w:color="auto" w:fill="007DC6"/>
          </w:tcPr>
          <w:p>
            <w:pPr>
              <w:spacing w:after="0"/>
              <w:rPr>
                <w:sz w:val="21"/>
                <w:szCs w:val="21"/>
                <w:color w:val="auto"/>
              </w:rPr>
            </w:pPr>
          </w:p>
        </w:tc>
        <w:tc>
          <w:tcPr>
            <w:tcW w:w="700" w:type="dxa"/>
            <w:vAlign w:val="bottom"/>
            <w:shd w:val="clear" w:color="auto" w:fill="007DC6"/>
          </w:tcPr>
          <w:p>
            <w:pPr>
              <w:spacing w:after="0"/>
              <w:rPr>
                <w:sz w:val="21"/>
                <w:szCs w:val="21"/>
                <w:color w:val="auto"/>
              </w:rPr>
            </w:pPr>
          </w:p>
        </w:tc>
        <w:tc>
          <w:tcPr>
            <w:tcW w:w="2240" w:type="dxa"/>
            <w:vAlign w:val="bottom"/>
            <w:gridSpan w:val="3"/>
            <w:shd w:val="clear" w:color="auto" w:fill="007DC6"/>
          </w:tcPr>
          <w:p>
            <w:pPr>
              <w:jc w:val="center"/>
              <w:ind w:right="766"/>
              <w:spacing w:after="0"/>
              <w:rPr>
                <w:sz w:val="20"/>
                <w:szCs w:val="20"/>
                <w:color w:val="auto"/>
              </w:rPr>
            </w:pPr>
            <w:r>
              <w:rPr>
                <w:rFonts w:ascii="Arial" w:cs="Arial" w:eastAsia="Arial" w:hAnsi="Arial"/>
                <w:sz w:val="19"/>
                <w:szCs w:val="19"/>
                <w:b w:val="1"/>
                <w:bCs w:val="1"/>
                <w:color w:val="FFFFFF"/>
              </w:rPr>
              <w:t>September 30,</w:t>
            </w:r>
          </w:p>
        </w:tc>
      </w:tr>
      <w:tr>
        <w:trPr>
          <w:trHeight w:val="216"/>
        </w:trPr>
        <w:tc>
          <w:tcPr>
            <w:tcW w:w="4740" w:type="dxa"/>
            <w:vAlign w:val="bottom"/>
            <w:shd w:val="clear" w:color="auto" w:fill="007DC6"/>
          </w:tcPr>
          <w:p>
            <w:pPr>
              <w:spacing w:after="0" w:line="216" w:lineRule="exact"/>
              <w:rPr>
                <w:sz w:val="20"/>
                <w:szCs w:val="20"/>
                <w:color w:val="auto"/>
              </w:rPr>
            </w:pPr>
            <w:r>
              <w:rPr>
                <w:rFonts w:ascii="Arial" w:cs="Arial" w:eastAsia="Arial" w:hAnsi="Arial"/>
                <w:sz w:val="19"/>
                <w:szCs w:val="19"/>
                <w:b w:val="1"/>
                <w:bCs w:val="1"/>
                <w:color w:val="FFFFFF"/>
              </w:rPr>
              <w:t>(in millions, except per share and per ton data)</w:t>
            </w:r>
          </w:p>
        </w:tc>
        <w:tc>
          <w:tcPr>
            <w:tcW w:w="320" w:type="dxa"/>
            <w:vAlign w:val="bottom"/>
            <w:shd w:val="clear" w:color="auto" w:fill="007DC6"/>
          </w:tcPr>
          <w:p>
            <w:pPr>
              <w:spacing w:after="0"/>
              <w:rPr>
                <w:sz w:val="18"/>
                <w:szCs w:val="18"/>
                <w:color w:val="auto"/>
              </w:rPr>
            </w:pPr>
          </w:p>
        </w:tc>
        <w:tc>
          <w:tcPr>
            <w:tcW w:w="680" w:type="dxa"/>
            <w:vAlign w:val="bottom"/>
            <w:shd w:val="clear" w:color="auto" w:fill="007DC6"/>
          </w:tcPr>
          <w:p>
            <w:pPr>
              <w:jc w:val="right"/>
              <w:ind w:right="126"/>
              <w:spacing w:after="0" w:line="216" w:lineRule="exact"/>
              <w:rPr>
                <w:sz w:val="20"/>
                <w:szCs w:val="20"/>
                <w:color w:val="auto"/>
              </w:rPr>
            </w:pPr>
            <w:r>
              <w:rPr>
                <w:rFonts w:ascii="Arial" w:cs="Arial" w:eastAsia="Arial" w:hAnsi="Arial"/>
                <w:sz w:val="19"/>
                <w:szCs w:val="19"/>
                <w:b w:val="1"/>
                <w:bCs w:val="1"/>
                <w:color w:val="FFFFFF"/>
              </w:rPr>
              <w:t>2026</w:t>
            </w:r>
          </w:p>
        </w:tc>
        <w:tc>
          <w:tcPr>
            <w:tcW w:w="400" w:type="dxa"/>
            <w:vAlign w:val="bottom"/>
            <w:shd w:val="clear" w:color="auto" w:fill="007DC6"/>
          </w:tcPr>
          <w:p>
            <w:pPr>
              <w:spacing w:after="0"/>
              <w:rPr>
                <w:sz w:val="18"/>
                <w:szCs w:val="18"/>
                <w:color w:val="auto"/>
              </w:rPr>
            </w:pPr>
          </w:p>
        </w:tc>
        <w:tc>
          <w:tcPr>
            <w:tcW w:w="800" w:type="dxa"/>
            <w:vAlign w:val="bottom"/>
            <w:shd w:val="clear" w:color="auto" w:fill="007DC6"/>
          </w:tcPr>
          <w:p>
            <w:pPr>
              <w:jc w:val="center"/>
              <w:ind w:right="206"/>
              <w:spacing w:after="0" w:line="216" w:lineRule="exact"/>
              <w:rPr>
                <w:sz w:val="20"/>
                <w:szCs w:val="20"/>
                <w:color w:val="auto"/>
              </w:rPr>
            </w:pPr>
            <w:r>
              <w:rPr>
                <w:rFonts w:ascii="Arial" w:cs="Arial" w:eastAsia="Arial" w:hAnsi="Arial"/>
                <w:sz w:val="19"/>
                <w:szCs w:val="19"/>
                <w:b w:val="1"/>
                <w:bCs w:val="1"/>
                <w:color w:val="FFFFFF"/>
                <w:w w:val="99"/>
              </w:rPr>
              <w:t>2025</w:t>
            </w:r>
          </w:p>
        </w:tc>
        <w:tc>
          <w:tcPr>
            <w:tcW w:w="1120" w:type="dxa"/>
            <w:vAlign w:val="bottom"/>
            <w:shd w:val="clear" w:color="auto" w:fill="007DC6"/>
          </w:tcPr>
          <w:p>
            <w:pPr>
              <w:ind w:left="140"/>
              <w:spacing w:after="0" w:line="216" w:lineRule="exact"/>
              <w:rPr>
                <w:sz w:val="20"/>
                <w:szCs w:val="20"/>
                <w:color w:val="auto"/>
              </w:rPr>
            </w:pPr>
            <w:r>
              <w:rPr>
                <w:rFonts w:ascii="Arial" w:cs="Arial" w:eastAsia="Arial" w:hAnsi="Arial"/>
                <w:sz w:val="19"/>
                <w:szCs w:val="19"/>
                <w:b w:val="1"/>
                <w:bCs w:val="1"/>
                <w:color w:val="FFFFFF"/>
              </w:rPr>
              <w:t>% Change</w:t>
            </w:r>
          </w:p>
        </w:tc>
        <w:tc>
          <w:tcPr>
            <w:tcW w:w="240" w:type="dxa"/>
            <w:vAlign w:val="bottom"/>
            <w:shd w:val="clear" w:color="auto" w:fill="007DC6"/>
          </w:tcPr>
          <w:p>
            <w:pPr>
              <w:spacing w:after="0"/>
              <w:rPr>
                <w:sz w:val="18"/>
                <w:szCs w:val="18"/>
                <w:color w:val="auto"/>
              </w:rPr>
            </w:pPr>
          </w:p>
        </w:tc>
        <w:tc>
          <w:tcPr>
            <w:tcW w:w="700" w:type="dxa"/>
            <w:vAlign w:val="bottom"/>
            <w:shd w:val="clear" w:color="auto" w:fill="007DC6"/>
          </w:tcPr>
          <w:p>
            <w:pPr>
              <w:jc w:val="right"/>
              <w:ind w:right="146"/>
              <w:spacing w:after="0" w:line="216" w:lineRule="exact"/>
              <w:rPr>
                <w:sz w:val="20"/>
                <w:szCs w:val="20"/>
                <w:color w:val="auto"/>
              </w:rPr>
            </w:pPr>
            <w:r>
              <w:rPr>
                <w:rFonts w:ascii="Arial" w:cs="Arial" w:eastAsia="Arial" w:hAnsi="Arial"/>
                <w:sz w:val="19"/>
                <w:szCs w:val="19"/>
                <w:b w:val="1"/>
                <w:bCs w:val="1"/>
                <w:color w:val="FFFFFF"/>
              </w:rPr>
              <w:t>2026</w:t>
            </w:r>
          </w:p>
        </w:tc>
        <w:tc>
          <w:tcPr>
            <w:tcW w:w="380" w:type="dxa"/>
            <w:vAlign w:val="bottom"/>
            <w:shd w:val="clear" w:color="auto" w:fill="007DC6"/>
          </w:tcPr>
          <w:p>
            <w:pPr>
              <w:spacing w:after="0"/>
              <w:rPr>
                <w:sz w:val="18"/>
                <w:szCs w:val="18"/>
                <w:color w:val="auto"/>
              </w:rPr>
            </w:pPr>
          </w:p>
        </w:tc>
        <w:tc>
          <w:tcPr>
            <w:tcW w:w="800" w:type="dxa"/>
            <w:vAlign w:val="bottom"/>
            <w:shd w:val="clear" w:color="auto" w:fill="007DC6"/>
          </w:tcPr>
          <w:p>
            <w:pPr>
              <w:jc w:val="center"/>
              <w:ind w:right="206"/>
              <w:spacing w:after="0" w:line="216" w:lineRule="exact"/>
              <w:rPr>
                <w:sz w:val="20"/>
                <w:szCs w:val="20"/>
                <w:color w:val="auto"/>
              </w:rPr>
            </w:pPr>
            <w:r>
              <w:rPr>
                <w:rFonts w:ascii="Arial" w:cs="Arial" w:eastAsia="Arial" w:hAnsi="Arial"/>
                <w:sz w:val="19"/>
                <w:szCs w:val="19"/>
                <w:b w:val="1"/>
                <w:bCs w:val="1"/>
                <w:color w:val="FFFFFF"/>
                <w:w w:val="99"/>
              </w:rPr>
              <w:t>2025</w:t>
            </w:r>
          </w:p>
        </w:tc>
        <w:tc>
          <w:tcPr>
            <w:tcW w:w="1060" w:type="dxa"/>
            <w:vAlign w:val="bottom"/>
            <w:shd w:val="clear" w:color="auto" w:fill="007DC6"/>
          </w:tcPr>
          <w:p>
            <w:pPr>
              <w:ind w:left="140"/>
              <w:spacing w:after="0" w:line="216" w:lineRule="exact"/>
              <w:rPr>
                <w:sz w:val="20"/>
                <w:szCs w:val="20"/>
                <w:color w:val="auto"/>
              </w:rPr>
            </w:pPr>
            <w:r>
              <w:rPr>
                <w:rFonts w:ascii="Arial" w:cs="Arial" w:eastAsia="Arial" w:hAnsi="Arial"/>
                <w:sz w:val="19"/>
                <w:szCs w:val="19"/>
                <w:b w:val="1"/>
                <w:bCs w:val="1"/>
                <w:color w:val="FFFFFF"/>
                <w:w w:val="97"/>
              </w:rPr>
              <w:t>% Change</w:t>
            </w:r>
          </w:p>
        </w:tc>
      </w:tr>
      <w:tr>
        <w:trPr>
          <w:trHeight w:val="229"/>
        </w:trPr>
        <w:tc>
          <w:tcPr>
            <w:tcW w:w="4740" w:type="dxa"/>
            <w:vAlign w:val="bottom"/>
            <w:shd w:val="clear" w:color="auto" w:fill="CFF0FC"/>
          </w:tcPr>
          <w:p>
            <w:pPr>
              <w:spacing w:after="0" w:line="229" w:lineRule="exact"/>
              <w:rPr>
                <w:sz w:val="20"/>
                <w:szCs w:val="20"/>
                <w:color w:val="auto"/>
              </w:rPr>
            </w:pPr>
            <w:r>
              <w:rPr>
                <w:rFonts w:ascii="Arial" w:cs="Arial" w:eastAsia="Arial" w:hAnsi="Arial"/>
                <w:sz w:val="19"/>
                <w:szCs w:val="19"/>
                <w:color w:val="auto"/>
              </w:rPr>
              <w:t>Revenues</w:t>
            </w:r>
            <w:r>
              <w:rPr>
                <w:rFonts w:ascii="Arial" w:cs="Arial" w:eastAsia="Arial" w:hAnsi="Arial"/>
                <w:sz w:val="25"/>
                <w:szCs w:val="25"/>
                <w:color w:val="auto"/>
                <w:vertAlign w:val="superscript"/>
              </w:rPr>
              <w:t>4</w:t>
            </w:r>
          </w:p>
        </w:tc>
        <w:tc>
          <w:tcPr>
            <w:tcW w:w="3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2,369</w:t>
            </w:r>
          </w:p>
        </w:tc>
        <w:tc>
          <w:tcPr>
            <w:tcW w:w="4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800" w:type="dxa"/>
            <w:vAlign w:val="bottom"/>
            <w:shd w:val="clear" w:color="auto" w:fill="CFF0FC"/>
          </w:tcPr>
          <w:p>
            <w:pPr>
              <w:jc w:val="right"/>
              <w:ind w:right="46"/>
              <w:spacing w:after="0"/>
              <w:rPr>
                <w:sz w:val="20"/>
                <w:szCs w:val="20"/>
                <w:color w:val="auto"/>
              </w:rPr>
            </w:pPr>
            <w:r>
              <w:rPr>
                <w:rFonts w:ascii="Arial" w:cs="Arial" w:eastAsia="Arial" w:hAnsi="Arial"/>
                <w:sz w:val="19"/>
                <w:szCs w:val="19"/>
                <w:color w:val="auto"/>
              </w:rPr>
              <w:t>1,846</w:t>
            </w:r>
          </w:p>
        </w:tc>
        <w:tc>
          <w:tcPr>
            <w:tcW w:w="112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9"/>
              </w:rPr>
              <w:t>28%</w:t>
            </w:r>
          </w:p>
        </w:tc>
        <w:tc>
          <w:tcPr>
            <w:tcW w:w="2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5,678</w:t>
            </w:r>
          </w:p>
        </w:tc>
        <w:tc>
          <w:tcPr>
            <w:tcW w:w="3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800" w:type="dxa"/>
            <w:vAlign w:val="bottom"/>
            <w:shd w:val="clear" w:color="auto" w:fill="CFF0FC"/>
          </w:tcPr>
          <w:p>
            <w:pPr>
              <w:jc w:val="right"/>
              <w:ind w:right="46"/>
              <w:spacing w:after="0"/>
              <w:rPr>
                <w:sz w:val="20"/>
                <w:szCs w:val="20"/>
                <w:color w:val="auto"/>
              </w:rPr>
            </w:pPr>
            <w:r>
              <w:rPr>
                <w:rFonts w:ascii="Arial" w:cs="Arial" w:eastAsia="Arial" w:hAnsi="Arial"/>
                <w:sz w:val="19"/>
                <w:szCs w:val="19"/>
                <w:color w:val="auto"/>
              </w:rPr>
              <w:t>4,617</w:t>
            </w:r>
          </w:p>
        </w:tc>
        <w:tc>
          <w:tcPr>
            <w:tcW w:w="1060" w:type="dxa"/>
            <w:vAlign w:val="bottom"/>
            <w:shd w:val="clear" w:color="auto" w:fill="CFF0FC"/>
          </w:tcPr>
          <w:p>
            <w:pPr>
              <w:jc w:val="center"/>
              <w:ind w:left="26"/>
              <w:spacing w:after="0"/>
              <w:rPr>
                <w:sz w:val="20"/>
                <w:szCs w:val="20"/>
                <w:color w:val="auto"/>
              </w:rPr>
            </w:pPr>
            <w:r>
              <w:rPr>
                <w:rFonts w:ascii="Arial" w:cs="Arial" w:eastAsia="Arial" w:hAnsi="Arial"/>
                <w:sz w:val="19"/>
                <w:szCs w:val="19"/>
                <w:color w:val="auto"/>
                <w:w w:val="99"/>
              </w:rPr>
              <w:t>23%</w:t>
            </w:r>
          </w:p>
        </w:tc>
      </w:tr>
      <w:tr>
        <w:trPr>
          <w:trHeight w:val="176"/>
        </w:trPr>
        <w:tc>
          <w:tcPr>
            <w:tcW w:w="4740" w:type="dxa"/>
            <w:vAlign w:val="bottom"/>
          </w:tcPr>
          <w:p>
            <w:pPr>
              <w:spacing w:after="0" w:line="175" w:lineRule="exact"/>
              <w:rPr>
                <w:sz w:val="20"/>
                <w:szCs w:val="20"/>
                <w:color w:val="auto"/>
              </w:rPr>
            </w:pPr>
            <w:r>
              <w:rPr>
                <w:rFonts w:ascii="Arial" w:cs="Arial" w:eastAsia="Arial" w:hAnsi="Arial"/>
                <w:sz w:val="19"/>
                <w:szCs w:val="19"/>
                <w:color w:val="auto"/>
              </w:rPr>
              <w:t>Net earnings from continuing operations attributable to</w:t>
            </w: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70"/>
        </w:trPr>
        <w:tc>
          <w:tcPr>
            <w:tcW w:w="4740" w:type="dxa"/>
            <w:vAlign w:val="bottom"/>
          </w:tcPr>
          <w:p>
            <w:pPr>
              <w:spacing w:after="0" w:line="270" w:lineRule="exact"/>
              <w:rPr>
                <w:sz w:val="20"/>
                <w:szCs w:val="20"/>
                <w:color w:val="auto"/>
              </w:rPr>
            </w:pPr>
            <w:r>
              <w:rPr>
                <w:rFonts w:ascii="Arial" w:cs="Arial" w:eastAsia="Arial" w:hAnsi="Arial"/>
                <w:sz w:val="19"/>
                <w:szCs w:val="19"/>
                <w:color w:val="auto"/>
              </w:rPr>
              <w:t>Martin Marietta</w:t>
            </w:r>
            <w:r>
              <w:rPr>
                <w:rFonts w:ascii="Arial" w:cs="Arial" w:eastAsia="Arial" w:hAnsi="Arial"/>
                <w:sz w:val="25"/>
                <w:szCs w:val="25"/>
                <w:color w:val="auto"/>
                <w:vertAlign w:val="superscript"/>
              </w:rPr>
              <w:t>5</w:t>
            </w:r>
          </w:p>
        </w:tc>
        <w:tc>
          <w:tcPr>
            <w:tcW w:w="320" w:type="dxa"/>
            <w:vAlign w:val="bottom"/>
          </w:tcPr>
          <w:p>
            <w:pPr>
              <w:jc w:val="right"/>
              <w:spacing w:after="0"/>
              <w:rPr>
                <w:sz w:val="20"/>
                <w:szCs w:val="20"/>
                <w:color w:val="auto"/>
              </w:rPr>
            </w:pPr>
            <w:r>
              <w:rPr>
                <w:rFonts w:ascii="Arial" w:cs="Arial" w:eastAsia="Arial" w:hAnsi="Arial"/>
                <w:sz w:val="19"/>
                <w:szCs w:val="19"/>
                <w:color w:val="auto"/>
              </w:rPr>
              <w:t>$</w:t>
            </w:r>
          </w:p>
        </w:tc>
        <w:tc>
          <w:tcPr>
            <w:tcW w:w="680" w:type="dxa"/>
            <w:vAlign w:val="bottom"/>
          </w:tcPr>
          <w:p>
            <w:pPr>
              <w:jc w:val="right"/>
              <w:spacing w:after="0"/>
              <w:rPr>
                <w:sz w:val="20"/>
                <w:szCs w:val="20"/>
                <w:color w:val="auto"/>
              </w:rPr>
            </w:pPr>
            <w:r>
              <w:rPr>
                <w:rFonts w:ascii="Arial" w:cs="Arial" w:eastAsia="Arial" w:hAnsi="Arial"/>
                <w:sz w:val="19"/>
                <w:szCs w:val="19"/>
                <w:color w:val="auto"/>
              </w:rPr>
              <w:t>256</w:t>
            </w:r>
          </w:p>
        </w:tc>
        <w:tc>
          <w:tcPr>
            <w:tcW w:w="400" w:type="dxa"/>
            <w:vAlign w:val="bottom"/>
          </w:tcPr>
          <w:p>
            <w:pPr>
              <w:jc w:val="right"/>
              <w:spacing w:after="0"/>
              <w:rPr>
                <w:sz w:val="20"/>
                <w:szCs w:val="20"/>
                <w:color w:val="auto"/>
              </w:rPr>
            </w:pPr>
            <w:r>
              <w:rPr>
                <w:rFonts w:ascii="Arial" w:cs="Arial" w:eastAsia="Arial" w:hAnsi="Arial"/>
                <w:sz w:val="19"/>
                <w:szCs w:val="19"/>
                <w:color w:val="auto"/>
              </w:rPr>
              <w:t>$</w:t>
            </w:r>
          </w:p>
        </w:tc>
        <w:tc>
          <w:tcPr>
            <w:tcW w:w="800" w:type="dxa"/>
            <w:vAlign w:val="bottom"/>
          </w:tcPr>
          <w:p>
            <w:pPr>
              <w:jc w:val="right"/>
              <w:ind w:right="46"/>
              <w:spacing w:after="0"/>
              <w:rPr>
                <w:sz w:val="20"/>
                <w:szCs w:val="20"/>
                <w:color w:val="auto"/>
              </w:rPr>
            </w:pPr>
            <w:r>
              <w:rPr>
                <w:rFonts w:ascii="Arial" w:cs="Arial" w:eastAsia="Arial" w:hAnsi="Arial"/>
                <w:sz w:val="19"/>
                <w:szCs w:val="19"/>
                <w:color w:val="auto"/>
              </w:rPr>
              <w:t>361</w:t>
            </w:r>
          </w:p>
        </w:tc>
        <w:tc>
          <w:tcPr>
            <w:tcW w:w="1120" w:type="dxa"/>
            <w:vAlign w:val="bottom"/>
          </w:tcPr>
          <w:p>
            <w:pPr>
              <w:jc w:val="center"/>
              <w:spacing w:after="0"/>
              <w:rPr>
                <w:sz w:val="20"/>
                <w:szCs w:val="20"/>
                <w:color w:val="auto"/>
              </w:rPr>
            </w:pPr>
            <w:r>
              <w:rPr>
                <w:rFonts w:ascii="Arial" w:cs="Arial" w:eastAsia="Arial" w:hAnsi="Arial"/>
                <w:sz w:val="19"/>
                <w:szCs w:val="19"/>
                <w:color w:val="auto"/>
                <w:w w:val="98"/>
              </w:rPr>
              <w:t>(29)%</w:t>
            </w:r>
          </w:p>
        </w:tc>
        <w:tc>
          <w:tcPr>
            <w:tcW w:w="240" w:type="dxa"/>
            <w:vAlign w:val="bottom"/>
          </w:tcPr>
          <w:p>
            <w:pPr>
              <w:jc w:val="right"/>
              <w:spacing w:after="0"/>
              <w:rPr>
                <w:sz w:val="20"/>
                <w:szCs w:val="20"/>
                <w:color w:val="auto"/>
              </w:rPr>
            </w:pPr>
            <w:r>
              <w:rPr>
                <w:rFonts w:ascii="Arial" w:cs="Arial" w:eastAsia="Arial" w:hAnsi="Arial"/>
                <w:sz w:val="19"/>
                <w:szCs w:val="19"/>
                <w:color w:val="auto"/>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592</w:t>
            </w:r>
          </w:p>
        </w:tc>
        <w:tc>
          <w:tcPr>
            <w:tcW w:w="380" w:type="dxa"/>
            <w:vAlign w:val="bottom"/>
          </w:tcPr>
          <w:p>
            <w:pPr>
              <w:jc w:val="right"/>
              <w:spacing w:after="0"/>
              <w:rPr>
                <w:sz w:val="20"/>
                <w:szCs w:val="20"/>
                <w:color w:val="auto"/>
              </w:rPr>
            </w:pPr>
            <w:r>
              <w:rPr>
                <w:rFonts w:ascii="Arial" w:cs="Arial" w:eastAsia="Arial" w:hAnsi="Arial"/>
                <w:sz w:val="19"/>
                <w:szCs w:val="19"/>
                <w:color w:val="auto"/>
              </w:rPr>
              <w:t>$</w:t>
            </w:r>
          </w:p>
        </w:tc>
        <w:tc>
          <w:tcPr>
            <w:tcW w:w="800" w:type="dxa"/>
            <w:vAlign w:val="bottom"/>
          </w:tcPr>
          <w:p>
            <w:pPr>
              <w:jc w:val="right"/>
              <w:ind w:right="46"/>
              <w:spacing w:after="0"/>
              <w:rPr>
                <w:sz w:val="20"/>
                <w:szCs w:val="20"/>
                <w:color w:val="auto"/>
              </w:rPr>
            </w:pPr>
            <w:r>
              <w:rPr>
                <w:rFonts w:ascii="Arial" w:cs="Arial" w:eastAsia="Arial" w:hAnsi="Arial"/>
                <w:sz w:val="19"/>
                <w:szCs w:val="19"/>
                <w:color w:val="auto"/>
              </w:rPr>
              <w:t>757</w:t>
            </w:r>
          </w:p>
        </w:tc>
        <w:tc>
          <w:tcPr>
            <w:tcW w:w="1060" w:type="dxa"/>
            <w:vAlign w:val="bottom"/>
          </w:tcPr>
          <w:p>
            <w:pPr>
              <w:jc w:val="center"/>
              <w:ind w:left="26"/>
              <w:spacing w:after="0"/>
              <w:rPr>
                <w:sz w:val="20"/>
                <w:szCs w:val="20"/>
                <w:color w:val="auto"/>
              </w:rPr>
            </w:pPr>
            <w:r>
              <w:rPr>
                <w:rFonts w:ascii="Arial" w:cs="Arial" w:eastAsia="Arial" w:hAnsi="Arial"/>
                <w:sz w:val="19"/>
                <w:szCs w:val="19"/>
                <w:color w:val="auto"/>
                <w:w w:val="98"/>
              </w:rPr>
              <w:t>(22)%</w:t>
            </w:r>
          </w:p>
        </w:tc>
      </w:tr>
      <w:tr>
        <w:trPr>
          <w:trHeight w:val="230"/>
        </w:trPr>
        <w:tc>
          <w:tcPr>
            <w:tcW w:w="4740" w:type="dxa"/>
            <w:vAlign w:val="bottom"/>
            <w:shd w:val="clear" w:color="auto" w:fill="CFF0FC"/>
          </w:tcPr>
          <w:p>
            <w:pPr>
              <w:spacing w:after="0" w:line="229" w:lineRule="exact"/>
              <w:rPr>
                <w:sz w:val="20"/>
                <w:szCs w:val="20"/>
                <w:color w:val="auto"/>
              </w:rPr>
            </w:pPr>
            <w:r>
              <w:rPr>
                <w:rFonts w:ascii="Arial" w:cs="Arial" w:eastAsia="Arial" w:hAnsi="Arial"/>
                <w:sz w:val="19"/>
                <w:szCs w:val="19"/>
                <w:color w:val="auto"/>
              </w:rPr>
              <w:t>Adjusted EBITDA from continuing operations</w:t>
            </w:r>
            <w:r>
              <w:rPr>
                <w:rFonts w:ascii="Arial" w:cs="Arial" w:eastAsia="Arial" w:hAnsi="Arial"/>
                <w:sz w:val="25"/>
                <w:szCs w:val="25"/>
                <w:color w:val="auto"/>
                <w:vertAlign w:val="superscript"/>
              </w:rPr>
              <w:t>1</w:t>
            </w:r>
          </w:p>
        </w:tc>
        <w:tc>
          <w:tcPr>
            <w:tcW w:w="3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808</w:t>
            </w:r>
          </w:p>
        </w:tc>
        <w:tc>
          <w:tcPr>
            <w:tcW w:w="4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800" w:type="dxa"/>
            <w:vAlign w:val="bottom"/>
            <w:shd w:val="clear" w:color="auto" w:fill="CFF0FC"/>
          </w:tcPr>
          <w:p>
            <w:pPr>
              <w:jc w:val="right"/>
              <w:ind w:right="46"/>
              <w:spacing w:after="0"/>
              <w:rPr>
                <w:sz w:val="20"/>
                <w:szCs w:val="20"/>
                <w:color w:val="auto"/>
              </w:rPr>
            </w:pPr>
            <w:r>
              <w:rPr>
                <w:rFonts w:ascii="Arial" w:cs="Arial" w:eastAsia="Arial" w:hAnsi="Arial"/>
                <w:sz w:val="19"/>
                <w:szCs w:val="19"/>
                <w:color w:val="auto"/>
              </w:rPr>
              <w:t>667</w:t>
            </w:r>
          </w:p>
        </w:tc>
        <w:tc>
          <w:tcPr>
            <w:tcW w:w="112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9"/>
              </w:rPr>
              <w:t>21%</w:t>
            </w:r>
          </w:p>
        </w:tc>
        <w:tc>
          <w:tcPr>
            <w:tcW w:w="2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1,809</w:t>
            </w:r>
          </w:p>
        </w:tc>
        <w:tc>
          <w:tcPr>
            <w:tcW w:w="3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800" w:type="dxa"/>
            <w:vAlign w:val="bottom"/>
            <w:shd w:val="clear" w:color="auto" w:fill="CFF0FC"/>
          </w:tcPr>
          <w:p>
            <w:pPr>
              <w:jc w:val="right"/>
              <w:ind w:right="46"/>
              <w:spacing w:after="0"/>
              <w:rPr>
                <w:sz w:val="20"/>
                <w:szCs w:val="20"/>
                <w:color w:val="auto"/>
              </w:rPr>
            </w:pPr>
            <w:r>
              <w:rPr>
                <w:rFonts w:ascii="Arial" w:cs="Arial" w:eastAsia="Arial" w:hAnsi="Arial"/>
                <w:sz w:val="19"/>
                <w:szCs w:val="19"/>
                <w:color w:val="auto"/>
              </w:rPr>
              <w:t>1,551</w:t>
            </w:r>
          </w:p>
        </w:tc>
        <w:tc>
          <w:tcPr>
            <w:tcW w:w="1060" w:type="dxa"/>
            <w:vAlign w:val="bottom"/>
            <w:shd w:val="clear" w:color="auto" w:fill="CFF0FC"/>
          </w:tcPr>
          <w:p>
            <w:pPr>
              <w:jc w:val="center"/>
              <w:ind w:left="26"/>
              <w:spacing w:after="0"/>
              <w:rPr>
                <w:sz w:val="20"/>
                <w:szCs w:val="20"/>
                <w:color w:val="auto"/>
              </w:rPr>
            </w:pPr>
            <w:r>
              <w:rPr>
                <w:rFonts w:ascii="Arial" w:cs="Arial" w:eastAsia="Arial" w:hAnsi="Arial"/>
                <w:sz w:val="19"/>
                <w:szCs w:val="19"/>
                <w:color w:val="auto"/>
                <w:w w:val="99"/>
              </w:rPr>
              <w:t>17%</w:t>
            </w:r>
          </w:p>
        </w:tc>
      </w:tr>
      <w:tr>
        <w:trPr>
          <w:trHeight w:val="230"/>
        </w:trPr>
        <w:tc>
          <w:tcPr>
            <w:tcW w:w="4740" w:type="dxa"/>
            <w:vAlign w:val="bottom"/>
          </w:tcPr>
          <w:p>
            <w:pPr>
              <w:spacing w:after="0" w:line="229" w:lineRule="exact"/>
              <w:rPr>
                <w:sz w:val="20"/>
                <w:szCs w:val="20"/>
                <w:color w:val="auto"/>
              </w:rPr>
            </w:pPr>
            <w:r>
              <w:rPr>
                <w:rFonts w:ascii="Arial" w:cs="Arial" w:eastAsia="Arial" w:hAnsi="Arial"/>
                <w:sz w:val="19"/>
                <w:szCs w:val="19"/>
                <w:color w:val="auto"/>
              </w:rPr>
              <w:t>Earnings per diluted share from continuing operations</w:t>
            </w:r>
            <w:r>
              <w:rPr>
                <w:rFonts w:ascii="Arial" w:cs="Arial" w:eastAsia="Arial" w:hAnsi="Arial"/>
                <w:sz w:val="25"/>
                <w:szCs w:val="25"/>
                <w:color w:val="auto"/>
                <w:vertAlign w:val="superscript"/>
              </w:rPr>
              <w:t>5</w:t>
            </w:r>
          </w:p>
        </w:tc>
        <w:tc>
          <w:tcPr>
            <w:tcW w:w="320" w:type="dxa"/>
            <w:vAlign w:val="bottom"/>
          </w:tcPr>
          <w:p>
            <w:pPr>
              <w:jc w:val="right"/>
              <w:spacing w:after="0"/>
              <w:rPr>
                <w:sz w:val="20"/>
                <w:szCs w:val="20"/>
                <w:color w:val="auto"/>
              </w:rPr>
            </w:pPr>
            <w:r>
              <w:rPr>
                <w:rFonts w:ascii="Arial" w:cs="Arial" w:eastAsia="Arial" w:hAnsi="Arial"/>
                <w:sz w:val="19"/>
                <w:szCs w:val="19"/>
                <w:color w:val="auto"/>
              </w:rPr>
              <w:t>$</w:t>
            </w:r>
          </w:p>
        </w:tc>
        <w:tc>
          <w:tcPr>
            <w:tcW w:w="680" w:type="dxa"/>
            <w:vAlign w:val="bottom"/>
          </w:tcPr>
          <w:p>
            <w:pPr>
              <w:jc w:val="right"/>
              <w:spacing w:after="0"/>
              <w:rPr>
                <w:sz w:val="20"/>
                <w:szCs w:val="20"/>
                <w:color w:val="auto"/>
              </w:rPr>
            </w:pPr>
            <w:r>
              <w:rPr>
                <w:rFonts w:ascii="Arial" w:cs="Arial" w:eastAsia="Arial" w:hAnsi="Arial"/>
                <w:sz w:val="19"/>
                <w:szCs w:val="19"/>
                <w:color w:val="auto"/>
              </w:rPr>
              <w:t>3.94</w:t>
            </w:r>
          </w:p>
        </w:tc>
        <w:tc>
          <w:tcPr>
            <w:tcW w:w="400" w:type="dxa"/>
            <w:vAlign w:val="bottom"/>
          </w:tcPr>
          <w:p>
            <w:pPr>
              <w:jc w:val="right"/>
              <w:spacing w:after="0"/>
              <w:rPr>
                <w:sz w:val="20"/>
                <w:szCs w:val="20"/>
                <w:color w:val="auto"/>
              </w:rPr>
            </w:pPr>
            <w:r>
              <w:rPr>
                <w:rFonts w:ascii="Arial" w:cs="Arial" w:eastAsia="Arial" w:hAnsi="Arial"/>
                <w:sz w:val="19"/>
                <w:szCs w:val="19"/>
                <w:color w:val="auto"/>
              </w:rPr>
              <w:t>$</w:t>
            </w:r>
          </w:p>
        </w:tc>
        <w:tc>
          <w:tcPr>
            <w:tcW w:w="800" w:type="dxa"/>
            <w:vAlign w:val="bottom"/>
          </w:tcPr>
          <w:p>
            <w:pPr>
              <w:jc w:val="right"/>
              <w:ind w:right="46"/>
              <w:spacing w:after="0"/>
              <w:rPr>
                <w:sz w:val="20"/>
                <w:szCs w:val="20"/>
                <w:color w:val="auto"/>
              </w:rPr>
            </w:pPr>
            <w:r>
              <w:rPr>
                <w:rFonts w:ascii="Arial" w:cs="Arial" w:eastAsia="Arial" w:hAnsi="Arial"/>
                <w:sz w:val="19"/>
                <w:szCs w:val="19"/>
                <w:color w:val="auto"/>
              </w:rPr>
              <w:t>5.97</w:t>
            </w:r>
          </w:p>
        </w:tc>
        <w:tc>
          <w:tcPr>
            <w:tcW w:w="1120" w:type="dxa"/>
            <w:vAlign w:val="bottom"/>
          </w:tcPr>
          <w:p>
            <w:pPr>
              <w:jc w:val="center"/>
              <w:spacing w:after="0"/>
              <w:rPr>
                <w:sz w:val="20"/>
                <w:szCs w:val="20"/>
                <w:color w:val="auto"/>
              </w:rPr>
            </w:pPr>
            <w:r>
              <w:rPr>
                <w:rFonts w:ascii="Arial" w:cs="Arial" w:eastAsia="Arial" w:hAnsi="Arial"/>
                <w:sz w:val="19"/>
                <w:szCs w:val="19"/>
                <w:color w:val="auto"/>
                <w:w w:val="98"/>
              </w:rPr>
              <w:t>(34)%</w:t>
            </w:r>
          </w:p>
        </w:tc>
        <w:tc>
          <w:tcPr>
            <w:tcW w:w="240" w:type="dxa"/>
            <w:vAlign w:val="bottom"/>
          </w:tcPr>
          <w:p>
            <w:pPr>
              <w:jc w:val="right"/>
              <w:spacing w:after="0"/>
              <w:rPr>
                <w:sz w:val="20"/>
                <w:szCs w:val="20"/>
                <w:color w:val="auto"/>
              </w:rPr>
            </w:pPr>
            <w:r>
              <w:rPr>
                <w:rFonts w:ascii="Arial" w:cs="Arial" w:eastAsia="Arial" w:hAnsi="Arial"/>
                <w:sz w:val="19"/>
                <w:szCs w:val="19"/>
                <w:color w:val="auto"/>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9.55</w:t>
            </w:r>
          </w:p>
        </w:tc>
        <w:tc>
          <w:tcPr>
            <w:tcW w:w="380" w:type="dxa"/>
            <w:vAlign w:val="bottom"/>
          </w:tcPr>
          <w:p>
            <w:pPr>
              <w:jc w:val="right"/>
              <w:spacing w:after="0"/>
              <w:rPr>
                <w:sz w:val="20"/>
                <w:szCs w:val="20"/>
                <w:color w:val="auto"/>
              </w:rPr>
            </w:pPr>
            <w:r>
              <w:rPr>
                <w:rFonts w:ascii="Arial" w:cs="Arial" w:eastAsia="Arial" w:hAnsi="Arial"/>
                <w:sz w:val="19"/>
                <w:szCs w:val="19"/>
                <w:color w:val="auto"/>
              </w:rPr>
              <w:t>$</w:t>
            </w:r>
          </w:p>
        </w:tc>
        <w:tc>
          <w:tcPr>
            <w:tcW w:w="800" w:type="dxa"/>
            <w:vAlign w:val="bottom"/>
          </w:tcPr>
          <w:p>
            <w:pPr>
              <w:jc w:val="right"/>
              <w:ind w:right="46"/>
              <w:spacing w:after="0"/>
              <w:rPr>
                <w:sz w:val="20"/>
                <w:szCs w:val="20"/>
                <w:color w:val="auto"/>
              </w:rPr>
            </w:pPr>
            <w:r>
              <w:rPr>
                <w:rFonts w:ascii="Arial" w:cs="Arial" w:eastAsia="Arial" w:hAnsi="Arial"/>
                <w:sz w:val="19"/>
                <w:szCs w:val="19"/>
                <w:color w:val="auto"/>
              </w:rPr>
              <w:t>12.49</w:t>
            </w:r>
          </w:p>
        </w:tc>
        <w:tc>
          <w:tcPr>
            <w:tcW w:w="1060" w:type="dxa"/>
            <w:vAlign w:val="bottom"/>
          </w:tcPr>
          <w:p>
            <w:pPr>
              <w:jc w:val="center"/>
              <w:ind w:left="26"/>
              <w:spacing w:after="0"/>
              <w:rPr>
                <w:sz w:val="20"/>
                <w:szCs w:val="20"/>
                <w:color w:val="auto"/>
              </w:rPr>
            </w:pPr>
            <w:r>
              <w:rPr>
                <w:rFonts w:ascii="Arial" w:cs="Arial" w:eastAsia="Arial" w:hAnsi="Arial"/>
                <w:sz w:val="19"/>
                <w:szCs w:val="19"/>
                <w:color w:val="auto"/>
                <w:w w:val="98"/>
              </w:rPr>
              <w:t>(23)%</w:t>
            </w:r>
          </w:p>
        </w:tc>
      </w:tr>
      <w:tr>
        <w:trPr>
          <w:trHeight w:val="175"/>
        </w:trPr>
        <w:tc>
          <w:tcPr>
            <w:tcW w:w="4740" w:type="dxa"/>
            <w:vAlign w:val="bottom"/>
            <w:shd w:val="clear" w:color="auto" w:fill="CFF0FC"/>
          </w:tcPr>
          <w:p>
            <w:pPr>
              <w:spacing w:after="0" w:line="175" w:lineRule="exact"/>
              <w:rPr>
                <w:sz w:val="20"/>
                <w:szCs w:val="20"/>
                <w:color w:val="auto"/>
              </w:rPr>
            </w:pPr>
            <w:r>
              <w:rPr>
                <w:rFonts w:ascii="Arial" w:cs="Arial" w:eastAsia="Arial" w:hAnsi="Arial"/>
                <w:sz w:val="19"/>
                <w:szCs w:val="19"/>
                <w:color w:val="auto"/>
              </w:rPr>
              <w:t>Adjusted earnings per diluted share from continuing</w:t>
            </w:r>
          </w:p>
        </w:tc>
        <w:tc>
          <w:tcPr>
            <w:tcW w:w="3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r>
      <w:tr>
        <w:trPr>
          <w:trHeight w:val="270"/>
        </w:trPr>
        <w:tc>
          <w:tcPr>
            <w:tcW w:w="4740" w:type="dxa"/>
            <w:vAlign w:val="bottom"/>
            <w:shd w:val="clear" w:color="auto" w:fill="CFF0FC"/>
          </w:tcPr>
          <w:p>
            <w:pPr>
              <w:spacing w:after="0" w:line="270" w:lineRule="exact"/>
              <w:rPr>
                <w:sz w:val="20"/>
                <w:szCs w:val="20"/>
                <w:color w:val="auto"/>
              </w:rPr>
            </w:pPr>
            <w:r>
              <w:rPr>
                <w:rFonts w:ascii="Arial" w:cs="Arial" w:eastAsia="Arial" w:hAnsi="Arial"/>
                <w:sz w:val="19"/>
                <w:szCs w:val="19"/>
                <w:color w:val="auto"/>
              </w:rPr>
              <w:t>operations</w:t>
            </w:r>
            <w:r>
              <w:rPr>
                <w:rFonts w:ascii="Arial" w:cs="Arial" w:eastAsia="Arial" w:hAnsi="Arial"/>
                <w:sz w:val="25"/>
                <w:szCs w:val="25"/>
                <w:color w:val="auto"/>
                <w:vertAlign w:val="superscript"/>
              </w:rPr>
              <w:t>1</w:t>
            </w:r>
          </w:p>
        </w:tc>
        <w:tc>
          <w:tcPr>
            <w:tcW w:w="3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5.47</w:t>
            </w:r>
          </w:p>
        </w:tc>
        <w:tc>
          <w:tcPr>
            <w:tcW w:w="4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800" w:type="dxa"/>
            <w:vAlign w:val="bottom"/>
            <w:shd w:val="clear" w:color="auto" w:fill="CFF0FC"/>
          </w:tcPr>
          <w:p>
            <w:pPr>
              <w:jc w:val="right"/>
              <w:ind w:right="46"/>
              <w:spacing w:after="0"/>
              <w:rPr>
                <w:sz w:val="20"/>
                <w:szCs w:val="20"/>
                <w:color w:val="auto"/>
              </w:rPr>
            </w:pPr>
            <w:r>
              <w:rPr>
                <w:rFonts w:ascii="Arial" w:cs="Arial" w:eastAsia="Arial" w:hAnsi="Arial"/>
                <w:sz w:val="19"/>
                <w:szCs w:val="19"/>
                <w:color w:val="auto"/>
              </w:rPr>
              <w:t>6.12</w:t>
            </w:r>
          </w:p>
        </w:tc>
        <w:tc>
          <w:tcPr>
            <w:tcW w:w="112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8"/>
              </w:rPr>
              <w:t>(11)%</w:t>
            </w:r>
          </w:p>
        </w:tc>
        <w:tc>
          <w:tcPr>
            <w:tcW w:w="2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12.48</w:t>
            </w:r>
          </w:p>
        </w:tc>
        <w:tc>
          <w:tcPr>
            <w:tcW w:w="3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800" w:type="dxa"/>
            <w:vAlign w:val="bottom"/>
            <w:shd w:val="clear" w:color="auto" w:fill="CFF0FC"/>
          </w:tcPr>
          <w:p>
            <w:pPr>
              <w:jc w:val="right"/>
              <w:ind w:right="46"/>
              <w:spacing w:after="0"/>
              <w:rPr>
                <w:sz w:val="20"/>
                <w:szCs w:val="20"/>
                <w:color w:val="auto"/>
              </w:rPr>
            </w:pPr>
            <w:r>
              <w:rPr>
                <w:rFonts w:ascii="Arial" w:cs="Arial" w:eastAsia="Arial" w:hAnsi="Arial"/>
                <w:sz w:val="19"/>
                <w:szCs w:val="19"/>
                <w:color w:val="auto"/>
              </w:rPr>
              <w:t>12.64</w:t>
            </w:r>
          </w:p>
        </w:tc>
        <w:tc>
          <w:tcPr>
            <w:tcW w:w="1060" w:type="dxa"/>
            <w:vAlign w:val="bottom"/>
            <w:shd w:val="clear" w:color="auto" w:fill="CFF0FC"/>
          </w:tcPr>
          <w:p>
            <w:pPr>
              <w:jc w:val="center"/>
              <w:ind w:left="6"/>
              <w:spacing w:after="0"/>
              <w:rPr>
                <w:sz w:val="20"/>
                <w:szCs w:val="20"/>
                <w:color w:val="auto"/>
              </w:rPr>
            </w:pPr>
            <w:r>
              <w:rPr>
                <w:rFonts w:ascii="Arial" w:cs="Arial" w:eastAsia="Arial" w:hAnsi="Arial"/>
                <w:sz w:val="19"/>
                <w:szCs w:val="19"/>
                <w:color w:val="auto"/>
                <w:w w:val="99"/>
              </w:rPr>
              <w:t>(1)%</w:t>
            </w:r>
          </w:p>
        </w:tc>
      </w:tr>
      <w:tr>
        <w:trPr>
          <w:trHeight w:val="216"/>
        </w:trPr>
        <w:tc>
          <w:tcPr>
            <w:tcW w:w="4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4740" w:type="dxa"/>
            <w:vAlign w:val="bottom"/>
            <w:shd w:val="clear" w:color="auto" w:fill="CFF0FC"/>
          </w:tcPr>
          <w:p>
            <w:pPr>
              <w:spacing w:after="0" w:line="216" w:lineRule="exact"/>
              <w:rPr>
                <w:sz w:val="20"/>
                <w:szCs w:val="20"/>
                <w:color w:val="auto"/>
              </w:rPr>
            </w:pPr>
            <w:r>
              <w:rPr>
                <w:rFonts w:ascii="Arial" w:cs="Arial" w:eastAsia="Arial" w:hAnsi="Arial"/>
                <w:sz w:val="19"/>
                <w:szCs w:val="19"/>
                <w:b w:val="1"/>
                <w:bCs w:val="1"/>
                <w:color w:val="auto"/>
              </w:rPr>
              <w:t>Aggregates product line</w:t>
            </w: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r>
      <w:tr>
        <w:trPr>
          <w:trHeight w:val="216"/>
        </w:trPr>
        <w:tc>
          <w:tcPr>
            <w:tcW w:w="4740" w:type="dxa"/>
            <w:vAlign w:val="bottom"/>
          </w:tcPr>
          <w:p>
            <w:pPr>
              <w:ind w:left="60"/>
              <w:spacing w:after="0" w:line="216" w:lineRule="exact"/>
              <w:rPr>
                <w:sz w:val="20"/>
                <w:szCs w:val="20"/>
                <w:color w:val="auto"/>
              </w:rPr>
            </w:pPr>
            <w:r>
              <w:rPr>
                <w:rFonts w:ascii="Arial" w:cs="Arial" w:eastAsia="Arial" w:hAnsi="Arial"/>
                <w:sz w:val="19"/>
                <w:szCs w:val="19"/>
                <w:color w:val="auto"/>
              </w:rPr>
              <w:t>Shipments (tons)</w:t>
            </w:r>
          </w:p>
        </w:tc>
        <w:tc>
          <w:tcPr>
            <w:tcW w:w="320" w:type="dxa"/>
            <w:vAlign w:val="bottom"/>
          </w:tcPr>
          <w:p>
            <w:pPr>
              <w:spacing w:after="0"/>
              <w:rPr>
                <w:sz w:val="18"/>
                <w:szCs w:val="18"/>
                <w:color w:val="auto"/>
              </w:rPr>
            </w:pPr>
          </w:p>
        </w:tc>
        <w:tc>
          <w:tcPr>
            <w:tcW w:w="680" w:type="dxa"/>
            <w:vAlign w:val="bottom"/>
          </w:tcPr>
          <w:p>
            <w:pPr>
              <w:jc w:val="right"/>
              <w:spacing w:after="0" w:line="216" w:lineRule="exact"/>
              <w:rPr>
                <w:sz w:val="20"/>
                <w:szCs w:val="20"/>
                <w:color w:val="auto"/>
              </w:rPr>
            </w:pPr>
            <w:r>
              <w:rPr>
                <w:rFonts w:ascii="Arial" w:cs="Arial" w:eastAsia="Arial" w:hAnsi="Arial"/>
                <w:sz w:val="19"/>
                <w:szCs w:val="19"/>
                <w:color w:val="auto"/>
              </w:rPr>
              <w:t>67.1</w:t>
            </w:r>
          </w:p>
        </w:tc>
        <w:tc>
          <w:tcPr>
            <w:tcW w:w="400" w:type="dxa"/>
            <w:vAlign w:val="bottom"/>
          </w:tcPr>
          <w:p>
            <w:pPr>
              <w:spacing w:after="0"/>
              <w:rPr>
                <w:sz w:val="18"/>
                <w:szCs w:val="18"/>
                <w:color w:val="auto"/>
              </w:rPr>
            </w:pPr>
          </w:p>
        </w:tc>
        <w:tc>
          <w:tcPr>
            <w:tcW w:w="800" w:type="dxa"/>
            <w:vAlign w:val="bottom"/>
          </w:tcPr>
          <w:p>
            <w:pPr>
              <w:jc w:val="right"/>
              <w:ind w:right="46"/>
              <w:spacing w:after="0" w:line="216" w:lineRule="exact"/>
              <w:rPr>
                <w:sz w:val="20"/>
                <w:szCs w:val="20"/>
                <w:color w:val="auto"/>
              </w:rPr>
            </w:pPr>
            <w:r>
              <w:rPr>
                <w:rFonts w:ascii="Arial" w:cs="Arial" w:eastAsia="Arial" w:hAnsi="Arial"/>
                <w:sz w:val="19"/>
                <w:szCs w:val="19"/>
                <w:color w:val="auto"/>
              </w:rPr>
              <w:t>57.9</w:t>
            </w:r>
          </w:p>
        </w:tc>
        <w:tc>
          <w:tcPr>
            <w:tcW w:w="1120" w:type="dxa"/>
            <w:vAlign w:val="bottom"/>
          </w:tcPr>
          <w:p>
            <w:pPr>
              <w:jc w:val="center"/>
              <w:spacing w:after="0" w:line="216" w:lineRule="exact"/>
              <w:rPr>
                <w:sz w:val="20"/>
                <w:szCs w:val="20"/>
                <w:color w:val="auto"/>
              </w:rPr>
            </w:pPr>
            <w:r>
              <w:rPr>
                <w:rFonts w:ascii="Arial" w:cs="Arial" w:eastAsia="Arial" w:hAnsi="Arial"/>
                <w:sz w:val="19"/>
                <w:szCs w:val="19"/>
                <w:color w:val="auto"/>
                <w:w w:val="99"/>
              </w:rPr>
              <w:t>16%</w:t>
            </w:r>
          </w:p>
        </w:tc>
        <w:tc>
          <w:tcPr>
            <w:tcW w:w="240" w:type="dxa"/>
            <w:vAlign w:val="bottom"/>
          </w:tcPr>
          <w:p>
            <w:pPr>
              <w:spacing w:after="0"/>
              <w:rPr>
                <w:sz w:val="18"/>
                <w:szCs w:val="18"/>
                <w:color w:val="auto"/>
              </w:rPr>
            </w:pPr>
          </w:p>
        </w:tc>
        <w:tc>
          <w:tcPr>
            <w:tcW w:w="700" w:type="dxa"/>
            <w:vAlign w:val="bottom"/>
          </w:tcPr>
          <w:p>
            <w:pPr>
              <w:jc w:val="right"/>
              <w:spacing w:after="0" w:line="216" w:lineRule="exact"/>
              <w:rPr>
                <w:sz w:val="20"/>
                <w:szCs w:val="20"/>
                <w:color w:val="auto"/>
              </w:rPr>
            </w:pPr>
            <w:r>
              <w:rPr>
                <w:rFonts w:ascii="Arial" w:cs="Arial" w:eastAsia="Arial" w:hAnsi="Arial"/>
                <w:sz w:val="19"/>
                <w:szCs w:val="19"/>
                <w:color w:val="auto"/>
              </w:rPr>
              <w:t>172.6</w:t>
            </w:r>
          </w:p>
        </w:tc>
        <w:tc>
          <w:tcPr>
            <w:tcW w:w="380" w:type="dxa"/>
            <w:vAlign w:val="bottom"/>
          </w:tcPr>
          <w:p>
            <w:pPr>
              <w:spacing w:after="0"/>
              <w:rPr>
                <w:sz w:val="18"/>
                <w:szCs w:val="18"/>
                <w:color w:val="auto"/>
              </w:rPr>
            </w:pPr>
          </w:p>
        </w:tc>
        <w:tc>
          <w:tcPr>
            <w:tcW w:w="800" w:type="dxa"/>
            <w:vAlign w:val="bottom"/>
          </w:tcPr>
          <w:p>
            <w:pPr>
              <w:jc w:val="right"/>
              <w:ind w:right="46"/>
              <w:spacing w:after="0" w:line="216" w:lineRule="exact"/>
              <w:rPr>
                <w:sz w:val="20"/>
                <w:szCs w:val="20"/>
                <w:color w:val="auto"/>
              </w:rPr>
            </w:pPr>
            <w:r>
              <w:rPr>
                <w:rFonts w:ascii="Arial" w:cs="Arial" w:eastAsia="Arial" w:hAnsi="Arial"/>
                <w:sz w:val="19"/>
                <w:szCs w:val="19"/>
                <w:color w:val="auto"/>
              </w:rPr>
              <w:t>149.6</w:t>
            </w:r>
          </w:p>
        </w:tc>
        <w:tc>
          <w:tcPr>
            <w:tcW w:w="1060" w:type="dxa"/>
            <w:vAlign w:val="bottom"/>
          </w:tcPr>
          <w:p>
            <w:pPr>
              <w:jc w:val="center"/>
              <w:ind w:left="26"/>
              <w:spacing w:after="0" w:line="216" w:lineRule="exact"/>
              <w:rPr>
                <w:sz w:val="20"/>
                <w:szCs w:val="20"/>
                <w:color w:val="auto"/>
              </w:rPr>
            </w:pPr>
            <w:r>
              <w:rPr>
                <w:rFonts w:ascii="Arial" w:cs="Arial" w:eastAsia="Arial" w:hAnsi="Arial"/>
                <w:sz w:val="19"/>
                <w:szCs w:val="19"/>
                <w:color w:val="auto"/>
                <w:w w:val="99"/>
              </w:rPr>
              <w:t>15%</w:t>
            </w:r>
          </w:p>
        </w:tc>
      </w:tr>
      <w:tr>
        <w:trPr>
          <w:trHeight w:val="230"/>
        </w:trPr>
        <w:tc>
          <w:tcPr>
            <w:tcW w:w="4740" w:type="dxa"/>
            <w:vAlign w:val="bottom"/>
            <w:shd w:val="clear" w:color="auto" w:fill="CFF0FC"/>
          </w:tcPr>
          <w:p>
            <w:pPr>
              <w:ind w:left="60"/>
              <w:spacing w:after="0" w:line="229" w:lineRule="exact"/>
              <w:rPr>
                <w:sz w:val="20"/>
                <w:szCs w:val="20"/>
                <w:color w:val="auto"/>
              </w:rPr>
            </w:pPr>
            <w:r>
              <w:rPr>
                <w:rFonts w:ascii="Arial" w:cs="Arial" w:eastAsia="Arial" w:hAnsi="Arial"/>
                <w:sz w:val="19"/>
                <w:szCs w:val="19"/>
                <w:color w:val="auto"/>
              </w:rPr>
              <w:t>Average selling price per ton (ASP)</w:t>
            </w:r>
            <w:r>
              <w:rPr>
                <w:rFonts w:ascii="Arial" w:cs="Arial" w:eastAsia="Arial" w:hAnsi="Arial"/>
                <w:sz w:val="25"/>
                <w:szCs w:val="25"/>
                <w:color w:val="auto"/>
                <w:vertAlign w:val="superscript"/>
              </w:rPr>
              <w:t>3</w:t>
            </w:r>
          </w:p>
        </w:tc>
        <w:tc>
          <w:tcPr>
            <w:tcW w:w="3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22.41</w:t>
            </w:r>
          </w:p>
        </w:tc>
        <w:tc>
          <w:tcPr>
            <w:tcW w:w="4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800" w:type="dxa"/>
            <w:vAlign w:val="bottom"/>
            <w:shd w:val="clear" w:color="auto" w:fill="CFF0FC"/>
          </w:tcPr>
          <w:p>
            <w:pPr>
              <w:jc w:val="right"/>
              <w:ind w:right="46"/>
              <w:spacing w:after="0"/>
              <w:rPr>
                <w:sz w:val="20"/>
                <w:szCs w:val="20"/>
                <w:color w:val="auto"/>
              </w:rPr>
            </w:pPr>
            <w:r>
              <w:rPr>
                <w:rFonts w:ascii="Arial" w:cs="Arial" w:eastAsia="Arial" w:hAnsi="Arial"/>
                <w:sz w:val="19"/>
                <w:szCs w:val="19"/>
                <w:color w:val="auto"/>
              </w:rPr>
              <w:t>23.24</w:t>
            </w:r>
          </w:p>
        </w:tc>
        <w:tc>
          <w:tcPr>
            <w:tcW w:w="112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9"/>
              </w:rPr>
              <w:t>(4)%</w:t>
            </w:r>
          </w:p>
        </w:tc>
        <w:tc>
          <w:tcPr>
            <w:tcW w:w="2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22.85</w:t>
            </w:r>
          </w:p>
        </w:tc>
        <w:tc>
          <w:tcPr>
            <w:tcW w:w="3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800" w:type="dxa"/>
            <w:vAlign w:val="bottom"/>
            <w:shd w:val="clear" w:color="auto" w:fill="CFF0FC"/>
          </w:tcPr>
          <w:p>
            <w:pPr>
              <w:jc w:val="right"/>
              <w:ind w:right="46"/>
              <w:spacing w:after="0"/>
              <w:rPr>
                <w:sz w:val="20"/>
                <w:szCs w:val="20"/>
                <w:color w:val="auto"/>
              </w:rPr>
            </w:pPr>
            <w:r>
              <w:rPr>
                <w:rFonts w:ascii="Arial" w:cs="Arial" w:eastAsia="Arial" w:hAnsi="Arial"/>
                <w:sz w:val="19"/>
                <w:szCs w:val="19"/>
                <w:color w:val="auto"/>
              </w:rPr>
              <w:t>23.37</w:t>
            </w:r>
          </w:p>
        </w:tc>
        <w:tc>
          <w:tcPr>
            <w:tcW w:w="1060" w:type="dxa"/>
            <w:vAlign w:val="bottom"/>
            <w:shd w:val="clear" w:color="auto" w:fill="CFF0FC"/>
          </w:tcPr>
          <w:p>
            <w:pPr>
              <w:jc w:val="center"/>
              <w:ind w:left="6"/>
              <w:spacing w:after="0"/>
              <w:rPr>
                <w:sz w:val="20"/>
                <w:szCs w:val="20"/>
                <w:color w:val="auto"/>
              </w:rPr>
            </w:pPr>
            <w:r>
              <w:rPr>
                <w:rFonts w:ascii="Arial" w:cs="Arial" w:eastAsia="Arial" w:hAnsi="Arial"/>
                <w:sz w:val="19"/>
                <w:szCs w:val="19"/>
                <w:color w:val="auto"/>
                <w:w w:val="99"/>
              </w:rPr>
              <w:t>(2)%</w:t>
            </w:r>
          </w:p>
        </w:tc>
      </w:tr>
      <w:tr>
        <w:trPr>
          <w:trHeight w:val="229"/>
        </w:trPr>
        <w:tc>
          <w:tcPr>
            <w:tcW w:w="4740" w:type="dxa"/>
            <w:vAlign w:val="bottom"/>
          </w:tcPr>
          <w:p>
            <w:pPr>
              <w:ind w:left="60"/>
              <w:spacing w:after="0" w:line="229" w:lineRule="exact"/>
              <w:rPr>
                <w:sz w:val="20"/>
                <w:szCs w:val="20"/>
                <w:color w:val="auto"/>
              </w:rPr>
            </w:pPr>
            <w:r>
              <w:rPr>
                <w:rFonts w:ascii="Arial" w:cs="Arial" w:eastAsia="Arial" w:hAnsi="Arial"/>
                <w:sz w:val="19"/>
                <w:szCs w:val="19"/>
                <w:color w:val="auto"/>
              </w:rPr>
              <w:t>Revenues</w:t>
            </w:r>
            <w:r>
              <w:rPr>
                <w:rFonts w:ascii="Arial" w:cs="Arial" w:eastAsia="Arial" w:hAnsi="Arial"/>
                <w:sz w:val="25"/>
                <w:szCs w:val="25"/>
                <w:color w:val="auto"/>
                <w:vertAlign w:val="superscript"/>
              </w:rPr>
              <w:t>4</w:t>
            </w:r>
          </w:p>
        </w:tc>
        <w:tc>
          <w:tcPr>
            <w:tcW w:w="320" w:type="dxa"/>
            <w:vAlign w:val="bottom"/>
          </w:tcPr>
          <w:p>
            <w:pPr>
              <w:jc w:val="right"/>
              <w:spacing w:after="0"/>
              <w:rPr>
                <w:sz w:val="20"/>
                <w:szCs w:val="20"/>
                <w:color w:val="auto"/>
              </w:rPr>
            </w:pPr>
            <w:r>
              <w:rPr>
                <w:rFonts w:ascii="Arial" w:cs="Arial" w:eastAsia="Arial" w:hAnsi="Arial"/>
                <w:sz w:val="19"/>
                <w:szCs w:val="19"/>
                <w:color w:val="auto"/>
              </w:rPr>
              <w:t>$</w:t>
            </w:r>
          </w:p>
        </w:tc>
        <w:tc>
          <w:tcPr>
            <w:tcW w:w="680" w:type="dxa"/>
            <w:vAlign w:val="bottom"/>
          </w:tcPr>
          <w:p>
            <w:pPr>
              <w:jc w:val="right"/>
              <w:spacing w:after="0"/>
              <w:rPr>
                <w:sz w:val="20"/>
                <w:szCs w:val="20"/>
                <w:color w:val="auto"/>
              </w:rPr>
            </w:pPr>
            <w:r>
              <w:rPr>
                <w:rFonts w:ascii="Arial" w:cs="Arial" w:eastAsia="Arial" w:hAnsi="Arial"/>
                <w:sz w:val="19"/>
                <w:szCs w:val="19"/>
                <w:color w:val="auto"/>
              </w:rPr>
              <w:t>1,662</w:t>
            </w:r>
          </w:p>
        </w:tc>
        <w:tc>
          <w:tcPr>
            <w:tcW w:w="400" w:type="dxa"/>
            <w:vAlign w:val="bottom"/>
          </w:tcPr>
          <w:p>
            <w:pPr>
              <w:jc w:val="right"/>
              <w:spacing w:after="0"/>
              <w:rPr>
                <w:sz w:val="20"/>
                <w:szCs w:val="20"/>
                <w:color w:val="auto"/>
              </w:rPr>
            </w:pPr>
            <w:r>
              <w:rPr>
                <w:rFonts w:ascii="Arial" w:cs="Arial" w:eastAsia="Arial" w:hAnsi="Arial"/>
                <w:sz w:val="19"/>
                <w:szCs w:val="19"/>
                <w:color w:val="auto"/>
              </w:rPr>
              <w:t>$</w:t>
            </w:r>
          </w:p>
        </w:tc>
        <w:tc>
          <w:tcPr>
            <w:tcW w:w="800" w:type="dxa"/>
            <w:vAlign w:val="bottom"/>
          </w:tcPr>
          <w:p>
            <w:pPr>
              <w:jc w:val="right"/>
              <w:ind w:right="46"/>
              <w:spacing w:after="0"/>
              <w:rPr>
                <w:sz w:val="20"/>
                <w:szCs w:val="20"/>
                <w:color w:val="auto"/>
              </w:rPr>
            </w:pPr>
            <w:r>
              <w:rPr>
                <w:rFonts w:ascii="Arial" w:cs="Arial" w:eastAsia="Arial" w:hAnsi="Arial"/>
                <w:sz w:val="19"/>
                <w:szCs w:val="19"/>
                <w:color w:val="auto"/>
              </w:rPr>
              <w:t>1,458</w:t>
            </w:r>
          </w:p>
        </w:tc>
        <w:tc>
          <w:tcPr>
            <w:tcW w:w="1120" w:type="dxa"/>
            <w:vAlign w:val="bottom"/>
          </w:tcPr>
          <w:p>
            <w:pPr>
              <w:jc w:val="center"/>
              <w:spacing w:after="0"/>
              <w:rPr>
                <w:sz w:val="20"/>
                <w:szCs w:val="20"/>
                <w:color w:val="auto"/>
              </w:rPr>
            </w:pPr>
            <w:r>
              <w:rPr>
                <w:rFonts w:ascii="Arial" w:cs="Arial" w:eastAsia="Arial" w:hAnsi="Arial"/>
                <w:sz w:val="19"/>
                <w:szCs w:val="19"/>
                <w:color w:val="auto"/>
                <w:w w:val="99"/>
              </w:rPr>
              <w:t>14%</w:t>
            </w:r>
          </w:p>
        </w:tc>
        <w:tc>
          <w:tcPr>
            <w:tcW w:w="240" w:type="dxa"/>
            <w:vAlign w:val="bottom"/>
          </w:tcPr>
          <w:p>
            <w:pPr>
              <w:jc w:val="right"/>
              <w:spacing w:after="0"/>
              <w:rPr>
                <w:sz w:val="20"/>
                <w:szCs w:val="20"/>
                <w:color w:val="auto"/>
              </w:rPr>
            </w:pPr>
            <w:r>
              <w:rPr>
                <w:rFonts w:ascii="Arial" w:cs="Arial" w:eastAsia="Arial" w:hAnsi="Arial"/>
                <w:sz w:val="19"/>
                <w:szCs w:val="19"/>
                <w:color w:val="auto"/>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4,337</w:t>
            </w:r>
          </w:p>
        </w:tc>
        <w:tc>
          <w:tcPr>
            <w:tcW w:w="380" w:type="dxa"/>
            <w:vAlign w:val="bottom"/>
          </w:tcPr>
          <w:p>
            <w:pPr>
              <w:jc w:val="right"/>
              <w:spacing w:after="0"/>
              <w:rPr>
                <w:sz w:val="20"/>
                <w:szCs w:val="20"/>
                <w:color w:val="auto"/>
              </w:rPr>
            </w:pPr>
            <w:r>
              <w:rPr>
                <w:rFonts w:ascii="Arial" w:cs="Arial" w:eastAsia="Arial" w:hAnsi="Arial"/>
                <w:sz w:val="19"/>
                <w:szCs w:val="19"/>
                <w:color w:val="auto"/>
              </w:rPr>
              <w:t>$</w:t>
            </w:r>
          </w:p>
        </w:tc>
        <w:tc>
          <w:tcPr>
            <w:tcW w:w="800" w:type="dxa"/>
            <w:vAlign w:val="bottom"/>
          </w:tcPr>
          <w:p>
            <w:pPr>
              <w:jc w:val="right"/>
              <w:ind w:right="46"/>
              <w:spacing w:after="0"/>
              <w:rPr>
                <w:sz w:val="20"/>
                <w:szCs w:val="20"/>
                <w:color w:val="auto"/>
              </w:rPr>
            </w:pPr>
            <w:r>
              <w:rPr>
                <w:rFonts w:ascii="Arial" w:cs="Arial" w:eastAsia="Arial" w:hAnsi="Arial"/>
                <w:sz w:val="19"/>
                <w:szCs w:val="19"/>
                <w:color w:val="auto"/>
              </w:rPr>
              <w:t>3,780</w:t>
            </w:r>
          </w:p>
        </w:tc>
        <w:tc>
          <w:tcPr>
            <w:tcW w:w="1060" w:type="dxa"/>
            <w:vAlign w:val="bottom"/>
          </w:tcPr>
          <w:p>
            <w:pPr>
              <w:jc w:val="center"/>
              <w:ind w:left="26"/>
              <w:spacing w:after="0"/>
              <w:rPr>
                <w:sz w:val="20"/>
                <w:szCs w:val="20"/>
                <w:color w:val="auto"/>
              </w:rPr>
            </w:pPr>
            <w:r>
              <w:rPr>
                <w:rFonts w:ascii="Arial" w:cs="Arial" w:eastAsia="Arial" w:hAnsi="Arial"/>
                <w:sz w:val="19"/>
                <w:szCs w:val="19"/>
                <w:color w:val="auto"/>
                <w:w w:val="99"/>
              </w:rPr>
              <w:t>15%</w:t>
            </w:r>
          </w:p>
        </w:tc>
      </w:tr>
      <w:tr>
        <w:trPr>
          <w:trHeight w:val="230"/>
        </w:trPr>
        <w:tc>
          <w:tcPr>
            <w:tcW w:w="4740" w:type="dxa"/>
            <w:vAlign w:val="bottom"/>
            <w:shd w:val="clear" w:color="auto" w:fill="CFF0FC"/>
          </w:tcPr>
          <w:p>
            <w:pPr>
              <w:ind w:left="60"/>
              <w:spacing w:after="0" w:line="229" w:lineRule="exact"/>
              <w:rPr>
                <w:sz w:val="20"/>
                <w:szCs w:val="20"/>
                <w:color w:val="auto"/>
              </w:rPr>
            </w:pPr>
            <w:r>
              <w:rPr>
                <w:rFonts w:ascii="Arial" w:cs="Arial" w:eastAsia="Arial" w:hAnsi="Arial"/>
                <w:sz w:val="19"/>
                <w:szCs w:val="19"/>
                <w:color w:val="auto"/>
              </w:rPr>
              <w:t>Gross profit</w:t>
            </w:r>
            <w:r>
              <w:rPr>
                <w:rFonts w:ascii="Arial" w:cs="Arial" w:eastAsia="Arial" w:hAnsi="Arial"/>
                <w:sz w:val="25"/>
                <w:szCs w:val="25"/>
                <w:color w:val="auto"/>
                <w:vertAlign w:val="superscript"/>
              </w:rPr>
              <w:t>2</w:t>
            </w:r>
          </w:p>
        </w:tc>
        <w:tc>
          <w:tcPr>
            <w:tcW w:w="3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512</w:t>
            </w:r>
          </w:p>
        </w:tc>
        <w:tc>
          <w:tcPr>
            <w:tcW w:w="4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800" w:type="dxa"/>
            <w:vAlign w:val="bottom"/>
            <w:shd w:val="clear" w:color="auto" w:fill="CFF0FC"/>
          </w:tcPr>
          <w:p>
            <w:pPr>
              <w:jc w:val="right"/>
              <w:ind w:right="46"/>
              <w:spacing w:after="0"/>
              <w:rPr>
                <w:sz w:val="20"/>
                <w:szCs w:val="20"/>
                <w:color w:val="auto"/>
              </w:rPr>
            </w:pPr>
            <w:r>
              <w:rPr>
                <w:rFonts w:ascii="Arial" w:cs="Arial" w:eastAsia="Arial" w:hAnsi="Arial"/>
                <w:sz w:val="19"/>
                <w:szCs w:val="19"/>
                <w:color w:val="auto"/>
              </w:rPr>
              <w:t>531</w:t>
            </w:r>
          </w:p>
        </w:tc>
        <w:tc>
          <w:tcPr>
            <w:tcW w:w="112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9"/>
              </w:rPr>
              <w:t>(4)%</w:t>
            </w:r>
          </w:p>
        </w:tc>
        <w:tc>
          <w:tcPr>
            <w:tcW w:w="2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1,217</w:t>
            </w:r>
          </w:p>
        </w:tc>
        <w:tc>
          <w:tcPr>
            <w:tcW w:w="3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800" w:type="dxa"/>
            <w:vAlign w:val="bottom"/>
            <w:shd w:val="clear" w:color="auto" w:fill="CFF0FC"/>
          </w:tcPr>
          <w:p>
            <w:pPr>
              <w:jc w:val="right"/>
              <w:ind w:right="46"/>
              <w:spacing w:after="0"/>
              <w:rPr>
                <w:sz w:val="20"/>
                <w:szCs w:val="20"/>
                <w:color w:val="auto"/>
              </w:rPr>
            </w:pPr>
            <w:r>
              <w:rPr>
                <w:rFonts w:ascii="Arial" w:cs="Arial" w:eastAsia="Arial" w:hAnsi="Arial"/>
                <w:sz w:val="19"/>
                <w:szCs w:val="19"/>
                <w:color w:val="auto"/>
              </w:rPr>
              <w:t>1,257</w:t>
            </w:r>
          </w:p>
        </w:tc>
        <w:tc>
          <w:tcPr>
            <w:tcW w:w="1060" w:type="dxa"/>
            <w:vAlign w:val="bottom"/>
            <w:shd w:val="clear" w:color="auto" w:fill="CFF0FC"/>
          </w:tcPr>
          <w:p>
            <w:pPr>
              <w:jc w:val="center"/>
              <w:ind w:left="6"/>
              <w:spacing w:after="0"/>
              <w:rPr>
                <w:sz w:val="20"/>
                <w:szCs w:val="20"/>
                <w:color w:val="auto"/>
              </w:rPr>
            </w:pPr>
            <w:r>
              <w:rPr>
                <w:rFonts w:ascii="Arial" w:cs="Arial" w:eastAsia="Arial" w:hAnsi="Arial"/>
                <w:sz w:val="19"/>
                <w:szCs w:val="19"/>
                <w:color w:val="auto"/>
                <w:w w:val="99"/>
              </w:rPr>
              <w:t>(3)%</w:t>
            </w:r>
          </w:p>
        </w:tc>
      </w:tr>
      <w:tr>
        <w:trPr>
          <w:trHeight w:val="230"/>
        </w:trPr>
        <w:tc>
          <w:tcPr>
            <w:tcW w:w="4740" w:type="dxa"/>
            <w:vAlign w:val="bottom"/>
          </w:tcPr>
          <w:p>
            <w:pPr>
              <w:ind w:left="60"/>
              <w:spacing w:after="0" w:line="229" w:lineRule="exact"/>
              <w:rPr>
                <w:sz w:val="20"/>
                <w:szCs w:val="20"/>
                <w:color w:val="auto"/>
              </w:rPr>
            </w:pPr>
            <w:r>
              <w:rPr>
                <w:rFonts w:ascii="Arial" w:cs="Arial" w:eastAsia="Arial" w:hAnsi="Arial"/>
                <w:sz w:val="19"/>
                <w:szCs w:val="19"/>
                <w:color w:val="auto"/>
              </w:rPr>
              <w:t>Gross profit per ton</w:t>
            </w:r>
            <w:r>
              <w:rPr>
                <w:rFonts w:ascii="Arial" w:cs="Arial" w:eastAsia="Arial" w:hAnsi="Arial"/>
                <w:sz w:val="25"/>
                <w:szCs w:val="25"/>
                <w:color w:val="auto"/>
                <w:vertAlign w:val="superscript"/>
              </w:rPr>
              <w:t>2</w:t>
            </w:r>
          </w:p>
        </w:tc>
        <w:tc>
          <w:tcPr>
            <w:tcW w:w="320" w:type="dxa"/>
            <w:vAlign w:val="bottom"/>
          </w:tcPr>
          <w:p>
            <w:pPr>
              <w:jc w:val="right"/>
              <w:spacing w:after="0"/>
              <w:rPr>
                <w:sz w:val="20"/>
                <w:szCs w:val="20"/>
                <w:color w:val="auto"/>
              </w:rPr>
            </w:pPr>
            <w:r>
              <w:rPr>
                <w:rFonts w:ascii="Arial" w:cs="Arial" w:eastAsia="Arial" w:hAnsi="Arial"/>
                <w:sz w:val="19"/>
                <w:szCs w:val="19"/>
                <w:color w:val="auto"/>
              </w:rPr>
              <w:t>$</w:t>
            </w:r>
          </w:p>
        </w:tc>
        <w:tc>
          <w:tcPr>
            <w:tcW w:w="680" w:type="dxa"/>
            <w:vAlign w:val="bottom"/>
          </w:tcPr>
          <w:p>
            <w:pPr>
              <w:jc w:val="right"/>
              <w:spacing w:after="0"/>
              <w:rPr>
                <w:sz w:val="20"/>
                <w:szCs w:val="20"/>
                <w:color w:val="auto"/>
              </w:rPr>
            </w:pPr>
            <w:r>
              <w:rPr>
                <w:rFonts w:ascii="Arial" w:cs="Arial" w:eastAsia="Arial" w:hAnsi="Arial"/>
                <w:sz w:val="19"/>
                <w:szCs w:val="19"/>
                <w:color w:val="auto"/>
              </w:rPr>
              <w:t>7.62</w:t>
            </w:r>
          </w:p>
        </w:tc>
        <w:tc>
          <w:tcPr>
            <w:tcW w:w="400" w:type="dxa"/>
            <w:vAlign w:val="bottom"/>
          </w:tcPr>
          <w:p>
            <w:pPr>
              <w:jc w:val="right"/>
              <w:spacing w:after="0"/>
              <w:rPr>
                <w:sz w:val="20"/>
                <w:szCs w:val="20"/>
                <w:color w:val="auto"/>
              </w:rPr>
            </w:pPr>
            <w:r>
              <w:rPr>
                <w:rFonts w:ascii="Arial" w:cs="Arial" w:eastAsia="Arial" w:hAnsi="Arial"/>
                <w:sz w:val="19"/>
                <w:szCs w:val="19"/>
                <w:color w:val="auto"/>
              </w:rPr>
              <w:t>$</w:t>
            </w:r>
          </w:p>
        </w:tc>
        <w:tc>
          <w:tcPr>
            <w:tcW w:w="800" w:type="dxa"/>
            <w:vAlign w:val="bottom"/>
          </w:tcPr>
          <w:p>
            <w:pPr>
              <w:jc w:val="right"/>
              <w:ind w:right="46"/>
              <w:spacing w:after="0"/>
              <w:rPr>
                <w:sz w:val="20"/>
                <w:szCs w:val="20"/>
                <w:color w:val="auto"/>
              </w:rPr>
            </w:pPr>
            <w:r>
              <w:rPr>
                <w:rFonts w:ascii="Arial" w:cs="Arial" w:eastAsia="Arial" w:hAnsi="Arial"/>
                <w:sz w:val="19"/>
                <w:szCs w:val="19"/>
                <w:color w:val="auto"/>
              </w:rPr>
              <w:t>9.17</w:t>
            </w:r>
          </w:p>
        </w:tc>
        <w:tc>
          <w:tcPr>
            <w:tcW w:w="1120" w:type="dxa"/>
            <w:vAlign w:val="bottom"/>
          </w:tcPr>
          <w:p>
            <w:pPr>
              <w:jc w:val="center"/>
              <w:spacing w:after="0"/>
              <w:rPr>
                <w:sz w:val="20"/>
                <w:szCs w:val="20"/>
                <w:color w:val="auto"/>
              </w:rPr>
            </w:pPr>
            <w:r>
              <w:rPr>
                <w:rFonts w:ascii="Arial" w:cs="Arial" w:eastAsia="Arial" w:hAnsi="Arial"/>
                <w:sz w:val="19"/>
                <w:szCs w:val="19"/>
                <w:color w:val="auto"/>
                <w:w w:val="98"/>
              </w:rPr>
              <w:t>(17)%</w:t>
            </w:r>
          </w:p>
        </w:tc>
        <w:tc>
          <w:tcPr>
            <w:tcW w:w="240" w:type="dxa"/>
            <w:vAlign w:val="bottom"/>
          </w:tcPr>
          <w:p>
            <w:pPr>
              <w:jc w:val="right"/>
              <w:spacing w:after="0"/>
              <w:rPr>
                <w:sz w:val="20"/>
                <w:szCs w:val="20"/>
                <w:color w:val="auto"/>
              </w:rPr>
            </w:pPr>
            <w:r>
              <w:rPr>
                <w:rFonts w:ascii="Arial" w:cs="Arial" w:eastAsia="Arial" w:hAnsi="Arial"/>
                <w:sz w:val="19"/>
                <w:szCs w:val="19"/>
                <w:color w:val="auto"/>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7.05</w:t>
            </w:r>
          </w:p>
        </w:tc>
        <w:tc>
          <w:tcPr>
            <w:tcW w:w="380" w:type="dxa"/>
            <w:vAlign w:val="bottom"/>
          </w:tcPr>
          <w:p>
            <w:pPr>
              <w:jc w:val="right"/>
              <w:spacing w:after="0"/>
              <w:rPr>
                <w:sz w:val="20"/>
                <w:szCs w:val="20"/>
                <w:color w:val="auto"/>
              </w:rPr>
            </w:pPr>
            <w:r>
              <w:rPr>
                <w:rFonts w:ascii="Arial" w:cs="Arial" w:eastAsia="Arial" w:hAnsi="Arial"/>
                <w:sz w:val="19"/>
                <w:szCs w:val="19"/>
                <w:color w:val="auto"/>
              </w:rPr>
              <w:t>$</w:t>
            </w:r>
          </w:p>
        </w:tc>
        <w:tc>
          <w:tcPr>
            <w:tcW w:w="800" w:type="dxa"/>
            <w:vAlign w:val="bottom"/>
          </w:tcPr>
          <w:p>
            <w:pPr>
              <w:jc w:val="right"/>
              <w:ind w:right="46"/>
              <w:spacing w:after="0"/>
              <w:rPr>
                <w:sz w:val="20"/>
                <w:szCs w:val="20"/>
                <w:color w:val="auto"/>
              </w:rPr>
            </w:pPr>
            <w:r>
              <w:rPr>
                <w:rFonts w:ascii="Arial" w:cs="Arial" w:eastAsia="Arial" w:hAnsi="Arial"/>
                <w:sz w:val="19"/>
                <w:szCs w:val="19"/>
                <w:color w:val="auto"/>
              </w:rPr>
              <w:t>8.40</w:t>
            </w:r>
          </w:p>
        </w:tc>
        <w:tc>
          <w:tcPr>
            <w:tcW w:w="1060" w:type="dxa"/>
            <w:vAlign w:val="bottom"/>
          </w:tcPr>
          <w:p>
            <w:pPr>
              <w:jc w:val="center"/>
              <w:ind w:left="26"/>
              <w:spacing w:after="0"/>
              <w:rPr>
                <w:sz w:val="20"/>
                <w:szCs w:val="20"/>
                <w:color w:val="auto"/>
              </w:rPr>
            </w:pPr>
            <w:r>
              <w:rPr>
                <w:rFonts w:ascii="Arial" w:cs="Arial" w:eastAsia="Arial" w:hAnsi="Arial"/>
                <w:sz w:val="19"/>
                <w:szCs w:val="19"/>
                <w:color w:val="auto"/>
                <w:w w:val="98"/>
              </w:rPr>
              <w:t>(16)%</w:t>
            </w:r>
          </w:p>
        </w:tc>
      </w:tr>
      <w:tr>
        <w:trPr>
          <w:trHeight w:val="230"/>
        </w:trPr>
        <w:tc>
          <w:tcPr>
            <w:tcW w:w="4740" w:type="dxa"/>
            <w:vAlign w:val="bottom"/>
            <w:shd w:val="clear" w:color="auto" w:fill="CFF0FC"/>
          </w:tcPr>
          <w:p>
            <w:pPr>
              <w:ind w:left="60"/>
              <w:spacing w:after="0" w:line="229" w:lineRule="exact"/>
              <w:rPr>
                <w:sz w:val="20"/>
                <w:szCs w:val="20"/>
                <w:color w:val="auto"/>
              </w:rPr>
            </w:pPr>
            <w:r>
              <w:rPr>
                <w:rFonts w:ascii="Arial" w:cs="Arial" w:eastAsia="Arial" w:hAnsi="Arial"/>
                <w:sz w:val="19"/>
                <w:szCs w:val="19"/>
                <w:color w:val="auto"/>
              </w:rPr>
              <w:t>Cash gross profit</w:t>
            </w:r>
            <w:r>
              <w:rPr>
                <w:rFonts w:ascii="Arial" w:cs="Arial" w:eastAsia="Arial" w:hAnsi="Arial"/>
                <w:sz w:val="25"/>
                <w:szCs w:val="25"/>
                <w:color w:val="auto"/>
                <w:vertAlign w:val="superscript"/>
              </w:rPr>
              <w:t>1</w:t>
            </w:r>
          </w:p>
        </w:tc>
        <w:tc>
          <w:tcPr>
            <w:tcW w:w="3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696</w:t>
            </w:r>
          </w:p>
        </w:tc>
        <w:tc>
          <w:tcPr>
            <w:tcW w:w="4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800" w:type="dxa"/>
            <w:vAlign w:val="bottom"/>
            <w:shd w:val="clear" w:color="auto" w:fill="CFF0FC"/>
          </w:tcPr>
          <w:p>
            <w:pPr>
              <w:jc w:val="right"/>
              <w:ind w:right="46"/>
              <w:spacing w:after="0"/>
              <w:rPr>
                <w:sz w:val="20"/>
                <w:szCs w:val="20"/>
                <w:color w:val="auto"/>
              </w:rPr>
            </w:pPr>
            <w:r>
              <w:rPr>
                <w:rFonts w:ascii="Arial" w:cs="Arial" w:eastAsia="Arial" w:hAnsi="Arial"/>
                <w:sz w:val="19"/>
                <w:szCs w:val="19"/>
                <w:color w:val="auto"/>
              </w:rPr>
              <w:t>655</w:t>
            </w:r>
          </w:p>
        </w:tc>
        <w:tc>
          <w:tcPr>
            <w:tcW w:w="112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4"/>
              </w:rPr>
              <w:t>6%</w:t>
            </w:r>
          </w:p>
        </w:tc>
        <w:tc>
          <w:tcPr>
            <w:tcW w:w="2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1,772</w:t>
            </w:r>
          </w:p>
        </w:tc>
        <w:tc>
          <w:tcPr>
            <w:tcW w:w="3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800" w:type="dxa"/>
            <w:vAlign w:val="bottom"/>
            <w:shd w:val="clear" w:color="auto" w:fill="CFF0FC"/>
          </w:tcPr>
          <w:p>
            <w:pPr>
              <w:jc w:val="right"/>
              <w:ind w:right="46"/>
              <w:spacing w:after="0"/>
              <w:rPr>
                <w:sz w:val="20"/>
                <w:szCs w:val="20"/>
                <w:color w:val="auto"/>
              </w:rPr>
            </w:pPr>
            <w:r>
              <w:rPr>
                <w:rFonts w:ascii="Arial" w:cs="Arial" w:eastAsia="Arial" w:hAnsi="Arial"/>
                <w:sz w:val="19"/>
                <w:szCs w:val="19"/>
                <w:color w:val="auto"/>
              </w:rPr>
              <w:t>1,619</w:t>
            </w:r>
          </w:p>
        </w:tc>
        <w:tc>
          <w:tcPr>
            <w:tcW w:w="1060" w:type="dxa"/>
            <w:vAlign w:val="bottom"/>
            <w:shd w:val="clear" w:color="auto" w:fill="CFF0FC"/>
          </w:tcPr>
          <w:p>
            <w:pPr>
              <w:jc w:val="center"/>
              <w:ind w:left="26"/>
              <w:spacing w:after="0"/>
              <w:rPr>
                <w:sz w:val="20"/>
                <w:szCs w:val="20"/>
                <w:color w:val="auto"/>
              </w:rPr>
            </w:pPr>
            <w:r>
              <w:rPr>
                <w:rFonts w:ascii="Arial" w:cs="Arial" w:eastAsia="Arial" w:hAnsi="Arial"/>
                <w:sz w:val="19"/>
                <w:szCs w:val="19"/>
                <w:color w:val="auto"/>
                <w:w w:val="94"/>
              </w:rPr>
              <w:t>9%</w:t>
            </w:r>
          </w:p>
        </w:tc>
      </w:tr>
      <w:tr>
        <w:trPr>
          <w:trHeight w:val="229"/>
        </w:trPr>
        <w:tc>
          <w:tcPr>
            <w:tcW w:w="4740" w:type="dxa"/>
            <w:vAlign w:val="bottom"/>
          </w:tcPr>
          <w:p>
            <w:pPr>
              <w:ind w:left="60"/>
              <w:spacing w:after="0" w:line="229" w:lineRule="exact"/>
              <w:rPr>
                <w:sz w:val="20"/>
                <w:szCs w:val="20"/>
                <w:color w:val="auto"/>
              </w:rPr>
            </w:pPr>
            <w:r>
              <w:rPr>
                <w:rFonts w:ascii="Arial" w:cs="Arial" w:eastAsia="Arial" w:hAnsi="Arial"/>
                <w:sz w:val="19"/>
                <w:szCs w:val="19"/>
                <w:color w:val="auto"/>
              </w:rPr>
              <w:t>Cash gross profit per ton</w:t>
            </w:r>
            <w:r>
              <w:rPr>
                <w:rFonts w:ascii="Arial" w:cs="Arial" w:eastAsia="Arial" w:hAnsi="Arial"/>
                <w:sz w:val="25"/>
                <w:szCs w:val="25"/>
                <w:color w:val="auto"/>
                <w:vertAlign w:val="superscript"/>
              </w:rPr>
              <w:t>1</w:t>
            </w:r>
          </w:p>
        </w:tc>
        <w:tc>
          <w:tcPr>
            <w:tcW w:w="320" w:type="dxa"/>
            <w:vAlign w:val="bottom"/>
          </w:tcPr>
          <w:p>
            <w:pPr>
              <w:jc w:val="right"/>
              <w:spacing w:after="0"/>
              <w:rPr>
                <w:sz w:val="20"/>
                <w:szCs w:val="20"/>
                <w:color w:val="auto"/>
              </w:rPr>
            </w:pPr>
            <w:r>
              <w:rPr>
                <w:rFonts w:ascii="Arial" w:cs="Arial" w:eastAsia="Arial" w:hAnsi="Arial"/>
                <w:sz w:val="19"/>
                <w:szCs w:val="19"/>
                <w:color w:val="auto"/>
              </w:rPr>
              <w:t>$</w:t>
            </w:r>
          </w:p>
        </w:tc>
        <w:tc>
          <w:tcPr>
            <w:tcW w:w="680" w:type="dxa"/>
            <w:vAlign w:val="bottom"/>
          </w:tcPr>
          <w:p>
            <w:pPr>
              <w:jc w:val="right"/>
              <w:spacing w:after="0"/>
              <w:rPr>
                <w:sz w:val="20"/>
                <w:szCs w:val="20"/>
                <w:color w:val="auto"/>
              </w:rPr>
            </w:pPr>
            <w:r>
              <w:rPr>
                <w:rFonts w:ascii="Arial" w:cs="Arial" w:eastAsia="Arial" w:hAnsi="Arial"/>
                <w:sz w:val="19"/>
                <w:szCs w:val="19"/>
                <w:color w:val="auto"/>
              </w:rPr>
              <w:t>10.36</w:t>
            </w:r>
          </w:p>
        </w:tc>
        <w:tc>
          <w:tcPr>
            <w:tcW w:w="400" w:type="dxa"/>
            <w:vAlign w:val="bottom"/>
          </w:tcPr>
          <w:p>
            <w:pPr>
              <w:jc w:val="right"/>
              <w:spacing w:after="0"/>
              <w:rPr>
                <w:sz w:val="20"/>
                <w:szCs w:val="20"/>
                <w:color w:val="auto"/>
              </w:rPr>
            </w:pPr>
            <w:r>
              <w:rPr>
                <w:rFonts w:ascii="Arial" w:cs="Arial" w:eastAsia="Arial" w:hAnsi="Arial"/>
                <w:sz w:val="19"/>
                <w:szCs w:val="19"/>
                <w:color w:val="auto"/>
              </w:rPr>
              <w:t>$</w:t>
            </w:r>
          </w:p>
        </w:tc>
        <w:tc>
          <w:tcPr>
            <w:tcW w:w="800" w:type="dxa"/>
            <w:vAlign w:val="bottom"/>
          </w:tcPr>
          <w:p>
            <w:pPr>
              <w:jc w:val="right"/>
              <w:ind w:right="46"/>
              <w:spacing w:after="0"/>
              <w:rPr>
                <w:sz w:val="20"/>
                <w:szCs w:val="20"/>
                <w:color w:val="auto"/>
              </w:rPr>
            </w:pPr>
            <w:r>
              <w:rPr>
                <w:rFonts w:ascii="Arial" w:cs="Arial" w:eastAsia="Arial" w:hAnsi="Arial"/>
                <w:sz w:val="19"/>
                <w:szCs w:val="19"/>
                <w:color w:val="auto"/>
              </w:rPr>
              <w:t>11.31</w:t>
            </w:r>
          </w:p>
        </w:tc>
        <w:tc>
          <w:tcPr>
            <w:tcW w:w="1120" w:type="dxa"/>
            <w:vAlign w:val="bottom"/>
          </w:tcPr>
          <w:p>
            <w:pPr>
              <w:jc w:val="center"/>
              <w:spacing w:after="0"/>
              <w:rPr>
                <w:sz w:val="20"/>
                <w:szCs w:val="20"/>
                <w:color w:val="auto"/>
              </w:rPr>
            </w:pPr>
            <w:r>
              <w:rPr>
                <w:rFonts w:ascii="Arial" w:cs="Arial" w:eastAsia="Arial" w:hAnsi="Arial"/>
                <w:sz w:val="19"/>
                <w:szCs w:val="19"/>
                <w:color w:val="auto"/>
                <w:w w:val="99"/>
              </w:rPr>
              <w:t>(8)%</w:t>
            </w:r>
          </w:p>
        </w:tc>
        <w:tc>
          <w:tcPr>
            <w:tcW w:w="240" w:type="dxa"/>
            <w:vAlign w:val="bottom"/>
          </w:tcPr>
          <w:p>
            <w:pPr>
              <w:jc w:val="right"/>
              <w:spacing w:after="0"/>
              <w:rPr>
                <w:sz w:val="20"/>
                <w:szCs w:val="20"/>
                <w:color w:val="auto"/>
              </w:rPr>
            </w:pPr>
            <w:r>
              <w:rPr>
                <w:rFonts w:ascii="Arial" w:cs="Arial" w:eastAsia="Arial" w:hAnsi="Arial"/>
                <w:sz w:val="19"/>
                <w:szCs w:val="19"/>
                <w:color w:val="auto"/>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10.27</w:t>
            </w:r>
          </w:p>
        </w:tc>
        <w:tc>
          <w:tcPr>
            <w:tcW w:w="380" w:type="dxa"/>
            <w:vAlign w:val="bottom"/>
          </w:tcPr>
          <w:p>
            <w:pPr>
              <w:jc w:val="right"/>
              <w:spacing w:after="0"/>
              <w:rPr>
                <w:sz w:val="20"/>
                <w:szCs w:val="20"/>
                <w:color w:val="auto"/>
              </w:rPr>
            </w:pPr>
            <w:r>
              <w:rPr>
                <w:rFonts w:ascii="Arial" w:cs="Arial" w:eastAsia="Arial" w:hAnsi="Arial"/>
                <w:sz w:val="19"/>
                <w:szCs w:val="19"/>
                <w:color w:val="auto"/>
              </w:rPr>
              <w:t>$</w:t>
            </w:r>
          </w:p>
        </w:tc>
        <w:tc>
          <w:tcPr>
            <w:tcW w:w="800" w:type="dxa"/>
            <w:vAlign w:val="bottom"/>
          </w:tcPr>
          <w:p>
            <w:pPr>
              <w:jc w:val="right"/>
              <w:ind w:right="46"/>
              <w:spacing w:after="0"/>
              <w:rPr>
                <w:sz w:val="20"/>
                <w:szCs w:val="20"/>
                <w:color w:val="auto"/>
              </w:rPr>
            </w:pPr>
            <w:r>
              <w:rPr>
                <w:rFonts w:ascii="Arial" w:cs="Arial" w:eastAsia="Arial" w:hAnsi="Arial"/>
                <w:sz w:val="19"/>
                <w:szCs w:val="19"/>
                <w:color w:val="auto"/>
              </w:rPr>
              <w:t>10.82</w:t>
            </w:r>
          </w:p>
        </w:tc>
        <w:tc>
          <w:tcPr>
            <w:tcW w:w="1060" w:type="dxa"/>
            <w:vAlign w:val="bottom"/>
          </w:tcPr>
          <w:p>
            <w:pPr>
              <w:jc w:val="center"/>
              <w:ind w:left="6"/>
              <w:spacing w:after="0"/>
              <w:rPr>
                <w:sz w:val="20"/>
                <w:szCs w:val="20"/>
                <w:color w:val="auto"/>
              </w:rPr>
            </w:pPr>
            <w:r>
              <w:rPr>
                <w:rFonts w:ascii="Arial" w:cs="Arial" w:eastAsia="Arial" w:hAnsi="Arial"/>
                <w:sz w:val="19"/>
                <w:szCs w:val="19"/>
                <w:color w:val="auto"/>
                <w:w w:val="99"/>
              </w:rPr>
              <w:t>(5)%</w:t>
            </w:r>
          </w:p>
        </w:tc>
      </w:tr>
      <w:tr>
        <w:trPr>
          <w:trHeight w:val="216"/>
        </w:trPr>
        <w:tc>
          <w:tcPr>
            <w:tcW w:w="47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r>
      <w:tr>
        <w:trPr>
          <w:trHeight w:val="216"/>
        </w:trPr>
        <w:tc>
          <w:tcPr>
            <w:tcW w:w="4740" w:type="dxa"/>
            <w:vAlign w:val="bottom"/>
          </w:tcPr>
          <w:p>
            <w:pPr>
              <w:spacing w:after="0" w:line="216" w:lineRule="exact"/>
              <w:rPr>
                <w:sz w:val="20"/>
                <w:szCs w:val="20"/>
                <w:color w:val="auto"/>
              </w:rPr>
            </w:pPr>
            <w:r>
              <w:rPr>
                <w:rFonts w:ascii="Arial" w:cs="Arial" w:eastAsia="Arial" w:hAnsi="Arial"/>
                <w:sz w:val="19"/>
                <w:szCs w:val="19"/>
                <w:b w:val="1"/>
                <w:bCs w:val="1"/>
                <w:color w:val="auto"/>
              </w:rPr>
              <w:t>Specialties product line</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4740" w:type="dxa"/>
            <w:vAlign w:val="bottom"/>
            <w:shd w:val="clear" w:color="auto" w:fill="CFF0FC"/>
          </w:tcPr>
          <w:p>
            <w:pPr>
              <w:ind w:left="60"/>
              <w:spacing w:after="0" w:line="229" w:lineRule="exact"/>
              <w:rPr>
                <w:sz w:val="20"/>
                <w:szCs w:val="20"/>
                <w:color w:val="auto"/>
              </w:rPr>
            </w:pPr>
            <w:r>
              <w:rPr>
                <w:rFonts w:ascii="Arial" w:cs="Arial" w:eastAsia="Arial" w:hAnsi="Arial"/>
                <w:sz w:val="19"/>
                <w:szCs w:val="19"/>
                <w:color w:val="auto"/>
              </w:rPr>
              <w:t>Revenues</w:t>
            </w:r>
            <w:r>
              <w:rPr>
                <w:rFonts w:ascii="Arial" w:cs="Arial" w:eastAsia="Arial" w:hAnsi="Arial"/>
                <w:sz w:val="25"/>
                <w:szCs w:val="25"/>
                <w:color w:val="auto"/>
                <w:vertAlign w:val="superscript"/>
              </w:rPr>
              <w:t>4</w:t>
            </w:r>
          </w:p>
        </w:tc>
        <w:tc>
          <w:tcPr>
            <w:tcW w:w="3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362</w:t>
            </w:r>
          </w:p>
        </w:tc>
        <w:tc>
          <w:tcPr>
            <w:tcW w:w="4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800" w:type="dxa"/>
            <w:vAlign w:val="bottom"/>
            <w:shd w:val="clear" w:color="auto" w:fill="CFF0FC"/>
          </w:tcPr>
          <w:p>
            <w:pPr>
              <w:jc w:val="right"/>
              <w:ind w:right="46"/>
              <w:spacing w:after="0"/>
              <w:rPr>
                <w:sz w:val="20"/>
                <w:szCs w:val="20"/>
                <w:color w:val="auto"/>
              </w:rPr>
            </w:pPr>
            <w:r>
              <w:rPr>
                <w:rFonts w:ascii="Arial" w:cs="Arial" w:eastAsia="Arial" w:hAnsi="Arial"/>
                <w:sz w:val="19"/>
                <w:szCs w:val="19"/>
                <w:color w:val="auto"/>
              </w:rPr>
              <w:t>131</w:t>
            </w:r>
          </w:p>
        </w:tc>
        <w:tc>
          <w:tcPr>
            <w:tcW w:w="112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8"/>
              </w:rPr>
              <w:t>176%</w:t>
            </w:r>
          </w:p>
        </w:tc>
        <w:tc>
          <w:tcPr>
            <w:tcW w:w="2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656</w:t>
            </w:r>
          </w:p>
        </w:tc>
        <w:tc>
          <w:tcPr>
            <w:tcW w:w="3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800" w:type="dxa"/>
            <w:vAlign w:val="bottom"/>
            <w:shd w:val="clear" w:color="auto" w:fill="CFF0FC"/>
          </w:tcPr>
          <w:p>
            <w:pPr>
              <w:jc w:val="right"/>
              <w:ind w:right="46"/>
              <w:spacing w:after="0"/>
              <w:rPr>
                <w:sz w:val="20"/>
                <w:szCs w:val="20"/>
                <w:color w:val="auto"/>
              </w:rPr>
            </w:pPr>
            <w:r>
              <w:rPr>
                <w:rFonts w:ascii="Arial" w:cs="Arial" w:eastAsia="Arial" w:hAnsi="Arial"/>
                <w:sz w:val="19"/>
                <w:szCs w:val="19"/>
                <w:color w:val="auto"/>
              </w:rPr>
              <w:t>309</w:t>
            </w:r>
          </w:p>
        </w:tc>
        <w:tc>
          <w:tcPr>
            <w:tcW w:w="1060" w:type="dxa"/>
            <w:vAlign w:val="bottom"/>
            <w:shd w:val="clear" w:color="auto" w:fill="CFF0FC"/>
          </w:tcPr>
          <w:p>
            <w:pPr>
              <w:jc w:val="center"/>
              <w:ind w:left="6"/>
              <w:spacing w:after="0"/>
              <w:rPr>
                <w:sz w:val="20"/>
                <w:szCs w:val="20"/>
                <w:color w:val="auto"/>
              </w:rPr>
            </w:pPr>
            <w:r>
              <w:rPr>
                <w:rFonts w:ascii="Arial" w:cs="Arial" w:eastAsia="Arial" w:hAnsi="Arial"/>
                <w:sz w:val="19"/>
                <w:szCs w:val="19"/>
                <w:color w:val="auto"/>
                <w:w w:val="98"/>
              </w:rPr>
              <w:t>113%</w:t>
            </w:r>
          </w:p>
        </w:tc>
      </w:tr>
      <w:tr>
        <w:trPr>
          <w:trHeight w:val="230"/>
        </w:trPr>
        <w:tc>
          <w:tcPr>
            <w:tcW w:w="4740" w:type="dxa"/>
            <w:vAlign w:val="bottom"/>
          </w:tcPr>
          <w:p>
            <w:pPr>
              <w:ind w:left="60"/>
              <w:spacing w:after="0" w:line="229" w:lineRule="exact"/>
              <w:rPr>
                <w:sz w:val="20"/>
                <w:szCs w:val="20"/>
                <w:color w:val="auto"/>
              </w:rPr>
            </w:pPr>
            <w:r>
              <w:rPr>
                <w:rFonts w:ascii="Arial" w:cs="Arial" w:eastAsia="Arial" w:hAnsi="Arial"/>
                <w:sz w:val="19"/>
                <w:szCs w:val="19"/>
                <w:color w:val="auto"/>
              </w:rPr>
              <w:t>Gross profit</w:t>
            </w:r>
            <w:r>
              <w:rPr>
                <w:rFonts w:ascii="Arial" w:cs="Arial" w:eastAsia="Arial" w:hAnsi="Arial"/>
                <w:sz w:val="25"/>
                <w:szCs w:val="25"/>
                <w:color w:val="auto"/>
                <w:vertAlign w:val="superscript"/>
              </w:rPr>
              <w:t>2</w:t>
            </w:r>
          </w:p>
        </w:tc>
        <w:tc>
          <w:tcPr>
            <w:tcW w:w="320" w:type="dxa"/>
            <w:vAlign w:val="bottom"/>
          </w:tcPr>
          <w:p>
            <w:pPr>
              <w:jc w:val="right"/>
              <w:spacing w:after="0"/>
              <w:rPr>
                <w:sz w:val="20"/>
                <w:szCs w:val="20"/>
                <w:color w:val="auto"/>
              </w:rPr>
            </w:pPr>
            <w:r>
              <w:rPr>
                <w:rFonts w:ascii="Arial" w:cs="Arial" w:eastAsia="Arial" w:hAnsi="Arial"/>
                <w:sz w:val="19"/>
                <w:szCs w:val="19"/>
                <w:color w:val="auto"/>
              </w:rPr>
              <w:t>$</w:t>
            </w:r>
          </w:p>
        </w:tc>
        <w:tc>
          <w:tcPr>
            <w:tcW w:w="680" w:type="dxa"/>
            <w:vAlign w:val="bottom"/>
          </w:tcPr>
          <w:p>
            <w:pPr>
              <w:jc w:val="right"/>
              <w:spacing w:after="0"/>
              <w:rPr>
                <w:sz w:val="20"/>
                <w:szCs w:val="20"/>
                <w:color w:val="auto"/>
              </w:rPr>
            </w:pPr>
            <w:r>
              <w:rPr>
                <w:rFonts w:ascii="Arial" w:cs="Arial" w:eastAsia="Arial" w:hAnsi="Arial"/>
                <w:sz w:val="19"/>
                <w:szCs w:val="19"/>
                <w:color w:val="auto"/>
              </w:rPr>
              <w:t>88</w:t>
            </w:r>
          </w:p>
        </w:tc>
        <w:tc>
          <w:tcPr>
            <w:tcW w:w="400" w:type="dxa"/>
            <w:vAlign w:val="bottom"/>
          </w:tcPr>
          <w:p>
            <w:pPr>
              <w:jc w:val="right"/>
              <w:spacing w:after="0"/>
              <w:rPr>
                <w:sz w:val="20"/>
                <w:szCs w:val="20"/>
                <w:color w:val="auto"/>
              </w:rPr>
            </w:pPr>
            <w:r>
              <w:rPr>
                <w:rFonts w:ascii="Arial" w:cs="Arial" w:eastAsia="Arial" w:hAnsi="Arial"/>
                <w:sz w:val="19"/>
                <w:szCs w:val="19"/>
                <w:color w:val="auto"/>
              </w:rPr>
              <w:t>$</w:t>
            </w:r>
          </w:p>
        </w:tc>
        <w:tc>
          <w:tcPr>
            <w:tcW w:w="800" w:type="dxa"/>
            <w:vAlign w:val="bottom"/>
          </w:tcPr>
          <w:p>
            <w:pPr>
              <w:jc w:val="right"/>
              <w:ind w:right="46"/>
              <w:spacing w:after="0"/>
              <w:rPr>
                <w:sz w:val="20"/>
                <w:szCs w:val="20"/>
                <w:color w:val="auto"/>
              </w:rPr>
            </w:pPr>
            <w:r>
              <w:rPr>
                <w:rFonts w:ascii="Arial" w:cs="Arial" w:eastAsia="Arial" w:hAnsi="Arial"/>
                <w:sz w:val="19"/>
                <w:szCs w:val="19"/>
                <w:color w:val="auto"/>
              </w:rPr>
              <w:t>34</w:t>
            </w:r>
          </w:p>
        </w:tc>
        <w:tc>
          <w:tcPr>
            <w:tcW w:w="1120" w:type="dxa"/>
            <w:vAlign w:val="bottom"/>
          </w:tcPr>
          <w:p>
            <w:pPr>
              <w:jc w:val="center"/>
              <w:spacing w:after="0"/>
              <w:rPr>
                <w:sz w:val="20"/>
                <w:szCs w:val="20"/>
                <w:color w:val="auto"/>
              </w:rPr>
            </w:pPr>
            <w:r>
              <w:rPr>
                <w:rFonts w:ascii="Arial" w:cs="Arial" w:eastAsia="Arial" w:hAnsi="Arial"/>
                <w:sz w:val="19"/>
                <w:szCs w:val="19"/>
                <w:color w:val="auto"/>
                <w:w w:val="98"/>
              </w:rPr>
              <w:t>155%</w:t>
            </w:r>
          </w:p>
        </w:tc>
        <w:tc>
          <w:tcPr>
            <w:tcW w:w="240" w:type="dxa"/>
            <w:vAlign w:val="bottom"/>
          </w:tcPr>
          <w:p>
            <w:pPr>
              <w:jc w:val="right"/>
              <w:spacing w:after="0"/>
              <w:rPr>
                <w:sz w:val="20"/>
                <w:szCs w:val="20"/>
                <w:color w:val="auto"/>
              </w:rPr>
            </w:pPr>
            <w:r>
              <w:rPr>
                <w:rFonts w:ascii="Arial" w:cs="Arial" w:eastAsia="Arial" w:hAnsi="Arial"/>
                <w:sz w:val="19"/>
                <w:szCs w:val="19"/>
                <w:color w:val="auto"/>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182</w:t>
            </w:r>
          </w:p>
        </w:tc>
        <w:tc>
          <w:tcPr>
            <w:tcW w:w="380" w:type="dxa"/>
            <w:vAlign w:val="bottom"/>
          </w:tcPr>
          <w:p>
            <w:pPr>
              <w:jc w:val="right"/>
              <w:spacing w:after="0"/>
              <w:rPr>
                <w:sz w:val="20"/>
                <w:szCs w:val="20"/>
                <w:color w:val="auto"/>
              </w:rPr>
            </w:pPr>
            <w:r>
              <w:rPr>
                <w:rFonts w:ascii="Arial" w:cs="Arial" w:eastAsia="Arial" w:hAnsi="Arial"/>
                <w:sz w:val="19"/>
                <w:szCs w:val="19"/>
                <w:color w:val="auto"/>
              </w:rPr>
              <w:t>$</w:t>
            </w:r>
          </w:p>
        </w:tc>
        <w:tc>
          <w:tcPr>
            <w:tcW w:w="800" w:type="dxa"/>
            <w:vAlign w:val="bottom"/>
          </w:tcPr>
          <w:p>
            <w:pPr>
              <w:jc w:val="right"/>
              <w:ind w:right="46"/>
              <w:spacing w:after="0"/>
              <w:rPr>
                <w:sz w:val="20"/>
                <w:szCs w:val="20"/>
                <w:color w:val="auto"/>
              </w:rPr>
            </w:pPr>
            <w:r>
              <w:rPr>
                <w:rFonts w:ascii="Arial" w:cs="Arial" w:eastAsia="Arial" w:hAnsi="Arial"/>
                <w:sz w:val="19"/>
                <w:szCs w:val="19"/>
                <w:color w:val="auto"/>
              </w:rPr>
              <w:t>108</w:t>
            </w:r>
          </w:p>
        </w:tc>
        <w:tc>
          <w:tcPr>
            <w:tcW w:w="1060" w:type="dxa"/>
            <w:vAlign w:val="bottom"/>
          </w:tcPr>
          <w:p>
            <w:pPr>
              <w:jc w:val="center"/>
              <w:ind w:left="26"/>
              <w:spacing w:after="0"/>
              <w:rPr>
                <w:sz w:val="20"/>
                <w:szCs w:val="20"/>
                <w:color w:val="auto"/>
              </w:rPr>
            </w:pPr>
            <w:r>
              <w:rPr>
                <w:rFonts w:ascii="Arial" w:cs="Arial" w:eastAsia="Arial" w:hAnsi="Arial"/>
                <w:sz w:val="19"/>
                <w:szCs w:val="19"/>
                <w:color w:val="auto"/>
                <w:w w:val="99"/>
              </w:rPr>
              <w:t>68%</w:t>
            </w:r>
          </w:p>
        </w:tc>
      </w:tr>
      <w:tr>
        <w:trPr>
          <w:trHeight w:val="229"/>
        </w:trPr>
        <w:tc>
          <w:tcPr>
            <w:tcW w:w="4740" w:type="dxa"/>
            <w:vAlign w:val="bottom"/>
            <w:shd w:val="clear" w:color="auto" w:fill="CFF0FC"/>
          </w:tcPr>
          <w:p>
            <w:pPr>
              <w:ind w:left="60"/>
              <w:spacing w:after="0" w:line="229" w:lineRule="exact"/>
              <w:rPr>
                <w:sz w:val="20"/>
                <w:szCs w:val="20"/>
                <w:color w:val="auto"/>
              </w:rPr>
            </w:pPr>
            <w:r>
              <w:rPr>
                <w:rFonts w:ascii="Arial" w:cs="Arial" w:eastAsia="Arial" w:hAnsi="Arial"/>
                <w:sz w:val="19"/>
                <w:szCs w:val="19"/>
                <w:color w:val="auto"/>
              </w:rPr>
              <w:t>Cash gross profit</w:t>
            </w:r>
            <w:r>
              <w:rPr>
                <w:rFonts w:ascii="Arial" w:cs="Arial" w:eastAsia="Arial" w:hAnsi="Arial"/>
                <w:sz w:val="25"/>
                <w:szCs w:val="25"/>
                <w:color w:val="auto"/>
                <w:vertAlign w:val="superscript"/>
              </w:rPr>
              <w:t>1</w:t>
            </w:r>
          </w:p>
        </w:tc>
        <w:tc>
          <w:tcPr>
            <w:tcW w:w="3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163</w:t>
            </w:r>
          </w:p>
        </w:tc>
        <w:tc>
          <w:tcPr>
            <w:tcW w:w="4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800" w:type="dxa"/>
            <w:vAlign w:val="bottom"/>
            <w:shd w:val="clear" w:color="auto" w:fill="CFF0FC"/>
          </w:tcPr>
          <w:p>
            <w:pPr>
              <w:jc w:val="right"/>
              <w:ind w:right="46"/>
              <w:spacing w:after="0"/>
              <w:rPr>
                <w:sz w:val="20"/>
                <w:szCs w:val="20"/>
                <w:color w:val="auto"/>
              </w:rPr>
            </w:pPr>
            <w:r>
              <w:rPr>
                <w:rFonts w:ascii="Arial" w:cs="Arial" w:eastAsia="Arial" w:hAnsi="Arial"/>
                <w:sz w:val="19"/>
                <w:szCs w:val="19"/>
                <w:color w:val="auto"/>
              </w:rPr>
              <w:t>47</w:t>
            </w:r>
          </w:p>
        </w:tc>
        <w:tc>
          <w:tcPr>
            <w:tcW w:w="1120" w:type="dxa"/>
            <w:vAlign w:val="bottom"/>
            <w:shd w:val="clear" w:color="auto" w:fill="CFF0FC"/>
          </w:tcPr>
          <w:p>
            <w:pPr>
              <w:jc w:val="center"/>
              <w:spacing w:after="0"/>
              <w:rPr>
                <w:sz w:val="20"/>
                <w:szCs w:val="20"/>
                <w:color w:val="auto"/>
              </w:rPr>
            </w:pPr>
            <w:r>
              <w:rPr>
                <w:rFonts w:ascii="Arial" w:cs="Arial" w:eastAsia="Arial" w:hAnsi="Arial"/>
                <w:sz w:val="19"/>
                <w:szCs w:val="19"/>
                <w:color w:val="auto"/>
                <w:w w:val="98"/>
              </w:rPr>
              <w:t>241%</w:t>
            </w:r>
          </w:p>
        </w:tc>
        <w:tc>
          <w:tcPr>
            <w:tcW w:w="2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279</w:t>
            </w:r>
          </w:p>
        </w:tc>
        <w:tc>
          <w:tcPr>
            <w:tcW w:w="380" w:type="dxa"/>
            <w:vAlign w:val="bottom"/>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800" w:type="dxa"/>
            <w:vAlign w:val="bottom"/>
            <w:shd w:val="clear" w:color="auto" w:fill="CFF0FC"/>
          </w:tcPr>
          <w:p>
            <w:pPr>
              <w:jc w:val="right"/>
              <w:ind w:right="46"/>
              <w:spacing w:after="0"/>
              <w:rPr>
                <w:sz w:val="20"/>
                <w:szCs w:val="20"/>
                <w:color w:val="auto"/>
              </w:rPr>
            </w:pPr>
            <w:r>
              <w:rPr>
                <w:rFonts w:ascii="Arial" w:cs="Arial" w:eastAsia="Arial" w:hAnsi="Arial"/>
                <w:sz w:val="19"/>
                <w:szCs w:val="19"/>
                <w:color w:val="auto"/>
              </w:rPr>
              <w:t>131</w:t>
            </w:r>
          </w:p>
        </w:tc>
        <w:tc>
          <w:tcPr>
            <w:tcW w:w="1060" w:type="dxa"/>
            <w:vAlign w:val="bottom"/>
            <w:shd w:val="clear" w:color="auto" w:fill="CFF0FC"/>
          </w:tcPr>
          <w:p>
            <w:pPr>
              <w:jc w:val="center"/>
              <w:ind w:left="6"/>
              <w:spacing w:after="0"/>
              <w:rPr>
                <w:sz w:val="20"/>
                <w:szCs w:val="20"/>
                <w:color w:val="auto"/>
              </w:rPr>
            </w:pPr>
            <w:r>
              <w:rPr>
                <w:rFonts w:ascii="Arial" w:cs="Arial" w:eastAsia="Arial" w:hAnsi="Arial"/>
                <w:sz w:val="19"/>
                <w:szCs w:val="19"/>
                <w:color w:val="auto"/>
                <w:w w:val="98"/>
              </w:rPr>
              <w:t>113%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-3145155</wp:posOffset>
            </wp:positionV>
            <wp:extent cx="402018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020185" cy="8255"/>
                    </a:xfrm>
                    <a:prstGeom prst="rect">
                      <a:avLst/>
                    </a:prstGeom>
                    <a:noFill/>
                  </pic:spPr>
                </pic:pic>
              </a:graphicData>
            </a:graphic>
          </wp:anchor>
        </w:drawing>
      </w:r>
    </w:p>
    <w:p>
      <w:pPr>
        <w:ind w:left="480" w:hanging="378"/>
        <w:spacing w:after="0" w:line="213" w:lineRule="auto"/>
        <w:tabs>
          <w:tab w:leader="none" w:pos="480" w:val="left"/>
        </w:tabs>
        <w:numPr>
          <w:ilvl w:val="0"/>
          <w:numId w:val="2"/>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Non-GAAP financial measures; see pages 15 and 17 through 19 for reconciliations to the nearest GAAP financial measures.</w:t>
      </w:r>
    </w:p>
    <w:p>
      <w:pPr>
        <w:spacing w:after="0" w:line="34" w:lineRule="exact"/>
        <w:rPr>
          <w:sz w:val="20"/>
          <w:szCs w:val="20"/>
          <w:color w:val="auto"/>
        </w:rPr>
      </w:pPr>
    </w:p>
    <w:p>
      <w:pPr>
        <w:ind w:left="480" w:hanging="378"/>
        <w:spacing w:after="0" w:line="213" w:lineRule="auto"/>
        <w:tabs>
          <w:tab w:leader="none" w:pos="480" w:val="left"/>
        </w:tabs>
        <w:numPr>
          <w:ilvl w:val="0"/>
          <w:numId w:val="3"/>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Aggregates gross profit, aggregates gross profit per ton and Specialties gross profit for the quarter ended September 30, 2026, included charges of $5 million, $0.08 per ton and $38 million, respectively, for the impact of selling acquired inventory after markup to fair value as part of acquisition accounting.</w:t>
      </w:r>
    </w:p>
    <w:p>
      <w:pPr>
        <w:spacing w:after="0" w:line="1" w:lineRule="exact"/>
        <w:rPr>
          <w:sz w:val="20"/>
          <w:szCs w:val="20"/>
          <w:color w:val="auto"/>
        </w:rPr>
      </w:pPr>
    </w:p>
    <w:p>
      <w:pPr>
        <w:ind w:right="7620" w:firstLine="102"/>
        <w:spacing w:after="0" w:line="322" w:lineRule="auto"/>
        <w:tabs>
          <w:tab w:leader="none" w:pos="463" w:val="left"/>
        </w:tabs>
        <w:numPr>
          <w:ilvl w:val="0"/>
          <w:numId w:val="4"/>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Organic mix-adjusted ASP increased 2.7 percent. For additional notes, see page 14.</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2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6251575</wp:posOffset>
            </wp:positionH>
            <wp:positionV relativeFrom="page">
              <wp:posOffset>500380</wp:posOffset>
            </wp:positionV>
            <wp:extent cx="1088390" cy="3168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088390" cy="316865"/>
                    </a:xfrm>
                    <a:prstGeom prst="rect">
                      <a:avLst/>
                    </a:prstGeom>
                    <a:noFill/>
                  </pic:spPr>
                </pic:pic>
              </a:graphicData>
            </a:graphic>
          </wp:anchor>
        </w:drawing>
      </w:r>
    </w:p>
    <w:p>
      <w:pPr>
        <w:jc w:val="both"/>
        <w:spacing w:after="0" w:line="237" w:lineRule="auto"/>
        <w:rPr>
          <w:sz w:val="20"/>
          <w:szCs w:val="20"/>
          <w:color w:val="auto"/>
        </w:rPr>
      </w:pPr>
      <w:r>
        <w:rPr>
          <w:rFonts w:ascii="Arial" w:cs="Arial" w:eastAsia="Arial" w:hAnsi="Arial"/>
          <w:sz w:val="20"/>
          <w:szCs w:val="20"/>
          <w:color w:val="auto"/>
        </w:rPr>
        <w:t>Ward Nye, Chair, President and CEO of Martin Marietta, stated, “Martin Marietta delivered record quarterly revenues of $2.37 billion and Adjusted EBITDA from continuing operations of $808 million, representing increases of 28% and 21%, respectively, over the prior year third quarter, as strong performance from recent acquisitions more than offset the effects of expanding inflationary pressures and a dynamic macroeconomic environment.</w:t>
      </w:r>
    </w:p>
    <w:p>
      <w:pPr>
        <w:spacing w:after="0" w:line="172" w:lineRule="exact"/>
        <w:rPr>
          <w:sz w:val="20"/>
          <w:szCs w:val="20"/>
          <w:color w:val="auto"/>
        </w:rPr>
      </w:pPr>
    </w:p>
    <w:p>
      <w:pPr>
        <w:jc w:val="both"/>
        <w:spacing w:after="0" w:line="224" w:lineRule="auto"/>
        <w:rPr>
          <w:sz w:val="20"/>
          <w:szCs w:val="20"/>
          <w:color w:val="auto"/>
        </w:rPr>
      </w:pPr>
      <w:r>
        <w:rPr>
          <w:rFonts w:ascii="Arial" w:cs="Arial" w:eastAsia="Arial" w:hAnsi="Arial"/>
          <w:sz w:val="20"/>
          <w:szCs w:val="20"/>
          <w:color w:val="auto"/>
        </w:rPr>
        <w:t>"The third quarter marked a defining milestone in Martin Marietta's portfolio transformation with the completion of our combination with Lhoist North America (LNA) on August 21. This transaction meaningfully scales our differentiated upstream Specialties platform, establishing Martin Marietta as the nation's leading producer of lime and limestone solutions and broadening our participation across steel, environmental, infrastructure and industrial end markets. Since the closing date, LNA delivered revenues, gross profit and cash gross profit</w:t>
      </w:r>
      <w:r>
        <w:rPr>
          <w:rFonts w:ascii="Arial" w:cs="Arial" w:eastAsia="Arial" w:hAnsi="Arial"/>
          <w:sz w:val="26"/>
          <w:szCs w:val="26"/>
          <w:color w:val="auto"/>
          <w:vertAlign w:val="superscript"/>
        </w:rPr>
        <w:t>1</w:t>
      </w:r>
      <w:r>
        <w:rPr>
          <w:rFonts w:ascii="Arial" w:cs="Arial" w:eastAsia="Arial" w:hAnsi="Arial"/>
          <w:sz w:val="20"/>
          <w:szCs w:val="20"/>
          <w:color w:val="auto"/>
        </w:rPr>
        <w:t xml:space="preserve"> of $216 million, $51 million and $115 million, respectively, providing early validation of the strategic and financial merits of the higher-quality, more resilient and diversified portfolio we have intentionally built.</w:t>
      </w:r>
    </w:p>
    <w:p>
      <w:pPr>
        <w:spacing w:after="0" w:line="175"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With the closing of LNA, we have updated the midpoints of our full-year 2026 Revenue and Adjusted EBITDA guidance to $7.80 billion and $2.48 billion, respectively, as acquisition contributions are anticipated to more than offset lower near-term expectations for our heritage operations. In 2027, we expect mid- to high-single digit aggregates pricing on a mix-adjusted basis, supported by January 1 pricing actions designed to address inflationary cost pressures. Acquired operations, which currently have selling prices below the Company average, provide meaningful opportunity for continued pricing growth. From an end market perspective, we currently expect continued strength in infrastructure and data centers with softer interest rate-sensitive private construction markets."</w:t>
      </w:r>
    </w:p>
    <w:p>
      <w:pPr>
        <w:spacing w:after="0" w:line="172"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Mr. Nye concluded, "As we integrate this year’s acquisitions, we remain focused on safety, commercial and operational excellence, and disciplined execution of the matters within our control. Martin Marietta has a proven playbook for responding decisively to changing market conditions, managing inflationary pressures, protecting profitability and maximizing free cash flow. That playbook is already delivering results, with disciplined inventory management and capital spending reductions alone contributing over $290 million of year-to-date cash flow improvement. Looking ahead, January 1 pricing actions and further structural cost improvements are expected to restore a positive price-cost relationship in 2027. With today's broader end-market exposure and more resilient earnings profile, Martin Marietta is better positioned to navigate near-term uncertainty while capitalizing on the attractive long-term fundamentals of our business.”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6251575</wp:posOffset>
            </wp:positionH>
            <wp:positionV relativeFrom="page">
              <wp:posOffset>500380</wp:posOffset>
            </wp:positionV>
            <wp:extent cx="1088390" cy="3168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088390" cy="31686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29"/>
          <w:szCs w:val="29"/>
          <w:color w:val="007DC6"/>
        </w:rPr>
        <w:t>Third-Quarter Financial and Operating Results</w:t>
      </w:r>
    </w:p>
    <w:p>
      <w:pPr>
        <w:spacing w:after="0" w:line="123" w:lineRule="exact"/>
        <w:rPr>
          <w:sz w:val="20"/>
          <w:szCs w:val="20"/>
          <w:color w:val="auto"/>
        </w:rPr>
      </w:pPr>
    </w:p>
    <w:p>
      <w:pPr>
        <w:jc w:val="both"/>
        <w:spacing w:after="0" w:line="257" w:lineRule="auto"/>
        <w:rPr>
          <w:sz w:val="20"/>
          <w:szCs w:val="20"/>
          <w:color w:val="auto"/>
        </w:rPr>
      </w:pPr>
      <w:r>
        <w:rPr>
          <w:rFonts w:ascii="Arial" w:cs="Arial" w:eastAsia="Arial" w:hAnsi="Arial"/>
          <w:sz w:val="20"/>
          <w:szCs w:val="20"/>
          <w:i w:val="1"/>
          <w:iCs w:val="1"/>
          <w:color w:val="auto"/>
        </w:rPr>
        <w:t>(All financial and operating results are for continuing operations and comparisons are versus the prior-year third quarter, unless otherwise noted)</w:t>
      </w:r>
    </w:p>
    <w:p>
      <w:pPr>
        <w:spacing w:after="0" w:line="15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Building Materials Business</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7DC6"/>
        </w:rPr>
        <w:t>Aggregates</w:t>
      </w:r>
    </w:p>
    <w:p>
      <w:pPr>
        <w:spacing w:after="0" w:line="103"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Third-quarter aggregates shipments increased 15.9 percent to a record of 67.1 million tons driven by acquisition contributions that more than offset a modest decline in organic shipments. ASP decreased 3.6 percent to $22.41 per ton, primarily reflecting acquisition-related mix, as acquired operations have average selling prices below the Company average. Organic ASP increased 1.0 percent, while organic mix-adjusted ASP</w:t>
      </w:r>
      <w:r>
        <w:rPr>
          <w:rFonts w:ascii="Arial" w:cs="Arial" w:eastAsia="Arial" w:hAnsi="Arial"/>
          <w:sz w:val="26"/>
          <w:szCs w:val="26"/>
          <w:color w:val="auto"/>
          <w:vertAlign w:val="superscript"/>
        </w:rPr>
        <w:t>6</w:t>
      </w:r>
      <w:r>
        <w:rPr>
          <w:rFonts w:ascii="Arial" w:cs="Arial" w:eastAsia="Arial" w:hAnsi="Arial"/>
          <w:sz w:val="20"/>
          <w:szCs w:val="20"/>
          <w:color w:val="auto"/>
        </w:rPr>
        <w:t xml:space="preserve"> increased 2.7 percent.</w:t>
      </w:r>
    </w:p>
    <w:p>
      <w:pPr>
        <w:spacing w:after="0" w:line="59" w:lineRule="exact"/>
        <w:rPr>
          <w:sz w:val="20"/>
          <w:szCs w:val="20"/>
          <w:color w:val="auto"/>
        </w:rPr>
      </w:pPr>
    </w:p>
    <w:p>
      <w:pPr>
        <w:jc w:val="both"/>
        <w:spacing w:after="0" w:line="223" w:lineRule="auto"/>
        <w:rPr>
          <w:sz w:val="20"/>
          <w:szCs w:val="20"/>
          <w:color w:val="auto"/>
        </w:rPr>
      </w:pPr>
      <w:r>
        <w:rPr>
          <w:rFonts w:ascii="Arial" w:cs="Arial" w:eastAsia="Arial" w:hAnsi="Arial"/>
          <w:sz w:val="20"/>
          <w:szCs w:val="20"/>
          <w:color w:val="auto"/>
        </w:rPr>
        <w:t>Aggregates gross profit decreased 4 percent to $512 million, primarily due to higher depreciation, depletion and amortization, and energy-related costs. Aggregates cash gross profit</w:t>
      </w:r>
      <w:r>
        <w:rPr>
          <w:rFonts w:ascii="Arial" w:cs="Arial" w:eastAsia="Arial" w:hAnsi="Arial"/>
          <w:sz w:val="26"/>
          <w:szCs w:val="26"/>
          <w:color w:val="auto"/>
          <w:vertAlign w:val="superscript"/>
        </w:rPr>
        <w:t>1</w:t>
      </w:r>
      <w:r>
        <w:rPr>
          <w:rFonts w:ascii="Arial" w:cs="Arial" w:eastAsia="Arial" w:hAnsi="Arial"/>
          <w:sz w:val="20"/>
          <w:szCs w:val="20"/>
          <w:color w:val="auto"/>
        </w:rPr>
        <w:t>, however, reached an all-time quarterly record of $696 million as acquisition contributions more than offset organic price-cost headwinds.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007DC6"/>
        </w:rPr>
        <w:t>Other Building Materials</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Other Building Materials revenues increased 14 percent to $399 million, and gross profit increased 17 percent to $63 million, benefiting from acquisition contributions and strong performance from the California asphalt business.</w:t>
      </w:r>
    </w:p>
    <w:p>
      <w:pPr>
        <w:spacing w:after="0" w:line="15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Specialties Business</w:t>
      </w:r>
    </w:p>
    <w:p>
      <w:pPr>
        <w:spacing w:after="0" w:line="134" w:lineRule="exact"/>
        <w:rPr>
          <w:sz w:val="20"/>
          <w:szCs w:val="20"/>
          <w:color w:val="auto"/>
        </w:rPr>
      </w:pPr>
    </w:p>
    <w:p>
      <w:pPr>
        <w:jc w:val="both"/>
        <w:spacing w:after="0" w:line="219" w:lineRule="auto"/>
        <w:rPr>
          <w:sz w:val="20"/>
          <w:szCs w:val="20"/>
          <w:color w:val="auto"/>
        </w:rPr>
      </w:pPr>
      <w:r>
        <w:rPr>
          <w:rFonts w:ascii="Arial" w:cs="Arial" w:eastAsia="Arial" w:hAnsi="Arial"/>
          <w:sz w:val="20"/>
          <w:szCs w:val="20"/>
          <w:color w:val="auto"/>
        </w:rPr>
        <w:t>Specialties delivered record revenues, gross profit and cash gross profit</w:t>
      </w:r>
      <w:r>
        <w:rPr>
          <w:rFonts w:ascii="Arial" w:cs="Arial" w:eastAsia="Arial" w:hAnsi="Arial"/>
          <w:sz w:val="26"/>
          <w:szCs w:val="26"/>
          <w:color w:val="auto"/>
          <w:vertAlign w:val="superscript"/>
        </w:rPr>
        <w:t>1</w:t>
      </w:r>
      <w:r>
        <w:rPr>
          <w:rFonts w:ascii="Arial" w:cs="Arial" w:eastAsia="Arial" w:hAnsi="Arial"/>
          <w:sz w:val="20"/>
          <w:szCs w:val="20"/>
          <w:color w:val="auto"/>
        </w:rPr>
        <w:t xml:space="preserve"> of $362 million, $88 million and $163 million, respectively, reflecting strong organic performance and partial quarter contributions from LNA. Organic Specialties revenues and gross profit increased 11 percent and 6 percent,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Portfolio Optimization</w:t>
      </w:r>
    </w:p>
    <w:p>
      <w:pPr>
        <w:spacing w:after="0" w:line="120"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On August 21, 2026, the Company completed the business combination with LNA, a leading producer of high-calcium lime, dolomitic lime and industrial mineral products serving diversified end markets through a network of 20 quarries and production facilities and 45 distribution terminals.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On September 18, 2026, the Company acquired The Frazier Quarry, Inc., a pure-play aggregates business located in Harrisonburg, Virginia.</w:t>
      </w:r>
    </w:p>
    <w:p>
      <w:pPr>
        <w:spacing w:after="0" w:line="145" w:lineRule="exact"/>
        <w:rPr>
          <w:sz w:val="20"/>
          <w:szCs w:val="20"/>
          <w:color w:val="auto"/>
        </w:rPr>
      </w:pPr>
    </w:p>
    <w:p>
      <w:pPr>
        <w:spacing w:after="0"/>
        <w:rPr>
          <w:sz w:val="20"/>
          <w:szCs w:val="20"/>
          <w:color w:val="auto"/>
        </w:rPr>
      </w:pPr>
      <w:r>
        <w:rPr>
          <w:rFonts w:ascii="Arial" w:cs="Arial" w:eastAsia="Arial" w:hAnsi="Arial"/>
          <w:sz w:val="29"/>
          <w:szCs w:val="29"/>
          <w:color w:val="007DC6"/>
        </w:rPr>
        <w:t>Cash Generation, Capital Allocation and Liquidity</w:t>
      </w:r>
    </w:p>
    <w:p>
      <w:pPr>
        <w:spacing w:after="0" w:line="123"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Cash provided by operating activities for the nine months ended September 30, 2026, was $896 million compared with $1,156 million for the prior-year period. The year-over-year comparison includes $250 million of cash tax payments related to the gain recognized on the February 2026 QUIKRETE asset exchange.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Cash paid for property, plant and equipment additions for the nine months ended September 30, 2026, was $445 million, compared with $602 million for the prior-year period.</w:t>
      </w:r>
    </w:p>
    <w:p>
      <w:pPr>
        <w:spacing w:after="0" w:line="15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In July, the Company entered into a $ 1.5 billion three-year senior unsecured term loan facility and, in August, issued $5.5 billion of senior unsecured notes across five tranches to fund the cash consideration for the LNA</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6251575</wp:posOffset>
            </wp:positionH>
            <wp:positionV relativeFrom="page">
              <wp:posOffset>500380</wp:posOffset>
            </wp:positionV>
            <wp:extent cx="1088390" cy="3168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088390" cy="316865"/>
                    </a:xfrm>
                    <a:prstGeom prst="rect">
                      <a:avLst/>
                    </a:prstGeom>
                    <a:noFill/>
                  </pic:spPr>
                </pic:pic>
              </a:graphicData>
            </a:graphic>
          </wp:anchor>
        </w:drawing>
      </w:r>
    </w:p>
    <w:p>
      <w:pPr>
        <w:jc w:val="both"/>
        <w:spacing w:after="0" w:line="257" w:lineRule="auto"/>
        <w:rPr>
          <w:sz w:val="20"/>
          <w:szCs w:val="20"/>
          <w:color w:val="auto"/>
        </w:rPr>
      </w:pPr>
      <w:r>
        <w:rPr>
          <w:rFonts w:ascii="Arial" w:cs="Arial" w:eastAsia="Arial" w:hAnsi="Arial"/>
          <w:sz w:val="20"/>
          <w:szCs w:val="20"/>
          <w:color w:val="auto"/>
        </w:rPr>
        <w:t>combination. On August 21, 2026, the Company completed the LNA combination for total consideration of $12.9 billion, consisting of $7.0 billion in cash and approximately $5.9 billion of Martin Marietta common stock.</w:t>
      </w:r>
    </w:p>
    <w:p>
      <w:pPr>
        <w:spacing w:after="0" w:line="155" w:lineRule="exact"/>
        <w:rPr>
          <w:sz w:val="20"/>
          <w:szCs w:val="20"/>
          <w:color w:val="auto"/>
        </w:rPr>
      </w:pPr>
    </w:p>
    <w:p>
      <w:pPr>
        <w:jc w:val="both"/>
        <w:ind w:right="20"/>
        <w:spacing w:after="0" w:line="241" w:lineRule="auto"/>
        <w:rPr>
          <w:sz w:val="20"/>
          <w:szCs w:val="20"/>
          <w:color w:val="auto"/>
        </w:rPr>
      </w:pPr>
      <w:r>
        <w:rPr>
          <w:rFonts w:ascii="Arial" w:cs="Arial" w:eastAsia="Arial" w:hAnsi="Arial"/>
          <w:sz w:val="20"/>
          <w:szCs w:val="20"/>
          <w:color w:val="auto"/>
        </w:rPr>
        <w:t>During the nine months ended September 30, 2026, the Company returned $361 million to shareholders through dividend payments and share repurchases. As of September 30, 2026, 10.7 million shares remained available under the current repurchase authorization.</w:t>
      </w:r>
    </w:p>
    <w:p>
      <w:pPr>
        <w:spacing w:after="0" w:line="171"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color w:val="auto"/>
        </w:rPr>
        <w:t>As of September 30, 2026, the Company had $140 million of unrestricted cash and cash equivalents on hand and $1.4 billion of unused borrowing capacity under its existing credit facilities.</w:t>
      </w:r>
    </w:p>
    <w:p>
      <w:pPr>
        <w:spacing w:after="0" w:line="145" w:lineRule="exact"/>
        <w:rPr>
          <w:sz w:val="20"/>
          <w:szCs w:val="20"/>
          <w:color w:val="auto"/>
        </w:rPr>
      </w:pPr>
    </w:p>
    <w:p>
      <w:pPr>
        <w:spacing w:after="0"/>
        <w:rPr>
          <w:sz w:val="20"/>
          <w:szCs w:val="20"/>
          <w:color w:val="auto"/>
        </w:rPr>
      </w:pPr>
      <w:r>
        <w:rPr>
          <w:rFonts w:ascii="Arial" w:cs="Arial" w:eastAsia="Arial" w:hAnsi="Arial"/>
          <w:sz w:val="29"/>
          <w:szCs w:val="29"/>
          <w:color w:val="007DC6"/>
        </w:rPr>
        <w:t>Updated 2026 Guidance</w:t>
      </w:r>
    </w:p>
    <w:p>
      <w:pPr>
        <w:spacing w:after="0" w:line="231"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Based on strong acquisition performance, partially offset by softer heritage demand and inflationary cost pressures, the Company is updating its full-year 2026 guidance.</w:t>
      </w:r>
    </w:p>
    <w:p>
      <w:pPr>
        <w:spacing w:after="0" w:line="153" w:lineRule="exact"/>
        <w:rPr>
          <w:sz w:val="20"/>
          <w:szCs w:val="20"/>
          <w:color w:val="auto"/>
        </w:rPr>
      </w:pPr>
    </w:p>
    <w:p>
      <w:pPr>
        <w:jc w:val="center"/>
        <w:ind w:right="260"/>
        <w:spacing w:after="0"/>
        <w:rPr>
          <w:sz w:val="20"/>
          <w:szCs w:val="20"/>
          <w:color w:val="auto"/>
        </w:rPr>
      </w:pPr>
      <w:r>
        <w:rPr>
          <w:rFonts w:ascii="Arial" w:cs="Arial" w:eastAsia="Arial" w:hAnsi="Arial"/>
          <w:sz w:val="20"/>
          <w:szCs w:val="20"/>
          <w:b w:val="1"/>
          <w:bCs w:val="1"/>
          <w:color w:val="FFFFFF"/>
        </w:rPr>
        <w:t>2026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2832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2832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6" w:lineRule="exact"/>
        <w:rPr>
          <w:sz w:val="20"/>
          <w:szCs w:val="20"/>
          <w:color w:val="auto"/>
        </w:rPr>
      </w:pPr>
    </w:p>
    <w:p>
      <w:pPr>
        <w:spacing w:after="0"/>
        <w:rPr>
          <w:sz w:val="20"/>
          <w:szCs w:val="20"/>
          <w:color w:val="auto"/>
        </w:rPr>
      </w:pPr>
      <w:r>
        <w:rPr>
          <w:rFonts w:ascii="Arial" w:cs="Arial" w:eastAsia="Arial" w:hAnsi="Arial"/>
          <w:sz w:val="20"/>
          <w:szCs w:val="20"/>
          <w:b w:val="1"/>
          <w:bCs w:val="1"/>
          <w:color w:val="FFFFFF"/>
        </w:rPr>
        <w:t>(dollars in millions)</w:t>
      </w:r>
    </w:p>
    <w:p>
      <w:pPr>
        <w:spacing w:after="0" w:line="225" w:lineRule="auto"/>
        <w:rPr>
          <w:sz w:val="20"/>
          <w:szCs w:val="20"/>
          <w:color w:val="auto"/>
        </w:rPr>
      </w:pPr>
      <w:r>
        <w:rPr>
          <w:rFonts w:ascii="Arial" w:cs="Arial" w:eastAsia="Arial" w:hAnsi="Arial"/>
          <w:sz w:val="20"/>
          <w:szCs w:val="20"/>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right="2120"/>
        <w:spacing w:after="0" w:line="237" w:lineRule="auto"/>
        <w:rPr>
          <w:sz w:val="20"/>
          <w:szCs w:val="20"/>
          <w:color w:val="auto"/>
        </w:rPr>
      </w:pPr>
      <w:r>
        <w:rPr>
          <w:rFonts w:ascii="Arial" w:cs="Arial" w:eastAsia="Arial" w:hAnsi="Arial"/>
          <w:sz w:val="19"/>
          <w:szCs w:val="19"/>
          <w:color w:val="auto"/>
        </w:rPr>
        <w:t>Interest expense, net of interest income Estimated tax rate (excluding discrete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right="760"/>
        <w:spacing w:after="0" w:line="206" w:lineRule="auto"/>
        <w:rPr>
          <w:sz w:val="20"/>
          <w:szCs w:val="20"/>
          <w:color w:val="auto"/>
        </w:rPr>
      </w:pPr>
      <w:r>
        <w:rPr>
          <w:rFonts w:ascii="Arial" w:cs="Arial" w:eastAsia="Arial" w:hAnsi="Arial"/>
          <w:sz w:val="20"/>
          <w:szCs w:val="20"/>
          <w:color w:val="auto"/>
        </w:rPr>
        <w:t>Net earnings from continuing operations attributable to Martin Marietta</w:t>
      </w:r>
    </w:p>
    <w:p>
      <w:pPr>
        <w:spacing w:after="0" w:line="224" w:lineRule="auto"/>
        <w:rPr>
          <w:sz w:val="20"/>
          <w:szCs w:val="20"/>
          <w:color w:val="auto"/>
        </w:rPr>
      </w:pPr>
      <w:r>
        <w:rPr>
          <w:rFonts w:ascii="Arial" w:cs="Arial" w:eastAsia="Arial" w:hAnsi="Arial"/>
          <w:sz w:val="20"/>
          <w:szCs w:val="20"/>
          <w:color w:val="auto"/>
        </w:rPr>
        <w:t>Adjusted EBITDA from continuing operations</w:t>
      </w:r>
      <w:r>
        <w:rPr>
          <w:rFonts w:ascii="Arial" w:cs="Arial" w:eastAsia="Arial" w:hAnsi="Arial"/>
          <w:sz w:val="26"/>
          <w:szCs w:val="2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260" w:type="dxa"/>
            <w:vAlign w:val="bottom"/>
          </w:tcPr>
          <w:p>
            <w:pPr>
              <w:spacing w:after="0"/>
              <w:rPr>
                <w:sz w:val="18"/>
                <w:szCs w:val="18"/>
                <w:color w:val="auto"/>
              </w:rPr>
            </w:pPr>
          </w:p>
        </w:tc>
        <w:tc>
          <w:tcPr>
            <w:tcW w:w="1160" w:type="dxa"/>
            <w:vAlign w:val="bottom"/>
          </w:tcPr>
          <w:p>
            <w:pPr>
              <w:jc w:val="right"/>
              <w:ind w:right="521"/>
              <w:spacing w:after="0" w:line="218" w:lineRule="exact"/>
              <w:rPr>
                <w:sz w:val="20"/>
                <w:szCs w:val="20"/>
                <w:color w:val="auto"/>
              </w:rPr>
            </w:pPr>
            <w:r>
              <w:rPr>
                <w:rFonts w:ascii="Arial" w:cs="Arial" w:eastAsia="Arial" w:hAnsi="Arial"/>
                <w:sz w:val="20"/>
                <w:szCs w:val="20"/>
                <w:b w:val="1"/>
                <w:bCs w:val="1"/>
                <w:color w:val="FFFFFF"/>
              </w:rPr>
              <w:t>Low</w:t>
            </w:r>
          </w:p>
        </w:tc>
        <w:tc>
          <w:tcPr>
            <w:tcW w:w="200" w:type="dxa"/>
            <w:vAlign w:val="bottom"/>
          </w:tcPr>
          <w:p>
            <w:pPr>
              <w:spacing w:after="0"/>
              <w:rPr>
                <w:sz w:val="18"/>
                <w:szCs w:val="18"/>
                <w:color w:val="auto"/>
              </w:rPr>
            </w:pPr>
          </w:p>
        </w:tc>
        <w:tc>
          <w:tcPr>
            <w:tcW w:w="1260" w:type="dxa"/>
            <w:vAlign w:val="bottom"/>
          </w:tcPr>
          <w:p>
            <w:pPr>
              <w:jc w:val="right"/>
              <w:ind w:right="301"/>
              <w:spacing w:after="0" w:line="218" w:lineRule="exact"/>
              <w:rPr>
                <w:sz w:val="20"/>
                <w:szCs w:val="20"/>
                <w:color w:val="auto"/>
              </w:rPr>
            </w:pPr>
            <w:r>
              <w:rPr>
                <w:rFonts w:ascii="Arial" w:cs="Arial" w:eastAsia="Arial" w:hAnsi="Arial"/>
                <w:sz w:val="20"/>
                <w:szCs w:val="20"/>
                <w:b w:val="1"/>
                <w:bCs w:val="1"/>
                <w:color w:val="FFFFFF"/>
              </w:rPr>
              <w:t>Midpoint</w:t>
            </w:r>
          </w:p>
        </w:tc>
        <w:tc>
          <w:tcPr>
            <w:tcW w:w="280" w:type="dxa"/>
            <w:vAlign w:val="bottom"/>
          </w:tcPr>
          <w:p>
            <w:pPr>
              <w:spacing w:after="0"/>
              <w:rPr>
                <w:sz w:val="18"/>
                <w:szCs w:val="18"/>
                <w:color w:val="auto"/>
              </w:rPr>
            </w:pPr>
          </w:p>
        </w:tc>
        <w:tc>
          <w:tcPr>
            <w:tcW w:w="1140" w:type="dxa"/>
            <w:vAlign w:val="bottom"/>
          </w:tcPr>
          <w:p>
            <w:pPr>
              <w:jc w:val="right"/>
              <w:ind w:right="461"/>
              <w:spacing w:after="0" w:line="218" w:lineRule="exact"/>
              <w:rPr>
                <w:sz w:val="20"/>
                <w:szCs w:val="20"/>
                <w:color w:val="auto"/>
              </w:rPr>
            </w:pPr>
            <w:r>
              <w:rPr>
                <w:rFonts w:ascii="Arial" w:cs="Arial" w:eastAsia="Arial" w:hAnsi="Arial"/>
                <w:sz w:val="20"/>
                <w:szCs w:val="20"/>
                <w:b w:val="1"/>
                <w:bCs w:val="1"/>
                <w:color w:val="FFFFFF"/>
              </w:rPr>
              <w:t>High</w:t>
            </w:r>
          </w:p>
        </w:tc>
      </w:tr>
      <w:tr>
        <w:trPr>
          <w:trHeight w:val="216"/>
        </w:trPr>
        <w:tc>
          <w:tcPr>
            <w:tcW w:w="260" w:type="dxa"/>
            <w:vAlign w:val="bottom"/>
          </w:tcPr>
          <w:p>
            <w:pPr>
              <w:jc w:val="right"/>
              <w:ind w:right="41"/>
              <w:spacing w:after="0" w:line="216" w:lineRule="exact"/>
              <w:rPr>
                <w:sz w:val="20"/>
                <w:szCs w:val="20"/>
                <w:color w:val="auto"/>
              </w:rPr>
            </w:pPr>
            <w:r>
              <w:rPr>
                <w:rFonts w:ascii="Arial" w:cs="Arial" w:eastAsia="Arial" w:hAnsi="Arial"/>
                <w:sz w:val="20"/>
                <w:szCs w:val="20"/>
                <w:color w:val="auto"/>
                <w:w w:val="89"/>
              </w:rPr>
              <w:t>$</w:t>
            </w:r>
          </w:p>
        </w:tc>
        <w:tc>
          <w:tcPr>
            <w:tcW w:w="1160" w:type="dxa"/>
            <w:vAlign w:val="bottom"/>
          </w:tcPr>
          <w:p>
            <w:pPr>
              <w:jc w:val="right"/>
              <w:ind w:right="121"/>
              <w:spacing w:after="0" w:line="216" w:lineRule="exact"/>
              <w:rPr>
                <w:sz w:val="20"/>
                <w:szCs w:val="20"/>
                <w:color w:val="auto"/>
              </w:rPr>
            </w:pPr>
            <w:r>
              <w:rPr>
                <w:rFonts w:ascii="Arial" w:cs="Arial" w:eastAsia="Arial" w:hAnsi="Arial"/>
                <w:sz w:val="20"/>
                <w:szCs w:val="20"/>
                <w:color w:val="auto"/>
              </w:rPr>
              <w:t>7,750</w:t>
            </w:r>
          </w:p>
        </w:tc>
        <w:tc>
          <w:tcPr>
            <w:tcW w:w="200" w:type="dxa"/>
            <w:vAlign w:val="bottom"/>
          </w:tcPr>
          <w:p>
            <w:pPr>
              <w:jc w:val="right"/>
              <w:spacing w:after="0" w:line="216" w:lineRule="exact"/>
              <w:rPr>
                <w:sz w:val="20"/>
                <w:szCs w:val="20"/>
                <w:color w:val="auto"/>
              </w:rPr>
            </w:pPr>
            <w:r>
              <w:rPr>
                <w:rFonts w:ascii="Arial" w:cs="Arial" w:eastAsia="Arial" w:hAnsi="Arial"/>
                <w:sz w:val="20"/>
                <w:szCs w:val="20"/>
                <w:color w:val="auto"/>
              </w:rPr>
              <w:t>$</w:t>
            </w:r>
          </w:p>
        </w:tc>
        <w:tc>
          <w:tcPr>
            <w:tcW w:w="1260" w:type="dxa"/>
            <w:vAlign w:val="bottom"/>
          </w:tcPr>
          <w:p>
            <w:pPr>
              <w:jc w:val="right"/>
              <w:ind w:right="121"/>
              <w:spacing w:after="0" w:line="216" w:lineRule="exact"/>
              <w:rPr>
                <w:sz w:val="20"/>
                <w:szCs w:val="20"/>
                <w:color w:val="auto"/>
              </w:rPr>
            </w:pPr>
            <w:r>
              <w:rPr>
                <w:rFonts w:ascii="Arial" w:cs="Arial" w:eastAsia="Arial" w:hAnsi="Arial"/>
                <w:sz w:val="20"/>
                <w:szCs w:val="20"/>
                <w:color w:val="auto"/>
              </w:rPr>
              <w:t>7,800</w:t>
            </w:r>
          </w:p>
        </w:tc>
        <w:tc>
          <w:tcPr>
            <w:tcW w:w="280" w:type="dxa"/>
            <w:vAlign w:val="bottom"/>
          </w:tcPr>
          <w:p>
            <w:pPr>
              <w:jc w:val="right"/>
              <w:ind w:right="21"/>
              <w:spacing w:after="0" w:line="216" w:lineRule="exact"/>
              <w:rPr>
                <w:sz w:val="20"/>
                <w:szCs w:val="20"/>
                <w:color w:val="auto"/>
              </w:rPr>
            </w:pPr>
            <w:r>
              <w:rPr>
                <w:rFonts w:ascii="Arial" w:cs="Arial" w:eastAsia="Arial" w:hAnsi="Arial"/>
                <w:sz w:val="20"/>
                <w:szCs w:val="20"/>
                <w:color w:val="auto"/>
              </w:rPr>
              <w:t>$</w:t>
            </w:r>
          </w:p>
        </w:tc>
        <w:tc>
          <w:tcPr>
            <w:tcW w:w="1140" w:type="dxa"/>
            <w:vAlign w:val="bottom"/>
          </w:tcPr>
          <w:p>
            <w:pPr>
              <w:jc w:val="right"/>
              <w:ind w:right="81"/>
              <w:spacing w:after="0" w:line="216" w:lineRule="exact"/>
              <w:rPr>
                <w:sz w:val="20"/>
                <w:szCs w:val="20"/>
                <w:color w:val="auto"/>
              </w:rPr>
            </w:pPr>
            <w:r>
              <w:rPr>
                <w:rFonts w:ascii="Arial" w:cs="Arial" w:eastAsia="Arial" w:hAnsi="Arial"/>
                <w:sz w:val="20"/>
                <w:szCs w:val="20"/>
                <w:color w:val="auto"/>
              </w:rPr>
              <w:t>7,850</w:t>
            </w:r>
          </w:p>
        </w:tc>
      </w:tr>
      <w:tr>
        <w:trPr>
          <w:trHeight w:val="216"/>
        </w:trPr>
        <w:tc>
          <w:tcPr>
            <w:tcW w:w="260" w:type="dxa"/>
            <w:vAlign w:val="bottom"/>
          </w:tcPr>
          <w:p>
            <w:pPr>
              <w:jc w:val="right"/>
              <w:ind w:right="41"/>
              <w:spacing w:after="0" w:line="216" w:lineRule="exact"/>
              <w:rPr>
                <w:sz w:val="20"/>
                <w:szCs w:val="20"/>
                <w:color w:val="auto"/>
              </w:rPr>
            </w:pPr>
            <w:r>
              <w:rPr>
                <w:rFonts w:ascii="Arial" w:cs="Arial" w:eastAsia="Arial" w:hAnsi="Arial"/>
                <w:sz w:val="20"/>
                <w:szCs w:val="20"/>
                <w:color w:val="auto"/>
                <w:w w:val="89"/>
              </w:rPr>
              <w:t>$</w:t>
            </w:r>
          </w:p>
        </w:tc>
        <w:tc>
          <w:tcPr>
            <w:tcW w:w="1160" w:type="dxa"/>
            <w:vAlign w:val="bottom"/>
          </w:tcPr>
          <w:p>
            <w:pPr>
              <w:jc w:val="right"/>
              <w:ind w:right="121"/>
              <w:spacing w:after="0" w:line="216" w:lineRule="exact"/>
              <w:rPr>
                <w:sz w:val="20"/>
                <w:szCs w:val="20"/>
                <w:color w:val="auto"/>
              </w:rPr>
            </w:pPr>
            <w:r>
              <w:rPr>
                <w:rFonts w:ascii="Arial" w:cs="Arial" w:eastAsia="Arial" w:hAnsi="Arial"/>
                <w:sz w:val="20"/>
                <w:szCs w:val="20"/>
                <w:color w:val="auto"/>
              </w:rPr>
              <w:t>398</w:t>
            </w:r>
          </w:p>
        </w:tc>
        <w:tc>
          <w:tcPr>
            <w:tcW w:w="200" w:type="dxa"/>
            <w:vAlign w:val="bottom"/>
          </w:tcPr>
          <w:p>
            <w:pPr>
              <w:jc w:val="right"/>
              <w:spacing w:after="0" w:line="216" w:lineRule="exact"/>
              <w:rPr>
                <w:sz w:val="20"/>
                <w:szCs w:val="20"/>
                <w:color w:val="auto"/>
              </w:rPr>
            </w:pPr>
            <w:r>
              <w:rPr>
                <w:rFonts w:ascii="Arial" w:cs="Arial" w:eastAsia="Arial" w:hAnsi="Arial"/>
                <w:sz w:val="20"/>
                <w:szCs w:val="20"/>
                <w:color w:val="auto"/>
              </w:rPr>
              <w:t>$</w:t>
            </w:r>
          </w:p>
        </w:tc>
        <w:tc>
          <w:tcPr>
            <w:tcW w:w="1260" w:type="dxa"/>
            <w:vAlign w:val="bottom"/>
          </w:tcPr>
          <w:p>
            <w:pPr>
              <w:jc w:val="right"/>
              <w:ind w:right="121"/>
              <w:spacing w:after="0" w:line="216" w:lineRule="exact"/>
              <w:rPr>
                <w:sz w:val="20"/>
                <w:szCs w:val="20"/>
                <w:color w:val="auto"/>
              </w:rPr>
            </w:pPr>
            <w:r>
              <w:rPr>
                <w:rFonts w:ascii="Arial" w:cs="Arial" w:eastAsia="Arial" w:hAnsi="Arial"/>
                <w:sz w:val="20"/>
                <w:szCs w:val="20"/>
                <w:color w:val="auto"/>
              </w:rPr>
              <w:t>403</w:t>
            </w:r>
          </w:p>
        </w:tc>
        <w:tc>
          <w:tcPr>
            <w:tcW w:w="280" w:type="dxa"/>
            <w:vAlign w:val="bottom"/>
          </w:tcPr>
          <w:p>
            <w:pPr>
              <w:jc w:val="right"/>
              <w:ind w:right="21"/>
              <w:spacing w:after="0" w:line="216" w:lineRule="exact"/>
              <w:rPr>
                <w:sz w:val="20"/>
                <w:szCs w:val="20"/>
                <w:color w:val="auto"/>
              </w:rPr>
            </w:pPr>
            <w:r>
              <w:rPr>
                <w:rFonts w:ascii="Arial" w:cs="Arial" w:eastAsia="Arial" w:hAnsi="Arial"/>
                <w:sz w:val="20"/>
                <w:szCs w:val="20"/>
                <w:color w:val="auto"/>
              </w:rPr>
              <w:t>$</w:t>
            </w:r>
          </w:p>
        </w:tc>
        <w:tc>
          <w:tcPr>
            <w:tcW w:w="1140" w:type="dxa"/>
            <w:vAlign w:val="bottom"/>
          </w:tcPr>
          <w:p>
            <w:pPr>
              <w:jc w:val="right"/>
              <w:ind w:right="81"/>
              <w:spacing w:after="0" w:line="216" w:lineRule="exact"/>
              <w:rPr>
                <w:sz w:val="20"/>
                <w:szCs w:val="20"/>
                <w:color w:val="auto"/>
              </w:rPr>
            </w:pPr>
            <w:r>
              <w:rPr>
                <w:rFonts w:ascii="Arial" w:cs="Arial" w:eastAsia="Arial" w:hAnsi="Arial"/>
                <w:sz w:val="20"/>
                <w:szCs w:val="20"/>
                <w:color w:val="auto"/>
              </w:rPr>
              <w:t>408</w:t>
            </w:r>
          </w:p>
        </w:tc>
      </w:tr>
      <w:tr>
        <w:trPr>
          <w:trHeight w:val="261"/>
        </w:trPr>
        <w:tc>
          <w:tcPr>
            <w:tcW w:w="2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20.5%</w:t>
            </w: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21.0%</w:t>
            </w:r>
          </w:p>
        </w:tc>
        <w:tc>
          <w:tcPr>
            <w:tcW w:w="2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21.5%</w:t>
            </w:r>
          </w:p>
        </w:tc>
      </w:tr>
      <w:tr>
        <w:trPr>
          <w:trHeight w:val="324"/>
        </w:trPr>
        <w:tc>
          <w:tcPr>
            <w:tcW w:w="260" w:type="dxa"/>
            <w:vAlign w:val="bottom"/>
          </w:tcPr>
          <w:p>
            <w:pPr>
              <w:jc w:val="right"/>
              <w:ind w:right="41"/>
              <w:spacing w:after="0"/>
              <w:rPr>
                <w:sz w:val="20"/>
                <w:szCs w:val="20"/>
                <w:color w:val="auto"/>
              </w:rPr>
            </w:pPr>
            <w:r>
              <w:rPr>
                <w:rFonts w:ascii="Arial" w:cs="Arial" w:eastAsia="Arial" w:hAnsi="Arial"/>
                <w:sz w:val="20"/>
                <w:szCs w:val="20"/>
                <w:color w:val="auto"/>
                <w:w w:val="89"/>
              </w:rPr>
              <w:t>$</w:t>
            </w:r>
          </w:p>
        </w:tc>
        <w:tc>
          <w:tcPr>
            <w:tcW w:w="1160" w:type="dxa"/>
            <w:vAlign w:val="bottom"/>
          </w:tcPr>
          <w:p>
            <w:pPr>
              <w:jc w:val="right"/>
              <w:ind w:right="121"/>
              <w:spacing w:after="0"/>
              <w:rPr>
                <w:sz w:val="20"/>
                <w:szCs w:val="20"/>
                <w:color w:val="auto"/>
              </w:rPr>
            </w:pPr>
            <w:r>
              <w:rPr>
                <w:rFonts w:ascii="Arial" w:cs="Arial" w:eastAsia="Arial" w:hAnsi="Arial"/>
                <w:sz w:val="20"/>
                <w:szCs w:val="20"/>
                <w:color w:val="auto"/>
              </w:rPr>
              <w:t>727</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260" w:type="dxa"/>
            <w:vAlign w:val="bottom"/>
          </w:tcPr>
          <w:p>
            <w:pPr>
              <w:jc w:val="right"/>
              <w:ind w:right="121"/>
              <w:spacing w:after="0"/>
              <w:rPr>
                <w:sz w:val="20"/>
                <w:szCs w:val="20"/>
                <w:color w:val="auto"/>
              </w:rPr>
            </w:pPr>
            <w:r>
              <w:rPr>
                <w:rFonts w:ascii="Arial" w:cs="Arial" w:eastAsia="Arial" w:hAnsi="Arial"/>
                <w:sz w:val="20"/>
                <w:szCs w:val="20"/>
                <w:color w:val="auto"/>
              </w:rPr>
              <w:t>800</w:t>
            </w:r>
          </w:p>
        </w:tc>
        <w:tc>
          <w:tcPr>
            <w:tcW w:w="28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81"/>
              <w:spacing w:after="0"/>
              <w:rPr>
                <w:sz w:val="20"/>
                <w:szCs w:val="20"/>
                <w:color w:val="auto"/>
              </w:rPr>
            </w:pPr>
            <w:r>
              <w:rPr>
                <w:rFonts w:ascii="Arial" w:cs="Arial" w:eastAsia="Arial" w:hAnsi="Arial"/>
                <w:sz w:val="20"/>
                <w:szCs w:val="20"/>
                <w:color w:val="auto"/>
              </w:rPr>
              <w:t>873</w:t>
            </w:r>
          </w:p>
        </w:tc>
      </w:tr>
      <w:tr>
        <w:trPr>
          <w:trHeight w:val="324"/>
        </w:trPr>
        <w:tc>
          <w:tcPr>
            <w:tcW w:w="260" w:type="dxa"/>
            <w:vAlign w:val="bottom"/>
          </w:tcPr>
          <w:p>
            <w:pPr>
              <w:jc w:val="right"/>
              <w:ind w:right="41"/>
              <w:spacing w:after="0"/>
              <w:rPr>
                <w:sz w:val="20"/>
                <w:szCs w:val="20"/>
                <w:color w:val="auto"/>
              </w:rPr>
            </w:pPr>
            <w:r>
              <w:rPr>
                <w:rFonts w:ascii="Arial" w:cs="Arial" w:eastAsia="Arial" w:hAnsi="Arial"/>
                <w:sz w:val="20"/>
                <w:szCs w:val="20"/>
                <w:color w:val="auto"/>
                <w:w w:val="89"/>
              </w:rPr>
              <w:t>$</w:t>
            </w:r>
          </w:p>
        </w:tc>
        <w:tc>
          <w:tcPr>
            <w:tcW w:w="1160" w:type="dxa"/>
            <w:vAlign w:val="bottom"/>
          </w:tcPr>
          <w:p>
            <w:pPr>
              <w:jc w:val="right"/>
              <w:ind w:right="121"/>
              <w:spacing w:after="0"/>
              <w:rPr>
                <w:sz w:val="20"/>
                <w:szCs w:val="20"/>
                <w:color w:val="auto"/>
              </w:rPr>
            </w:pPr>
            <w:r>
              <w:rPr>
                <w:rFonts w:ascii="Arial" w:cs="Arial" w:eastAsia="Arial" w:hAnsi="Arial"/>
                <w:sz w:val="20"/>
                <w:szCs w:val="20"/>
                <w:color w:val="auto"/>
              </w:rPr>
              <w:t>2,450</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260" w:type="dxa"/>
            <w:vAlign w:val="bottom"/>
          </w:tcPr>
          <w:p>
            <w:pPr>
              <w:jc w:val="right"/>
              <w:ind w:right="121"/>
              <w:spacing w:after="0"/>
              <w:rPr>
                <w:sz w:val="20"/>
                <w:szCs w:val="20"/>
                <w:color w:val="auto"/>
              </w:rPr>
            </w:pPr>
            <w:r>
              <w:rPr>
                <w:rFonts w:ascii="Arial" w:cs="Arial" w:eastAsia="Arial" w:hAnsi="Arial"/>
                <w:sz w:val="20"/>
                <w:szCs w:val="20"/>
                <w:color w:val="auto"/>
              </w:rPr>
              <w:t>2,475</w:t>
            </w:r>
          </w:p>
        </w:tc>
        <w:tc>
          <w:tcPr>
            <w:tcW w:w="28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81"/>
              <w:spacing w:after="0"/>
              <w:rPr>
                <w:sz w:val="20"/>
                <w:szCs w:val="20"/>
                <w:color w:val="auto"/>
              </w:rPr>
            </w:pPr>
            <w:r>
              <w:rPr>
                <w:rFonts w:ascii="Arial" w:cs="Arial" w:eastAsia="Arial" w:hAnsi="Arial"/>
                <w:sz w:val="20"/>
                <w:szCs w:val="20"/>
                <w:color w:val="auto"/>
              </w:rPr>
              <w:t>2,500</w:t>
            </w:r>
          </w:p>
        </w:tc>
      </w:tr>
    </w:tbl>
    <w:p>
      <w:pPr>
        <w:spacing w:after="0" w:line="1" w:lineRule="exact"/>
        <w:rPr>
          <w:sz w:val="20"/>
          <w:szCs w:val="20"/>
          <w:color w:val="auto"/>
        </w:rPr>
      </w:pPr>
    </w:p>
    <w:p>
      <w:pPr>
        <w:sectPr>
          <w:pgSz w:w="11900" w:h="16838" w:orient="portrait"/>
          <w:cols w:equalWidth="0" w:num="2">
            <w:col w:w="6140" w:space="720"/>
            <w:col w:w="438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40"/>
        </w:trPr>
        <w:tc>
          <w:tcPr>
            <w:tcW w:w="4640" w:type="dxa"/>
            <w:vAlign w:val="bottom"/>
            <w:tcBorders>
              <w:bottom w:val="single" w:sz="8" w:color="auto"/>
            </w:tcBorders>
            <w:gridSpan w:val="3"/>
          </w:tcPr>
          <w:p>
            <w:pPr>
              <w:spacing w:after="0" w:line="220" w:lineRule="exact"/>
              <w:rPr>
                <w:sz w:val="20"/>
                <w:szCs w:val="20"/>
                <w:color w:val="auto"/>
              </w:rPr>
            </w:pPr>
            <w:r>
              <w:rPr>
                <w:rFonts w:ascii="Arial" w:cs="Arial" w:eastAsia="Arial" w:hAnsi="Arial"/>
                <w:sz w:val="20"/>
                <w:szCs w:val="20"/>
                <w:color w:val="auto"/>
              </w:rPr>
              <w:t>Capital expenditures</w:t>
            </w:r>
          </w:p>
        </w:tc>
        <w:tc>
          <w:tcPr>
            <w:tcW w:w="2620" w:type="dxa"/>
            <w:vAlign w:val="bottom"/>
            <w:tcBorders>
              <w:bottom w:val="single" w:sz="8" w:color="auto"/>
            </w:tcBorders>
          </w:tcPr>
          <w:p>
            <w:pPr>
              <w:jc w:val="right"/>
              <w:ind w:right="181"/>
              <w:spacing w:after="0" w:line="220" w:lineRule="exact"/>
              <w:rPr>
                <w:sz w:val="20"/>
                <w:szCs w:val="20"/>
                <w:color w:val="auto"/>
              </w:rPr>
            </w:pPr>
            <w:r>
              <w:rPr>
                <w:rFonts w:ascii="Arial" w:cs="Arial" w:eastAsia="Arial" w:hAnsi="Arial"/>
                <w:sz w:val="20"/>
                <w:szCs w:val="20"/>
                <w:color w:val="auto"/>
              </w:rPr>
              <w:t>$</w:t>
            </w:r>
          </w:p>
        </w:tc>
        <w:tc>
          <w:tcPr>
            <w:tcW w:w="1060" w:type="dxa"/>
            <w:vAlign w:val="bottom"/>
            <w:tcBorders>
              <w:bottom w:val="single" w:sz="8" w:color="auto"/>
            </w:tcBorders>
          </w:tcPr>
          <w:p>
            <w:pPr>
              <w:jc w:val="right"/>
              <w:ind w:right="161"/>
              <w:spacing w:after="0" w:line="220" w:lineRule="exact"/>
              <w:rPr>
                <w:sz w:val="20"/>
                <w:szCs w:val="20"/>
                <w:color w:val="auto"/>
              </w:rPr>
            </w:pPr>
            <w:r>
              <w:rPr>
                <w:rFonts w:ascii="Arial" w:cs="Arial" w:eastAsia="Arial" w:hAnsi="Arial"/>
                <w:sz w:val="20"/>
                <w:szCs w:val="20"/>
                <w:color w:val="auto"/>
              </w:rPr>
              <w:t>590</w:t>
            </w:r>
          </w:p>
        </w:tc>
        <w:tc>
          <w:tcPr>
            <w:tcW w:w="400" w:type="dxa"/>
            <w:vAlign w:val="bottom"/>
            <w:tcBorders>
              <w:bottom w:val="single" w:sz="8" w:color="auto"/>
            </w:tcBorders>
          </w:tcPr>
          <w:p>
            <w:pPr>
              <w:jc w:val="right"/>
              <w:ind w:right="181"/>
              <w:spacing w:after="0" w:line="220" w:lineRule="exact"/>
              <w:rPr>
                <w:sz w:val="20"/>
                <w:szCs w:val="20"/>
                <w:color w:val="auto"/>
              </w:rPr>
            </w:pPr>
            <w:r>
              <w:rPr>
                <w:rFonts w:ascii="Arial" w:cs="Arial" w:eastAsia="Arial" w:hAnsi="Arial"/>
                <w:sz w:val="20"/>
                <w:szCs w:val="20"/>
                <w:color w:val="auto"/>
                <w:w w:val="89"/>
              </w:rPr>
              <w:t>$</w:t>
            </w:r>
          </w:p>
        </w:tc>
        <w:tc>
          <w:tcPr>
            <w:tcW w:w="1060" w:type="dxa"/>
            <w:vAlign w:val="bottom"/>
            <w:tcBorders>
              <w:bottom w:val="single" w:sz="8" w:color="auto"/>
            </w:tcBorders>
          </w:tcPr>
          <w:p>
            <w:pPr>
              <w:jc w:val="right"/>
              <w:ind w:right="161"/>
              <w:spacing w:after="0" w:line="220" w:lineRule="exact"/>
              <w:rPr>
                <w:sz w:val="20"/>
                <w:szCs w:val="20"/>
                <w:color w:val="auto"/>
              </w:rPr>
            </w:pPr>
            <w:r>
              <w:rPr>
                <w:rFonts w:ascii="Arial" w:cs="Arial" w:eastAsia="Arial" w:hAnsi="Arial"/>
                <w:sz w:val="20"/>
                <w:szCs w:val="20"/>
                <w:color w:val="auto"/>
              </w:rPr>
              <w:t>620</w:t>
            </w:r>
          </w:p>
        </w:tc>
        <w:tc>
          <w:tcPr>
            <w:tcW w:w="400" w:type="dxa"/>
            <w:vAlign w:val="bottom"/>
            <w:tcBorders>
              <w:bottom w:val="single" w:sz="8" w:color="auto"/>
            </w:tcBorders>
          </w:tcPr>
          <w:p>
            <w:pPr>
              <w:jc w:val="right"/>
              <w:ind w:right="181"/>
              <w:spacing w:after="0" w:line="220" w:lineRule="exact"/>
              <w:rPr>
                <w:sz w:val="20"/>
                <w:szCs w:val="20"/>
                <w:color w:val="auto"/>
              </w:rPr>
            </w:pPr>
            <w:r>
              <w:rPr>
                <w:rFonts w:ascii="Arial" w:cs="Arial" w:eastAsia="Arial" w:hAnsi="Arial"/>
                <w:sz w:val="20"/>
                <w:szCs w:val="20"/>
                <w:color w:val="auto"/>
                <w:w w:val="89"/>
              </w:rPr>
              <w:t>$</w:t>
            </w:r>
          </w:p>
        </w:tc>
        <w:tc>
          <w:tcPr>
            <w:tcW w:w="1060" w:type="dxa"/>
            <w:vAlign w:val="bottom"/>
            <w:tcBorders>
              <w:bottom w:val="single" w:sz="8" w:color="auto"/>
            </w:tcBorders>
          </w:tcPr>
          <w:p>
            <w:pPr>
              <w:jc w:val="right"/>
              <w:ind w:right="161"/>
              <w:spacing w:after="0" w:line="220" w:lineRule="exact"/>
              <w:rPr>
                <w:sz w:val="20"/>
                <w:szCs w:val="20"/>
                <w:color w:val="auto"/>
              </w:rPr>
            </w:pPr>
            <w:r>
              <w:rPr>
                <w:rFonts w:ascii="Arial" w:cs="Arial" w:eastAsia="Arial" w:hAnsi="Arial"/>
                <w:sz w:val="20"/>
                <w:szCs w:val="20"/>
                <w:color w:val="auto"/>
              </w:rPr>
              <w:t>650</w:t>
            </w:r>
          </w:p>
        </w:tc>
      </w:tr>
      <w:tr>
        <w:trPr>
          <w:trHeight w:val="216"/>
        </w:trPr>
        <w:tc>
          <w:tcPr>
            <w:tcW w:w="9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220" w:type="dxa"/>
            <w:vAlign w:val="bottom"/>
            <w:shd w:val="clear" w:color="auto" w:fill="CFF0FC"/>
          </w:tcPr>
          <w:p>
            <w:pPr>
              <w:spacing w:after="0"/>
              <w:rPr>
                <w:sz w:val="18"/>
                <w:szCs w:val="18"/>
                <w:color w:val="auto"/>
              </w:rPr>
            </w:pPr>
          </w:p>
        </w:tc>
        <w:tc>
          <w:tcPr>
            <w:tcW w:w="26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r>
      <w:tr>
        <w:trPr>
          <w:trHeight w:val="196"/>
        </w:trPr>
        <w:tc>
          <w:tcPr>
            <w:tcW w:w="4640" w:type="dxa"/>
            <w:vAlign w:val="bottom"/>
            <w:gridSpan w:val="3"/>
          </w:tcPr>
          <w:p>
            <w:pPr>
              <w:spacing w:after="0" w:line="189" w:lineRule="exact"/>
              <w:rPr>
                <w:sz w:val="20"/>
                <w:szCs w:val="20"/>
                <w:color w:val="auto"/>
              </w:rPr>
            </w:pPr>
            <w:r>
              <w:rPr>
                <w:rFonts w:ascii="Arial" w:cs="Arial" w:eastAsia="Arial" w:hAnsi="Arial"/>
                <w:sz w:val="20"/>
                <w:szCs w:val="20"/>
                <w:color w:val="auto"/>
              </w:rPr>
              <w:t>Building Materials Business</w:t>
            </w:r>
          </w:p>
        </w:tc>
        <w:tc>
          <w:tcPr>
            <w:tcW w:w="2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6"/>
        </w:trPr>
        <w:tc>
          <w:tcPr>
            <w:tcW w:w="2420" w:type="dxa"/>
            <w:vAlign w:val="bottom"/>
            <w:tcBorders>
              <w:top w:val="single" w:sz="8" w:color="auto"/>
            </w:tcBorders>
            <w:gridSpan w:val="2"/>
            <w:shd w:val="clear" w:color="auto" w:fill="CFF0FC"/>
          </w:tcPr>
          <w:p>
            <w:pPr>
              <w:spacing w:after="0" w:line="216" w:lineRule="exact"/>
              <w:rPr>
                <w:sz w:val="20"/>
                <w:szCs w:val="20"/>
                <w:color w:val="auto"/>
              </w:rPr>
            </w:pPr>
            <w:r>
              <w:rPr>
                <w:rFonts w:ascii="Arial" w:cs="Arial" w:eastAsia="Arial" w:hAnsi="Arial"/>
                <w:sz w:val="20"/>
                <w:szCs w:val="20"/>
                <w:i w:val="1"/>
                <w:iCs w:val="1"/>
                <w:color w:val="auto"/>
              </w:rPr>
              <w:t>Aggregates</w:t>
            </w:r>
          </w:p>
        </w:tc>
        <w:tc>
          <w:tcPr>
            <w:tcW w:w="2220" w:type="dxa"/>
            <w:vAlign w:val="bottom"/>
            <w:shd w:val="clear" w:color="auto" w:fill="CFF0FC"/>
          </w:tcPr>
          <w:p>
            <w:pPr>
              <w:spacing w:after="0"/>
              <w:rPr>
                <w:sz w:val="18"/>
                <w:szCs w:val="18"/>
                <w:color w:val="auto"/>
              </w:rPr>
            </w:pPr>
          </w:p>
        </w:tc>
        <w:tc>
          <w:tcPr>
            <w:tcW w:w="26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r>
      <w:tr>
        <w:trPr>
          <w:trHeight w:val="243"/>
        </w:trPr>
        <w:tc>
          <w:tcPr>
            <w:tcW w:w="4640" w:type="dxa"/>
            <w:vAlign w:val="bottom"/>
            <w:gridSpan w:val="3"/>
          </w:tcPr>
          <w:p>
            <w:pPr>
              <w:spacing w:after="0" w:line="243" w:lineRule="exact"/>
              <w:rPr>
                <w:sz w:val="20"/>
                <w:szCs w:val="20"/>
                <w:color w:val="auto"/>
              </w:rPr>
            </w:pPr>
            <w:r>
              <w:rPr>
                <w:rFonts w:ascii="Arial" w:cs="Arial" w:eastAsia="Arial" w:hAnsi="Arial"/>
                <w:sz w:val="20"/>
                <w:szCs w:val="20"/>
                <w:color w:val="auto"/>
              </w:rPr>
              <w:t>Volume % growth</w:t>
            </w:r>
            <w:r>
              <w:rPr>
                <w:rFonts w:ascii="Arial" w:cs="Arial" w:eastAsia="Arial" w:hAnsi="Arial"/>
                <w:sz w:val="26"/>
                <w:szCs w:val="26"/>
                <w:color w:val="auto"/>
                <w:vertAlign w:val="superscript"/>
              </w:rPr>
              <w:t>2</w:t>
            </w:r>
          </w:p>
        </w:tc>
        <w:tc>
          <w:tcPr>
            <w:tcW w:w="26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12.5%</w:t>
            </w: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13.0%</w:t>
            </w: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13.5%</w:t>
            </w:r>
          </w:p>
        </w:tc>
      </w:tr>
      <w:tr>
        <w:trPr>
          <w:trHeight w:val="243"/>
        </w:trPr>
        <w:tc>
          <w:tcPr>
            <w:tcW w:w="4640" w:type="dxa"/>
            <w:vAlign w:val="bottom"/>
            <w:gridSpan w:val="3"/>
            <w:shd w:val="clear" w:color="auto" w:fill="CFF0FC"/>
          </w:tcPr>
          <w:p>
            <w:pPr>
              <w:spacing w:after="0" w:line="243" w:lineRule="exact"/>
              <w:rPr>
                <w:sz w:val="20"/>
                <w:szCs w:val="20"/>
                <w:color w:val="auto"/>
              </w:rPr>
            </w:pPr>
            <w:r>
              <w:rPr>
                <w:rFonts w:ascii="Arial" w:cs="Arial" w:eastAsia="Arial" w:hAnsi="Arial"/>
                <w:sz w:val="20"/>
                <w:szCs w:val="20"/>
                <w:color w:val="auto"/>
              </w:rPr>
              <w:t>ASP % growth</w:t>
            </w:r>
            <w:r>
              <w:rPr>
                <w:rFonts w:ascii="Arial" w:cs="Arial" w:eastAsia="Arial" w:hAnsi="Arial"/>
                <w:sz w:val="26"/>
                <w:szCs w:val="26"/>
                <w:color w:val="auto"/>
                <w:vertAlign w:val="superscript"/>
              </w:rPr>
              <w:t>3</w:t>
            </w:r>
          </w:p>
        </w:tc>
        <w:tc>
          <w:tcPr>
            <w:tcW w:w="26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(3.0)%</w:t>
            </w:r>
          </w:p>
        </w:tc>
        <w:tc>
          <w:tcPr>
            <w:tcW w:w="4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(2.5)%</w:t>
            </w:r>
          </w:p>
        </w:tc>
        <w:tc>
          <w:tcPr>
            <w:tcW w:w="4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w:t>
            </w:r>
          </w:p>
        </w:tc>
      </w:tr>
      <w:tr>
        <w:trPr>
          <w:trHeight w:val="216"/>
        </w:trPr>
        <w:tc>
          <w:tcPr>
            <w:tcW w:w="4640" w:type="dxa"/>
            <w:vAlign w:val="bottom"/>
            <w:gridSpan w:val="3"/>
          </w:tcPr>
          <w:p>
            <w:pPr>
              <w:spacing w:after="0" w:line="216" w:lineRule="exact"/>
              <w:rPr>
                <w:sz w:val="20"/>
                <w:szCs w:val="20"/>
                <w:color w:val="auto"/>
              </w:rPr>
            </w:pPr>
            <w:r>
              <w:rPr>
                <w:rFonts w:ascii="Arial" w:cs="Arial" w:eastAsia="Arial" w:hAnsi="Arial"/>
                <w:sz w:val="20"/>
                <w:szCs w:val="20"/>
                <w:color w:val="auto"/>
              </w:rPr>
              <w:t>Gross profit</w:t>
            </w:r>
          </w:p>
        </w:tc>
        <w:tc>
          <w:tcPr>
            <w:tcW w:w="2620" w:type="dxa"/>
            <w:vAlign w:val="bottom"/>
          </w:tcPr>
          <w:p>
            <w:pPr>
              <w:jc w:val="right"/>
              <w:ind w:right="181"/>
              <w:spacing w:after="0" w:line="216" w:lineRule="exact"/>
              <w:rPr>
                <w:sz w:val="20"/>
                <w:szCs w:val="20"/>
                <w:color w:val="auto"/>
              </w:rPr>
            </w:pPr>
            <w:r>
              <w:rPr>
                <w:rFonts w:ascii="Arial" w:cs="Arial" w:eastAsia="Arial" w:hAnsi="Arial"/>
                <w:sz w:val="20"/>
                <w:szCs w:val="20"/>
                <w:color w:val="auto"/>
              </w:rPr>
              <w:t>$</w:t>
            </w:r>
          </w:p>
        </w:tc>
        <w:tc>
          <w:tcPr>
            <w:tcW w:w="1060" w:type="dxa"/>
            <w:vAlign w:val="bottom"/>
          </w:tcPr>
          <w:p>
            <w:pPr>
              <w:jc w:val="right"/>
              <w:ind w:right="161"/>
              <w:spacing w:after="0" w:line="216" w:lineRule="exact"/>
              <w:rPr>
                <w:sz w:val="20"/>
                <w:szCs w:val="20"/>
                <w:color w:val="auto"/>
              </w:rPr>
            </w:pPr>
            <w:r>
              <w:rPr>
                <w:rFonts w:ascii="Arial" w:cs="Arial" w:eastAsia="Arial" w:hAnsi="Arial"/>
                <w:sz w:val="20"/>
                <w:szCs w:val="20"/>
                <w:color w:val="auto"/>
              </w:rPr>
              <w:t>1,540</w:t>
            </w:r>
          </w:p>
        </w:tc>
        <w:tc>
          <w:tcPr>
            <w:tcW w:w="400" w:type="dxa"/>
            <w:vAlign w:val="bottom"/>
          </w:tcPr>
          <w:p>
            <w:pPr>
              <w:jc w:val="right"/>
              <w:ind w:right="181"/>
              <w:spacing w:after="0" w:line="216" w:lineRule="exact"/>
              <w:rPr>
                <w:sz w:val="20"/>
                <w:szCs w:val="20"/>
                <w:color w:val="auto"/>
              </w:rPr>
            </w:pPr>
            <w:r>
              <w:rPr>
                <w:rFonts w:ascii="Arial" w:cs="Arial" w:eastAsia="Arial" w:hAnsi="Arial"/>
                <w:sz w:val="20"/>
                <w:szCs w:val="20"/>
                <w:color w:val="auto"/>
                <w:w w:val="89"/>
              </w:rPr>
              <w:t>$</w:t>
            </w:r>
          </w:p>
        </w:tc>
        <w:tc>
          <w:tcPr>
            <w:tcW w:w="1060" w:type="dxa"/>
            <w:vAlign w:val="bottom"/>
          </w:tcPr>
          <w:p>
            <w:pPr>
              <w:jc w:val="right"/>
              <w:ind w:right="161"/>
              <w:spacing w:after="0" w:line="216" w:lineRule="exact"/>
              <w:rPr>
                <w:sz w:val="20"/>
                <w:szCs w:val="20"/>
                <w:color w:val="auto"/>
              </w:rPr>
            </w:pPr>
            <w:r>
              <w:rPr>
                <w:rFonts w:ascii="Arial" w:cs="Arial" w:eastAsia="Arial" w:hAnsi="Arial"/>
                <w:sz w:val="20"/>
                <w:szCs w:val="20"/>
                <w:color w:val="auto"/>
              </w:rPr>
              <w:t>1,590</w:t>
            </w:r>
          </w:p>
        </w:tc>
        <w:tc>
          <w:tcPr>
            <w:tcW w:w="400" w:type="dxa"/>
            <w:vAlign w:val="bottom"/>
          </w:tcPr>
          <w:p>
            <w:pPr>
              <w:jc w:val="right"/>
              <w:ind w:right="181"/>
              <w:spacing w:after="0" w:line="216" w:lineRule="exact"/>
              <w:rPr>
                <w:sz w:val="20"/>
                <w:szCs w:val="20"/>
                <w:color w:val="auto"/>
              </w:rPr>
            </w:pPr>
            <w:r>
              <w:rPr>
                <w:rFonts w:ascii="Arial" w:cs="Arial" w:eastAsia="Arial" w:hAnsi="Arial"/>
                <w:sz w:val="20"/>
                <w:szCs w:val="20"/>
                <w:color w:val="auto"/>
                <w:w w:val="89"/>
              </w:rPr>
              <w:t>$</w:t>
            </w:r>
          </w:p>
        </w:tc>
        <w:tc>
          <w:tcPr>
            <w:tcW w:w="1060" w:type="dxa"/>
            <w:vAlign w:val="bottom"/>
          </w:tcPr>
          <w:p>
            <w:pPr>
              <w:jc w:val="right"/>
              <w:ind w:right="161"/>
              <w:spacing w:after="0" w:line="216" w:lineRule="exact"/>
              <w:rPr>
                <w:sz w:val="20"/>
                <w:szCs w:val="20"/>
                <w:color w:val="auto"/>
              </w:rPr>
            </w:pPr>
            <w:r>
              <w:rPr>
                <w:rFonts w:ascii="Arial" w:cs="Arial" w:eastAsia="Arial" w:hAnsi="Arial"/>
                <w:sz w:val="20"/>
                <w:szCs w:val="20"/>
                <w:color w:val="auto"/>
              </w:rPr>
              <w:t>1,640</w:t>
            </w:r>
          </w:p>
        </w:tc>
      </w:tr>
      <w:tr>
        <w:trPr>
          <w:trHeight w:val="216"/>
        </w:trPr>
        <w:tc>
          <w:tcPr>
            <w:tcW w:w="9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220" w:type="dxa"/>
            <w:vAlign w:val="bottom"/>
            <w:shd w:val="clear" w:color="auto" w:fill="CFF0FC"/>
          </w:tcPr>
          <w:p>
            <w:pPr>
              <w:spacing w:after="0"/>
              <w:rPr>
                <w:sz w:val="18"/>
                <w:szCs w:val="18"/>
                <w:color w:val="auto"/>
              </w:rPr>
            </w:pPr>
          </w:p>
        </w:tc>
        <w:tc>
          <w:tcPr>
            <w:tcW w:w="26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r>
      <w:tr>
        <w:trPr>
          <w:trHeight w:val="216"/>
        </w:trPr>
        <w:tc>
          <w:tcPr>
            <w:tcW w:w="4640" w:type="dxa"/>
            <w:vAlign w:val="bottom"/>
            <w:gridSpan w:val="3"/>
          </w:tcPr>
          <w:p>
            <w:pPr>
              <w:spacing w:after="0" w:line="216" w:lineRule="exact"/>
              <w:rPr>
                <w:sz w:val="20"/>
                <w:szCs w:val="20"/>
                <w:color w:val="auto"/>
              </w:rPr>
            </w:pPr>
            <w:r>
              <w:rPr>
                <w:rFonts w:ascii="Arial" w:cs="Arial" w:eastAsia="Arial" w:hAnsi="Arial"/>
                <w:sz w:val="20"/>
                <w:szCs w:val="20"/>
                <w:i w:val="1"/>
                <w:iCs w:val="1"/>
                <w:color w:val="auto"/>
              </w:rPr>
              <w:t>Other Building Materials</w:t>
            </w:r>
          </w:p>
        </w:tc>
        <w:tc>
          <w:tcPr>
            <w:tcW w:w="2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4640" w:type="dxa"/>
            <w:vAlign w:val="bottom"/>
            <w:gridSpan w:val="3"/>
            <w:shd w:val="clear" w:color="auto" w:fill="CFF0FC"/>
          </w:tcPr>
          <w:p>
            <w:pPr>
              <w:spacing w:after="0" w:line="216" w:lineRule="exact"/>
              <w:rPr>
                <w:sz w:val="20"/>
                <w:szCs w:val="20"/>
                <w:color w:val="auto"/>
              </w:rPr>
            </w:pPr>
            <w:r>
              <w:rPr>
                <w:rFonts w:ascii="Arial" w:cs="Arial" w:eastAsia="Arial" w:hAnsi="Arial"/>
                <w:sz w:val="20"/>
                <w:szCs w:val="20"/>
                <w:color w:val="auto"/>
              </w:rPr>
              <w:t>Gross profit</w:t>
            </w:r>
          </w:p>
        </w:tc>
        <w:tc>
          <w:tcPr>
            <w:tcW w:w="2620" w:type="dxa"/>
            <w:vAlign w:val="bottom"/>
            <w:shd w:val="clear" w:color="auto" w:fill="CFF0FC"/>
          </w:tcPr>
          <w:p>
            <w:pPr>
              <w:jc w:val="right"/>
              <w:ind w:right="181"/>
              <w:spacing w:after="0" w:line="216" w:lineRule="exact"/>
              <w:rPr>
                <w:sz w:val="20"/>
                <w:szCs w:val="20"/>
                <w:color w:val="auto"/>
              </w:rPr>
            </w:pPr>
            <w:r>
              <w:rPr>
                <w:rFonts w:ascii="Arial" w:cs="Arial" w:eastAsia="Arial" w:hAnsi="Arial"/>
                <w:sz w:val="20"/>
                <w:szCs w:val="20"/>
                <w:color w:val="auto"/>
              </w:rPr>
              <w:t>$</w:t>
            </w:r>
          </w:p>
        </w:tc>
        <w:tc>
          <w:tcPr>
            <w:tcW w:w="1060" w:type="dxa"/>
            <w:vAlign w:val="bottom"/>
            <w:shd w:val="clear" w:color="auto" w:fill="CFF0FC"/>
          </w:tcPr>
          <w:p>
            <w:pPr>
              <w:jc w:val="right"/>
              <w:ind w:right="161"/>
              <w:spacing w:after="0" w:line="216" w:lineRule="exact"/>
              <w:rPr>
                <w:sz w:val="20"/>
                <w:szCs w:val="20"/>
                <w:color w:val="auto"/>
              </w:rPr>
            </w:pPr>
            <w:r>
              <w:rPr>
                <w:rFonts w:ascii="Arial" w:cs="Arial" w:eastAsia="Arial" w:hAnsi="Arial"/>
                <w:sz w:val="20"/>
                <w:szCs w:val="20"/>
                <w:color w:val="auto"/>
              </w:rPr>
              <w:t>96</w:t>
            </w:r>
          </w:p>
        </w:tc>
        <w:tc>
          <w:tcPr>
            <w:tcW w:w="400" w:type="dxa"/>
            <w:vAlign w:val="bottom"/>
            <w:shd w:val="clear" w:color="auto" w:fill="CFF0FC"/>
          </w:tcPr>
          <w:p>
            <w:pPr>
              <w:jc w:val="right"/>
              <w:ind w:right="181"/>
              <w:spacing w:after="0" w:line="216" w:lineRule="exact"/>
              <w:rPr>
                <w:sz w:val="20"/>
                <w:szCs w:val="20"/>
                <w:color w:val="auto"/>
              </w:rPr>
            </w:pPr>
            <w:r>
              <w:rPr>
                <w:rFonts w:ascii="Arial" w:cs="Arial" w:eastAsia="Arial" w:hAnsi="Arial"/>
                <w:sz w:val="20"/>
                <w:szCs w:val="20"/>
                <w:color w:val="auto"/>
                <w:w w:val="89"/>
              </w:rPr>
              <w:t>$</w:t>
            </w:r>
          </w:p>
        </w:tc>
        <w:tc>
          <w:tcPr>
            <w:tcW w:w="1060" w:type="dxa"/>
            <w:vAlign w:val="bottom"/>
            <w:shd w:val="clear" w:color="auto" w:fill="CFF0FC"/>
          </w:tcPr>
          <w:p>
            <w:pPr>
              <w:jc w:val="right"/>
              <w:ind w:right="161"/>
              <w:spacing w:after="0" w:line="216" w:lineRule="exact"/>
              <w:rPr>
                <w:sz w:val="20"/>
                <w:szCs w:val="20"/>
                <w:color w:val="auto"/>
              </w:rPr>
            </w:pPr>
            <w:r>
              <w:rPr>
                <w:rFonts w:ascii="Arial" w:cs="Arial" w:eastAsia="Arial" w:hAnsi="Arial"/>
                <w:sz w:val="20"/>
                <w:szCs w:val="20"/>
                <w:color w:val="auto"/>
              </w:rPr>
              <w:t>106</w:t>
            </w:r>
          </w:p>
        </w:tc>
        <w:tc>
          <w:tcPr>
            <w:tcW w:w="400" w:type="dxa"/>
            <w:vAlign w:val="bottom"/>
            <w:shd w:val="clear" w:color="auto" w:fill="CFF0FC"/>
          </w:tcPr>
          <w:p>
            <w:pPr>
              <w:jc w:val="right"/>
              <w:ind w:right="181"/>
              <w:spacing w:after="0" w:line="216" w:lineRule="exact"/>
              <w:rPr>
                <w:sz w:val="20"/>
                <w:szCs w:val="20"/>
                <w:color w:val="auto"/>
              </w:rPr>
            </w:pPr>
            <w:r>
              <w:rPr>
                <w:rFonts w:ascii="Arial" w:cs="Arial" w:eastAsia="Arial" w:hAnsi="Arial"/>
                <w:sz w:val="20"/>
                <w:szCs w:val="20"/>
                <w:color w:val="auto"/>
                <w:w w:val="89"/>
              </w:rPr>
              <w:t>$</w:t>
            </w:r>
          </w:p>
        </w:tc>
        <w:tc>
          <w:tcPr>
            <w:tcW w:w="1060" w:type="dxa"/>
            <w:vAlign w:val="bottom"/>
            <w:shd w:val="clear" w:color="auto" w:fill="CFF0FC"/>
          </w:tcPr>
          <w:p>
            <w:pPr>
              <w:jc w:val="right"/>
              <w:ind w:right="161"/>
              <w:spacing w:after="0" w:line="216" w:lineRule="exact"/>
              <w:rPr>
                <w:sz w:val="20"/>
                <w:szCs w:val="20"/>
                <w:color w:val="auto"/>
              </w:rPr>
            </w:pPr>
            <w:r>
              <w:rPr>
                <w:rFonts w:ascii="Arial" w:cs="Arial" w:eastAsia="Arial" w:hAnsi="Arial"/>
                <w:sz w:val="20"/>
                <w:szCs w:val="20"/>
                <w:color w:val="auto"/>
              </w:rPr>
              <w:t>116</w:t>
            </w:r>
          </w:p>
        </w:tc>
      </w:tr>
      <w:tr>
        <w:trPr>
          <w:trHeight w:val="216"/>
        </w:trPr>
        <w:tc>
          <w:tcPr>
            <w:tcW w:w="9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189"/>
        </w:trPr>
        <w:tc>
          <w:tcPr>
            <w:tcW w:w="4640" w:type="dxa"/>
            <w:vAlign w:val="bottom"/>
            <w:gridSpan w:val="3"/>
            <w:shd w:val="clear" w:color="auto" w:fill="CFF0FC"/>
          </w:tcPr>
          <w:p>
            <w:pPr>
              <w:spacing w:after="0" w:line="189" w:lineRule="exact"/>
              <w:rPr>
                <w:sz w:val="20"/>
                <w:szCs w:val="20"/>
                <w:color w:val="auto"/>
              </w:rPr>
            </w:pPr>
            <w:r>
              <w:rPr>
                <w:rFonts w:ascii="Arial" w:cs="Arial" w:eastAsia="Arial" w:hAnsi="Arial"/>
                <w:sz w:val="20"/>
                <w:szCs w:val="20"/>
                <w:color w:val="auto"/>
              </w:rPr>
              <w:t>Specialties</w:t>
            </w:r>
          </w:p>
        </w:tc>
        <w:tc>
          <w:tcPr>
            <w:tcW w:w="26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r>
      <w:tr>
        <w:trPr>
          <w:trHeight w:val="27"/>
        </w:trPr>
        <w:tc>
          <w:tcPr>
            <w:tcW w:w="960" w:type="dxa"/>
            <w:vAlign w:val="bottom"/>
            <w:shd w:val="clear" w:color="auto" w:fill="000000"/>
          </w:tcPr>
          <w:p>
            <w:pPr>
              <w:spacing w:after="0"/>
              <w:rPr>
                <w:sz w:val="2"/>
                <w:szCs w:val="2"/>
                <w:color w:val="auto"/>
              </w:rPr>
            </w:pPr>
          </w:p>
        </w:tc>
        <w:tc>
          <w:tcPr>
            <w:tcW w:w="1460" w:type="dxa"/>
            <w:vAlign w:val="bottom"/>
            <w:shd w:val="clear" w:color="auto" w:fill="CFF0FC"/>
          </w:tcPr>
          <w:p>
            <w:pPr>
              <w:spacing w:after="0"/>
              <w:rPr>
                <w:sz w:val="2"/>
                <w:szCs w:val="2"/>
                <w:color w:val="auto"/>
              </w:rPr>
            </w:pPr>
          </w:p>
        </w:tc>
        <w:tc>
          <w:tcPr>
            <w:tcW w:w="2220" w:type="dxa"/>
            <w:vAlign w:val="bottom"/>
            <w:shd w:val="clear" w:color="auto" w:fill="CFF0FC"/>
          </w:tcPr>
          <w:p>
            <w:pPr>
              <w:spacing w:after="0"/>
              <w:rPr>
                <w:sz w:val="2"/>
                <w:szCs w:val="2"/>
                <w:color w:val="auto"/>
              </w:rPr>
            </w:pPr>
          </w:p>
        </w:tc>
        <w:tc>
          <w:tcPr>
            <w:tcW w:w="26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r>
      <w:tr>
        <w:trPr>
          <w:trHeight w:val="236"/>
        </w:trPr>
        <w:tc>
          <w:tcPr>
            <w:tcW w:w="4640" w:type="dxa"/>
            <w:vAlign w:val="bottom"/>
            <w:tcBorders>
              <w:bottom w:val="single" w:sz="8" w:color="auto"/>
            </w:tcBorders>
            <w:gridSpan w:val="3"/>
          </w:tcPr>
          <w:p>
            <w:pPr>
              <w:spacing w:after="0" w:line="216" w:lineRule="exact"/>
              <w:rPr>
                <w:sz w:val="20"/>
                <w:szCs w:val="20"/>
                <w:color w:val="auto"/>
              </w:rPr>
            </w:pPr>
            <w:r>
              <w:rPr>
                <w:rFonts w:ascii="Arial" w:cs="Arial" w:eastAsia="Arial" w:hAnsi="Arial"/>
                <w:sz w:val="20"/>
                <w:szCs w:val="20"/>
                <w:color w:val="auto"/>
              </w:rPr>
              <w:t>Gross profit</w:t>
            </w:r>
          </w:p>
        </w:tc>
        <w:tc>
          <w:tcPr>
            <w:tcW w:w="2620" w:type="dxa"/>
            <w:vAlign w:val="bottom"/>
            <w:tcBorders>
              <w:bottom w:val="single" w:sz="8" w:color="auto"/>
            </w:tcBorders>
          </w:tcPr>
          <w:p>
            <w:pPr>
              <w:jc w:val="right"/>
              <w:ind w:right="181"/>
              <w:spacing w:after="0" w:line="216" w:lineRule="exact"/>
              <w:rPr>
                <w:sz w:val="20"/>
                <w:szCs w:val="20"/>
                <w:color w:val="auto"/>
              </w:rPr>
            </w:pPr>
            <w:r>
              <w:rPr>
                <w:rFonts w:ascii="Arial" w:cs="Arial" w:eastAsia="Arial" w:hAnsi="Arial"/>
                <w:sz w:val="20"/>
                <w:szCs w:val="20"/>
                <w:color w:val="auto"/>
              </w:rPr>
              <w:t>$</w:t>
            </w:r>
          </w:p>
        </w:tc>
        <w:tc>
          <w:tcPr>
            <w:tcW w:w="1060" w:type="dxa"/>
            <w:vAlign w:val="bottom"/>
            <w:tcBorders>
              <w:bottom w:val="single" w:sz="8" w:color="auto"/>
            </w:tcBorders>
          </w:tcPr>
          <w:p>
            <w:pPr>
              <w:jc w:val="right"/>
              <w:ind w:right="161"/>
              <w:spacing w:after="0" w:line="216" w:lineRule="exact"/>
              <w:rPr>
                <w:sz w:val="20"/>
                <w:szCs w:val="20"/>
                <w:color w:val="auto"/>
              </w:rPr>
            </w:pPr>
            <w:r>
              <w:rPr>
                <w:rFonts w:ascii="Arial" w:cs="Arial" w:eastAsia="Arial" w:hAnsi="Arial"/>
                <w:sz w:val="20"/>
                <w:szCs w:val="20"/>
                <w:color w:val="auto"/>
              </w:rPr>
              <w:t>345</w:t>
            </w:r>
          </w:p>
        </w:tc>
        <w:tc>
          <w:tcPr>
            <w:tcW w:w="400" w:type="dxa"/>
            <w:vAlign w:val="bottom"/>
            <w:tcBorders>
              <w:bottom w:val="single" w:sz="8" w:color="auto"/>
            </w:tcBorders>
          </w:tcPr>
          <w:p>
            <w:pPr>
              <w:jc w:val="right"/>
              <w:ind w:right="181"/>
              <w:spacing w:after="0" w:line="216" w:lineRule="exact"/>
              <w:rPr>
                <w:sz w:val="20"/>
                <w:szCs w:val="20"/>
                <w:color w:val="auto"/>
              </w:rPr>
            </w:pPr>
            <w:r>
              <w:rPr>
                <w:rFonts w:ascii="Arial" w:cs="Arial" w:eastAsia="Arial" w:hAnsi="Arial"/>
                <w:sz w:val="20"/>
                <w:szCs w:val="20"/>
                <w:color w:val="auto"/>
                <w:w w:val="89"/>
              </w:rPr>
              <w:t>$</w:t>
            </w:r>
          </w:p>
        </w:tc>
        <w:tc>
          <w:tcPr>
            <w:tcW w:w="1060" w:type="dxa"/>
            <w:vAlign w:val="bottom"/>
            <w:tcBorders>
              <w:bottom w:val="single" w:sz="8" w:color="auto"/>
            </w:tcBorders>
          </w:tcPr>
          <w:p>
            <w:pPr>
              <w:jc w:val="right"/>
              <w:ind w:right="161"/>
              <w:spacing w:after="0" w:line="216" w:lineRule="exact"/>
              <w:rPr>
                <w:sz w:val="20"/>
                <w:szCs w:val="20"/>
                <w:color w:val="auto"/>
              </w:rPr>
            </w:pPr>
            <w:r>
              <w:rPr>
                <w:rFonts w:ascii="Arial" w:cs="Arial" w:eastAsia="Arial" w:hAnsi="Arial"/>
                <w:sz w:val="20"/>
                <w:szCs w:val="20"/>
                <w:color w:val="auto"/>
              </w:rPr>
              <w:t>375</w:t>
            </w:r>
          </w:p>
        </w:tc>
        <w:tc>
          <w:tcPr>
            <w:tcW w:w="400" w:type="dxa"/>
            <w:vAlign w:val="bottom"/>
            <w:tcBorders>
              <w:bottom w:val="single" w:sz="8" w:color="auto"/>
            </w:tcBorders>
          </w:tcPr>
          <w:p>
            <w:pPr>
              <w:jc w:val="right"/>
              <w:ind w:right="181"/>
              <w:spacing w:after="0" w:line="216" w:lineRule="exact"/>
              <w:rPr>
                <w:sz w:val="20"/>
                <w:szCs w:val="20"/>
                <w:color w:val="auto"/>
              </w:rPr>
            </w:pPr>
            <w:r>
              <w:rPr>
                <w:rFonts w:ascii="Arial" w:cs="Arial" w:eastAsia="Arial" w:hAnsi="Arial"/>
                <w:sz w:val="20"/>
                <w:szCs w:val="20"/>
                <w:color w:val="auto"/>
                <w:w w:val="89"/>
              </w:rPr>
              <w:t>$</w:t>
            </w:r>
          </w:p>
        </w:tc>
        <w:tc>
          <w:tcPr>
            <w:tcW w:w="1060" w:type="dxa"/>
            <w:vAlign w:val="bottom"/>
            <w:tcBorders>
              <w:bottom w:val="single" w:sz="8" w:color="auto"/>
            </w:tcBorders>
          </w:tcPr>
          <w:p>
            <w:pPr>
              <w:jc w:val="right"/>
              <w:ind w:right="161"/>
              <w:spacing w:after="0" w:line="216" w:lineRule="exact"/>
              <w:rPr>
                <w:sz w:val="20"/>
                <w:szCs w:val="20"/>
                <w:color w:val="auto"/>
              </w:rPr>
            </w:pPr>
            <w:r>
              <w:rPr>
                <w:rFonts w:ascii="Arial" w:cs="Arial" w:eastAsia="Arial" w:hAnsi="Arial"/>
                <w:sz w:val="20"/>
                <w:szCs w:val="20"/>
                <w:color w:val="auto"/>
              </w:rPr>
              <w:t>405</w:t>
            </w:r>
          </w:p>
        </w:tc>
      </w:tr>
    </w:tbl>
    <w:p>
      <w:pPr>
        <w:spacing w:after="0" w:line="140" w:lineRule="exact"/>
        <w:rPr>
          <w:sz w:val="20"/>
          <w:szCs w:val="20"/>
          <w:color w:val="auto"/>
        </w:rPr>
      </w:pPr>
    </w:p>
    <w:p>
      <w:pPr>
        <w:ind w:left="300" w:hanging="202"/>
        <w:spacing w:after="0" w:line="205" w:lineRule="auto"/>
        <w:tabs>
          <w:tab w:leader="none" w:pos="241" w:val="left"/>
        </w:tabs>
        <w:numPr>
          <w:ilvl w:val="0"/>
          <w:numId w:val="5"/>
        </w:numPr>
        <w:rPr>
          <w:rFonts w:ascii="Arial" w:cs="Arial" w:eastAsia="Arial" w:hAnsi="Arial"/>
          <w:sz w:val="27"/>
          <w:szCs w:val="27"/>
          <w:i w:val="1"/>
          <w:iCs w:val="1"/>
          <w:color w:val="auto"/>
          <w:vertAlign w:val="superscript"/>
        </w:rPr>
      </w:pPr>
      <w:r>
        <w:rPr>
          <w:rFonts w:ascii="Arial" w:cs="Arial" w:eastAsia="Arial" w:hAnsi="Arial"/>
          <w:sz w:val="20"/>
          <w:szCs w:val="20"/>
          <w:i w:val="1"/>
          <w:iCs w:val="1"/>
          <w:color w:val="auto"/>
        </w:rPr>
        <w:t>Non-GAAP financial measure; see page 16 for reconciliation to net earnings from continuing operations attributable to Martin Marietta.</w:t>
      </w:r>
    </w:p>
    <w:p>
      <w:pPr>
        <w:ind w:left="220" w:hanging="122"/>
        <w:spacing w:after="0" w:line="193" w:lineRule="auto"/>
        <w:tabs>
          <w:tab w:leader="none" w:pos="220" w:val="left"/>
        </w:tabs>
        <w:numPr>
          <w:ilvl w:val="0"/>
          <w:numId w:val="6"/>
        </w:numPr>
        <w:rPr>
          <w:rFonts w:ascii="Arial" w:cs="Arial" w:eastAsia="Arial" w:hAnsi="Arial"/>
          <w:sz w:val="25"/>
          <w:szCs w:val="25"/>
          <w:i w:val="1"/>
          <w:iCs w:val="1"/>
          <w:color w:val="auto"/>
          <w:vertAlign w:val="superscript"/>
        </w:rPr>
      </w:pPr>
      <w:r>
        <w:rPr>
          <w:rFonts w:ascii="Arial" w:cs="Arial" w:eastAsia="Arial" w:hAnsi="Arial"/>
          <w:sz w:val="19"/>
          <w:szCs w:val="19"/>
          <w:i w:val="1"/>
          <w:iCs w:val="1"/>
          <w:color w:val="auto"/>
        </w:rPr>
        <w:t>Volume change is based on total aggregates shipments and is in comparison to 2025 shipments of 198.5 million tons.</w:t>
      </w:r>
    </w:p>
    <w:p>
      <w:pPr>
        <w:ind w:left="100"/>
        <w:spacing w:after="0"/>
        <w:rPr>
          <w:rFonts w:ascii="Arial" w:cs="Arial" w:eastAsia="Arial" w:hAnsi="Arial"/>
          <w:sz w:val="25"/>
          <w:szCs w:val="25"/>
          <w:i w:val="1"/>
          <w:iCs w:val="1"/>
          <w:color w:val="auto"/>
          <w:vertAlign w:val="superscript"/>
        </w:rPr>
      </w:pPr>
      <w:r>
        <w:rPr>
          <w:rFonts w:ascii="Arial" w:cs="Arial" w:eastAsia="Arial" w:hAnsi="Arial"/>
          <w:sz w:val="26"/>
          <w:szCs w:val="26"/>
          <w:i w:val="1"/>
          <w:iCs w:val="1"/>
          <w:color w:val="auto"/>
          <w:vertAlign w:val="superscript"/>
        </w:rPr>
        <w:t>3</w:t>
      </w:r>
      <w:r>
        <w:rPr>
          <w:rFonts w:ascii="Arial" w:cs="Arial" w:eastAsia="Arial" w:hAnsi="Arial"/>
          <w:sz w:val="20"/>
          <w:szCs w:val="20"/>
          <w:i w:val="1"/>
          <w:iCs w:val="1"/>
          <w:color w:val="auto"/>
        </w:rPr>
        <w:t xml:space="preserve"> ASP change is based on aggregates average selling price and is in comparison to 2025 ASP of $23.30 per ton.</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6251575</wp:posOffset>
            </wp:positionH>
            <wp:positionV relativeFrom="page">
              <wp:posOffset>500380</wp:posOffset>
            </wp:positionV>
            <wp:extent cx="1088390" cy="3168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088390" cy="31686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29"/>
          <w:szCs w:val="29"/>
          <w:color w:val="007DC6"/>
        </w:rPr>
        <w:t>Non-GAAP Financial Information</w:t>
      </w:r>
    </w:p>
    <w:p>
      <w:pPr>
        <w:spacing w:after="0" w:line="123"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This earnings release includes financial measures not prepared in accordance with United States generally accepted accounting principles (GAAP). Reconciliations of these non-GAAP financial measures to the most comparable GAAP measures are provided in the Appendix. Management believes these non-GAAP measures are widely used by investors to evaluate the Company’s performance and, when considered alongside the Company’s consolidated financial statements, offer valuable insight into the Company’s ongoing and expected business results. These measures also inform internal evaluations of overall business performance. Management recognizes that reported results are influenced by numerous factors, and the adjustments in non-GAAP measures may not reflect all such impacts. Additionally, these measures may not be comparable to similarly titled measures used by other companies.</w:t>
      </w:r>
    </w:p>
    <w:p>
      <w:pPr>
        <w:spacing w:after="0" w:line="55" w:lineRule="exact"/>
        <w:rPr>
          <w:sz w:val="20"/>
          <w:szCs w:val="20"/>
          <w:color w:val="auto"/>
        </w:rPr>
      </w:pPr>
    </w:p>
    <w:p>
      <w:pPr>
        <w:spacing w:after="0"/>
        <w:rPr>
          <w:sz w:val="20"/>
          <w:szCs w:val="20"/>
          <w:color w:val="auto"/>
        </w:rPr>
      </w:pPr>
      <w:r>
        <w:rPr>
          <w:rFonts w:ascii="Arial" w:cs="Arial" w:eastAsia="Arial" w:hAnsi="Arial"/>
          <w:sz w:val="29"/>
          <w:szCs w:val="29"/>
          <w:color w:val="007DC6"/>
        </w:rPr>
        <w:t>Conference Call Information</w:t>
      </w:r>
    </w:p>
    <w:p>
      <w:pPr>
        <w:spacing w:after="0" w:line="123"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 xml:space="preserve">Martin Marietta will discuss its third-quarter 2026 earnings results today, November 4, 2026, via a conference call and live webcast beginning at 10:00 a.m. Eastern Time. To participate, dial +1 (646) 307-1963 and enter conference ID 9935145. Participants are encouraged to dial in at least 15 minutes before the scheduled start time to ensure a timely connection. An on-demand replay will be posted to the Company's website approximately two hours after the conclusion of the live broadcast and will be available for one year. Access links for both the live and archived events, along with the Q3 2026 Supplemental Information, are available on the </w:t>
      </w:r>
      <w:r>
        <w:rPr>
          <w:rFonts w:ascii="Arial" w:cs="Arial" w:eastAsia="Arial" w:hAnsi="Arial"/>
          <w:sz w:val="20"/>
          <w:szCs w:val="20"/>
          <w:b w:val="1"/>
          <w:bCs w:val="1"/>
          <w:color w:val="auto"/>
        </w:rPr>
        <w:t>Investors</w:t>
      </w:r>
      <w:r>
        <w:rPr>
          <w:rFonts w:ascii="Arial" w:cs="Arial" w:eastAsia="Arial" w:hAnsi="Arial"/>
          <w:sz w:val="20"/>
          <w:szCs w:val="20"/>
          <w:color w:val="auto"/>
        </w:rPr>
        <w:t xml:space="preserve"> section of the Company's website.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3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6251575</wp:posOffset>
            </wp:positionH>
            <wp:positionV relativeFrom="page">
              <wp:posOffset>500380</wp:posOffset>
            </wp:positionV>
            <wp:extent cx="1088390" cy="3168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088390" cy="316865"/>
                    </a:xfrm>
                    <a:prstGeom prst="rect">
                      <a:avLst/>
                    </a:prstGeom>
                    <a:noFill/>
                  </pic:spPr>
                </pic:pic>
              </a:graphicData>
            </a:graphic>
          </wp:anchor>
        </w:drawing>
      </w:r>
    </w:p>
    <w:p>
      <w:pPr>
        <w:spacing w:after="0"/>
        <w:rPr>
          <w:sz w:val="20"/>
          <w:szCs w:val="20"/>
          <w:color w:val="auto"/>
        </w:rPr>
      </w:pPr>
      <w:r>
        <w:rPr>
          <w:rFonts w:ascii="Arial" w:cs="Arial" w:eastAsia="Arial" w:hAnsi="Arial"/>
          <w:sz w:val="29"/>
          <w:szCs w:val="29"/>
          <w:color w:val="007DC6"/>
        </w:rPr>
        <w:t>About Martin Marietta</w:t>
      </w:r>
    </w:p>
    <w:p>
      <w:pPr>
        <w:spacing w:after="0" w:line="123"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Martin Marietta, a member of the S&amp;P 500 Index, is an American-based company and a leading supplier of aggregates, lime and limestone products, magnesia-based products and other building materials. Supported by industry-leading reserves and a network of operations across the United States, Canada and the Caribbean, Martin Marietta supplies the essential materials that help build, connect and sustain communities across North America. For more information, visit www.martinmarietta.com or www.magnesiaspecialties.com.</w:t>
      </w:r>
    </w:p>
    <w:p>
      <w:pPr>
        <w:spacing w:after="0" w:line="66" w:lineRule="exact"/>
        <w:rPr>
          <w:sz w:val="20"/>
          <w:szCs w:val="20"/>
          <w:color w:val="auto"/>
        </w:rPr>
      </w:pPr>
    </w:p>
    <w:p>
      <w:pPr>
        <w:spacing w:after="0"/>
        <w:rPr>
          <w:sz w:val="20"/>
          <w:szCs w:val="20"/>
          <w:color w:val="auto"/>
        </w:rPr>
      </w:pPr>
      <w:r>
        <w:rPr>
          <w:rFonts w:ascii="Arial" w:cs="Arial" w:eastAsia="Arial" w:hAnsi="Arial"/>
          <w:sz w:val="25"/>
          <w:szCs w:val="25"/>
          <w:color w:val="auto"/>
        </w:rPr>
        <w:t>Investor Contact:</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007DC6"/>
        </w:rPr>
        <w:t>Jacklyn Rooker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Investor Relations</w:t>
      </w:r>
    </w:p>
    <w:p>
      <w:pPr>
        <w:spacing w:after="0" w:line="225" w:lineRule="auto"/>
        <w:rPr>
          <w:sz w:val="20"/>
          <w:szCs w:val="20"/>
          <w:color w:val="auto"/>
        </w:rPr>
      </w:pPr>
      <w:r>
        <w:rPr>
          <w:rFonts w:ascii="Arial" w:cs="Arial" w:eastAsia="Arial" w:hAnsi="Arial"/>
          <w:sz w:val="20"/>
          <w:szCs w:val="20"/>
          <w:color w:val="auto"/>
        </w:rPr>
        <w:t>+1 (919) 510-4736</w:t>
      </w:r>
    </w:p>
    <w:p>
      <w:pPr>
        <w:spacing w:after="0"/>
        <w:rPr>
          <w:sz w:val="20"/>
          <w:szCs w:val="20"/>
          <w:color w:val="auto"/>
        </w:rPr>
      </w:pPr>
      <w:r>
        <w:rPr>
          <w:rFonts w:ascii="Arial" w:cs="Arial" w:eastAsia="Arial" w:hAnsi="Arial"/>
          <w:sz w:val="20"/>
          <w:szCs w:val="20"/>
          <w:u w:val="single" w:color="auto"/>
          <w:color w:val="0000FF"/>
        </w:rPr>
        <w:t>Jacklyn.Rooker@martinmarietta.com</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MLM-E</w:t>
      </w:r>
      <w:r>
        <w:rPr>
          <w:rFonts w:ascii="Arial" w:cs="Arial" w:eastAsia="Arial" w:hAnsi="Arial"/>
          <w:sz w:val="20"/>
          <w:szCs w:val="20"/>
          <w:color w:val="auto"/>
        </w:rPr>
        <w:t>.</w:t>
      </w:r>
    </w:p>
    <w:p>
      <w:pPr>
        <w:spacing w:after="0" w:line="202" w:lineRule="exact"/>
        <w:rPr>
          <w:sz w:val="20"/>
          <w:szCs w:val="20"/>
          <w:color w:val="auto"/>
        </w:rPr>
      </w:pPr>
    </w:p>
    <w:p>
      <w:pPr>
        <w:jc w:val="both"/>
        <w:spacing w:after="0" w:line="245" w:lineRule="auto"/>
        <w:rPr>
          <w:sz w:val="20"/>
          <w:szCs w:val="20"/>
          <w:color w:val="auto"/>
        </w:rPr>
      </w:pPr>
      <w:r>
        <w:rPr>
          <w:rFonts w:ascii="Arial" w:cs="Arial" w:eastAsia="Arial" w:hAnsi="Arial"/>
          <w:sz w:val="19"/>
          <w:szCs w:val="19"/>
          <w:i w:val="1"/>
          <w:iCs w:val="1"/>
          <w:color w:val="auto"/>
        </w:rPr>
        <w:t>This earnings release contains forward-looking statements under the federal securities laws, including the Private Securities Litigation Reform Act of 1995 that involve risks and uncertainties and are based on assumptions that the Company believes are reasonable, but which may differ materially from actual results. These statements reflect the Company’s current expectations or forecasts of future events. You can identify these statements because they do not relate only to historical or current facts and may use words such as “guidance,” “anticipate,” “may,” “expect,” "could," “should,” “believe,” "estimate," "forecast," "intend," "outlook," "plan," "project," "schedule," “will,” and other words of similar meaning in connection with future events or future performance. Any or all of the Company’s forward-looking statements herein and in other publications may prove to be incorrect.</w:t>
      </w:r>
    </w:p>
    <w:p>
      <w:pPr>
        <w:spacing w:after="0" w:line="99" w:lineRule="exact"/>
        <w:rPr>
          <w:sz w:val="20"/>
          <w:szCs w:val="20"/>
          <w:color w:val="auto"/>
        </w:rPr>
      </w:pPr>
    </w:p>
    <w:p>
      <w:pPr>
        <w:jc w:val="both"/>
        <w:spacing w:after="0"/>
        <w:rPr>
          <w:sz w:val="20"/>
          <w:szCs w:val="20"/>
          <w:color w:val="auto"/>
        </w:rPr>
      </w:pPr>
      <w:r>
        <w:rPr>
          <w:rFonts w:ascii="Arial" w:cs="Arial" w:eastAsia="Arial" w:hAnsi="Arial"/>
          <w:sz w:val="19"/>
          <w:szCs w:val="19"/>
          <w:i w:val="1"/>
          <w:iCs w:val="1"/>
          <w:color w:val="auto"/>
        </w:rPr>
        <w:t>Third-quarter results and trends described in this release may not necessarily be indicative of the Company’s future performance. The Company’s outlook is subject to risks and uncertainties and is based on assumptions that the Company believes are reasonable, but which may be materially different from actual results. Factors that the Company currently believes could cause actual results to differ materially from the forward-looking statements, including the outlook and 2026 Guidance, include, but are not limited to: the Company’s ability to address challenges, including shipment declines caused by economic and weather events beyond its control; a widespread decline in aggregates pricing, including reduced shipment volume negatively affecting price; the termination, capping, reduction or suspension of federal and/or state fuel tax(es) or other revenue related to public construction; the level and timing of federal, state or local transportation or infrastructure or public projects funding, including any issues arising from such budgets, particularly in Texas, North Carolina, Colorado, California, Georgia, Florida, South Carolina, Arizona, Iowa and Minnesota; the United States Congress’ inability to reach agreement internally or with the Executive Branch on policy affecting the federal budget; a prolonged federal government shutdown; the ability of states or other entities to finance approved projects through tax revenues or alternative financing; construction spending levels in the Company’s markets; reductions in defense spending and impacts on construction activity on or near military bases; declines in energy-related construction due to changes in oil production or capital spending, particularly in Texas; sustained high mortgage interest rates and factors leading to a slowdown in private construction in some areas; the Company’s ability to identify, acquire, permit and develop quality aggregates reserves within an economic haul radius; unfavorable weather, including storms, hurricanes, wildfires, timing of seasons, drought, rainfall, or extreme temperatures affecting production schedules, shipment volumes, product/geographic mix and profitability; volatility in fuel and energy costs, including diesel, electricity, natural gas and consumables like steel, explosives, tires and conveyor belts, as well as natural gas, coal</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2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6251575</wp:posOffset>
            </wp:positionH>
            <wp:positionV relativeFrom="page">
              <wp:posOffset>500380</wp:posOffset>
            </wp:positionV>
            <wp:extent cx="1088390" cy="3168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1088390" cy="316865"/>
                    </a:xfrm>
                    <a:prstGeom prst="rect">
                      <a:avLst/>
                    </a:prstGeom>
                    <a:noFill/>
                  </pic:spPr>
                </pic:pic>
              </a:graphicData>
            </a:graphic>
          </wp:anchor>
        </w:drawing>
      </w:r>
    </w:p>
    <w:p>
      <w:pPr>
        <w:jc w:val="both"/>
        <w:spacing w:after="0"/>
        <w:rPr>
          <w:sz w:val="20"/>
          <w:szCs w:val="20"/>
          <w:color w:val="auto"/>
        </w:rPr>
      </w:pPr>
      <w:r>
        <w:rPr>
          <w:rFonts w:ascii="Arial" w:cs="Arial" w:eastAsia="Arial" w:hAnsi="Arial"/>
          <w:sz w:val="19"/>
          <w:szCs w:val="19"/>
          <w:i w:val="1"/>
          <w:iCs w:val="1"/>
          <w:color w:val="auto"/>
        </w:rPr>
        <w:t>and petroleum coke for the Company’s Specialties business; increased raw materials costs, such as bitumen; rising costs of repair and supply parts; construction labor shortages and supply chain challenges; labor relations risks, such as unionization efforts, work stoppages or strikes, including at the Company’s suppliers, railroads and logistics providers; workforce demographics-related challenges in recruiting and retaining skilled employees, particularly for physically demanding roles in rural or less-populated areas; unexpected equipment failures, unscheduled maintenance, scheduled or unscheduled kiln outages, industrial accidents, catastrophic events or prolonged production disruption; resiliency and potential declines of the Company's construction end-use markets; changes in demand from the steel, mining, construction and infrastructure, water treatment and other industries served by the Company’s Specialties business, and structural declines in demand from coal-fired utility and paper industry customers; delays, cost overruns or underperformance of kiln modernization, facility expansion and other capital projects; potential impacts of disease outbreaks, epidemics, pandemics, or similar health threats, or fear of such events, and related economic/societal responses, affecting suppliers, customers, partners or employees; the performance of the overall United States economy; governmental regulation, including environmental laws and climate change regulations at state and federal levels; compliance with regulations relating to the Company's lime operations; implementation of emissions taxes, carbon-pricing schemes, or stricter climate-related rules that could increase operating costs or restrict Specialties production; delays or difficulties in securing, renewing or maintaining timely land use approvals, environmental permits, or mineral or water rights amid changing regulatory expectations; increasing legal actions or public pressure related to environmental impact, emissions, or land use could result in reputational harm or financial liability; the outcome of pending or future litigation and other legal proceedings; failure to meet evolving environmental, social, and governance (ESG) standards or investor benchmarks may affect access to capital or shareholder confidence; changes in external ESG ratings or methodologies could affect investor sentiment or index inclusion; increasing competition for water access or stricter water usage regulations could impact production, especially in drought-prone regions; outcomes of environmental or land-use proceedings, or increased costs associated with regulatory obligations, including site reclamation; elevated premiums or reduced coverage availability for property, casualty, or environmental liability could increase risk exposure; transportation availability and investment in rail infrastructure impacting the movement of materials especially to the Company’s Texas, Southeast and Gulf Coast markets, the movement of essential dolomitic lime to the Company’s Specialties plant in Manistee, Michigan and its customers, and the movement of magnesite from the Company's Specialties' Gabbs, Nevada facility to processing plants in North Carolina, Indiana and Pennsylvania and the Company's customers; increased transportation costs, including increases from energy price fluctuations, fuel surcharges, and compliance with tightening regulations, including water shipments; availability of trucks and licensed drivers for material transport; availability and cost of construction equipment in the United States; weakness in the steel industry markets served by the Company’s dolomitic lime products; geopolitical risks and tensions that could affect energy markets, costs, supply chains and global economic conditions; trade disputes and tariffs impacting the U.S. economy; currency, regulatory and cross-border risks associated with the Company’s operations in Canada, Jamaica and The Bahamas; unplanned cost changes or customer realignments affecting earnings; dependence on information technology and automated systems; risks related to third-party vendors, including exposure to cybersecurity vulnerabilities or service outages; inflation pressures on production and interest costs; customer concentration in construction markets increasing the risk of potential losses on customer receivables and payment delays; demand levels, production volumes, and cost management affecting operating leverage and profitability; global economic conditions; adverse industry conditions; the Company’s ability to obtain financing on favorable terms or at all and the resulting increase in the Company’s indebtedness and potential effects on the Company’s credit ratings; the Company’s substantial indebtedness following the combination with LNA, and its ability to service, repay or refinance such indebtedness and to reduce leverage to its long-term target ratio within the anticipated timeframe; sustained high or rising</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2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6251575</wp:posOffset>
            </wp:positionH>
            <wp:positionV relativeFrom="page">
              <wp:posOffset>500380</wp:posOffset>
            </wp:positionV>
            <wp:extent cx="1088390" cy="3168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1088390" cy="316865"/>
                    </a:xfrm>
                    <a:prstGeom prst="rect">
                      <a:avLst/>
                    </a:prstGeom>
                    <a:noFill/>
                  </pic:spPr>
                </pic:pic>
              </a:graphicData>
            </a:graphic>
          </wp:anchor>
        </w:drawing>
      </w:r>
    </w:p>
    <w:p>
      <w:pPr>
        <w:jc w:val="both"/>
        <w:spacing w:after="0" w:line="228" w:lineRule="auto"/>
        <w:rPr>
          <w:sz w:val="20"/>
          <w:szCs w:val="20"/>
          <w:color w:val="auto"/>
        </w:rPr>
      </w:pPr>
      <w:r>
        <w:rPr>
          <w:rFonts w:ascii="Arial" w:cs="Arial" w:eastAsia="Arial" w:hAnsi="Arial"/>
          <w:sz w:val="20"/>
          <w:szCs w:val="20"/>
          <w:i w:val="1"/>
          <w:iCs w:val="1"/>
          <w:color w:val="auto"/>
        </w:rPr>
        <w:t>interest rates increasing the Company’s borrowing and refinancing costs; the issuance of newly-issued shares of Martin Marietta common stock as consideration for acquisitions and the resulting dilution to the Company’s existing shareholders; potential business uncertainty, including changes to existing business relationships during the integration of acquisitions that could affect financial performance, integration challenges, market conditions, and the impact of M&amp;A transactions on the Company's stakeholders; the possibility that acquisition synergies may not be realized as expected or within anticipated timeframes, potentially impacting profitability and debt covenant compliance; the possibility that diligence may not identify previously unknown liabilities of acquired businesses, or that acquisitions or divestitures may not be completed on expected terms or timelines or may be delayed, conditioned or not approved by regulators; risks related to executive succession, retention and leadership development critical to strategy execution, including impacts from unexpected leadership changes; changes in tax laws or interpretations, including those related to acquisitions or divestitures, which could increase tax rates; violation of the Company’s debt covenants in the event of price and/or volume instability; new or revised accounting rules or changes in the critical accounting estimates and assumptions used by management could impact financial reporting, asset valuations, or covenant compliance; challenges in implementing new technologies or automation systems could lead to inefficiencies, cost overruns, or operational disruptions; cybersecurity risks; downward pressure on the Company’s common stock price affecting goodwill and other intangible asset impairment evaluations; potential credit rating downgrades to non-investment grade; and other risk factors listed from time to time in the Company’s SEC filings.</w:t>
      </w:r>
    </w:p>
    <w:p>
      <w:pPr>
        <w:spacing w:after="0" w:line="109" w:lineRule="exact"/>
        <w:rPr>
          <w:sz w:val="20"/>
          <w:szCs w:val="20"/>
          <w:color w:val="auto"/>
        </w:rPr>
      </w:pPr>
    </w:p>
    <w:p>
      <w:pPr>
        <w:jc w:val="both"/>
        <w:spacing w:after="0" w:line="233" w:lineRule="auto"/>
        <w:rPr>
          <w:sz w:val="20"/>
          <w:szCs w:val="20"/>
          <w:color w:val="auto"/>
        </w:rPr>
      </w:pPr>
      <w:r>
        <w:rPr>
          <w:rFonts w:ascii="Arial" w:cs="Arial" w:eastAsia="Arial" w:hAnsi="Arial"/>
          <w:sz w:val="20"/>
          <w:szCs w:val="20"/>
          <w:i w:val="1"/>
          <w:iCs w:val="1"/>
          <w:color w:val="auto"/>
        </w:rPr>
        <w:t>You should also review the risk factors discussed in Martin Marietta’s Annual Report on Form 10-K for the year ended December 31, 2025, the Form 10-Q for the quarters ended March 31, 2026, June 30, 2026 and the forthcoming Form 10-Q for the quarter ended September 30, 2026, and other periodic SEC filings. All forward-looking statements should be evaluated with these considerations in mind. Other risks and uncertainties not presently known or currently deemed immaterial may also affect the Company’s performance or the accuracy of forward-looking statements. The Company undertakes no obligation to update any such forward-looking statements.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rPr>
          <w:sz w:val="20"/>
          <w:szCs w:val="20"/>
          <w:color w:val="auto"/>
        </w:rPr>
      </w:pPr>
      <w:r>
        <w:rPr>
          <w:rFonts w:ascii="Arial" w:cs="Arial" w:eastAsia="Arial" w:hAnsi="Arial"/>
          <w:sz w:val="22"/>
          <w:szCs w:val="22"/>
          <w:color w:val="auto"/>
        </w:rPr>
        <w:t>Appendix</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MARTIN MARIETTA MATERIALS,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Statements of Earnings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shd w:val="clear" w:color="auto" w:fill="007DC6"/>
          </w:tcPr>
          <w:p>
            <w:pPr>
              <w:spacing w:after="0"/>
              <w:rPr>
                <w:sz w:val="17"/>
                <w:szCs w:val="17"/>
                <w:color w:val="auto"/>
              </w:rPr>
            </w:pPr>
          </w:p>
        </w:tc>
        <w:tc>
          <w:tcPr>
            <w:tcW w:w="120" w:type="dxa"/>
            <w:vAlign w:val="bottom"/>
            <w:shd w:val="clear" w:color="auto" w:fill="007DC6"/>
          </w:tcPr>
          <w:p>
            <w:pPr>
              <w:spacing w:after="0"/>
              <w:rPr>
                <w:sz w:val="17"/>
                <w:szCs w:val="17"/>
                <w:color w:val="auto"/>
              </w:rPr>
            </w:pPr>
          </w:p>
        </w:tc>
        <w:tc>
          <w:tcPr>
            <w:tcW w:w="200" w:type="dxa"/>
            <w:vAlign w:val="bottom"/>
            <w:shd w:val="clear" w:color="auto" w:fill="007DC6"/>
          </w:tcPr>
          <w:p>
            <w:pPr>
              <w:spacing w:after="0"/>
              <w:rPr>
                <w:sz w:val="17"/>
                <w:szCs w:val="17"/>
                <w:color w:val="auto"/>
              </w:rPr>
            </w:pPr>
          </w:p>
        </w:tc>
        <w:tc>
          <w:tcPr>
            <w:tcW w:w="2340" w:type="dxa"/>
            <w:vAlign w:val="bottom"/>
            <w:gridSpan w:val="3"/>
            <w:shd w:val="clear" w:color="auto" w:fill="007DC6"/>
          </w:tcPr>
          <w:p>
            <w:pPr>
              <w:jc w:val="right"/>
              <w:ind w:right="374"/>
              <w:spacing w:after="0"/>
              <w:rPr>
                <w:sz w:val="20"/>
                <w:szCs w:val="20"/>
                <w:color w:val="auto"/>
              </w:rPr>
            </w:pPr>
            <w:r>
              <w:rPr>
                <w:rFonts w:ascii="Arial" w:cs="Arial" w:eastAsia="Arial" w:hAnsi="Arial"/>
                <w:sz w:val="18"/>
                <w:szCs w:val="18"/>
                <w:b w:val="1"/>
                <w:bCs w:val="1"/>
                <w:color w:val="FFFFFF"/>
              </w:rPr>
              <w:t>Three Months Ended</w:t>
            </w:r>
          </w:p>
        </w:tc>
        <w:tc>
          <w:tcPr>
            <w:tcW w:w="240" w:type="dxa"/>
            <w:vAlign w:val="bottom"/>
            <w:shd w:val="clear" w:color="auto" w:fill="007DC6"/>
          </w:tcPr>
          <w:p>
            <w:pPr>
              <w:spacing w:after="0"/>
              <w:rPr>
                <w:sz w:val="17"/>
                <w:szCs w:val="17"/>
                <w:color w:val="auto"/>
              </w:rPr>
            </w:pPr>
          </w:p>
        </w:tc>
        <w:tc>
          <w:tcPr>
            <w:tcW w:w="2140" w:type="dxa"/>
            <w:vAlign w:val="bottom"/>
            <w:gridSpan w:val="3"/>
            <w:shd w:val="clear" w:color="auto" w:fill="007DC6"/>
          </w:tcPr>
          <w:p>
            <w:pPr>
              <w:jc w:val="right"/>
              <w:ind w:right="294"/>
              <w:spacing w:after="0"/>
              <w:rPr>
                <w:sz w:val="20"/>
                <w:szCs w:val="20"/>
                <w:color w:val="auto"/>
              </w:rPr>
            </w:pPr>
            <w:r>
              <w:rPr>
                <w:rFonts w:ascii="Arial" w:cs="Arial" w:eastAsia="Arial" w:hAnsi="Arial"/>
                <w:sz w:val="18"/>
                <w:szCs w:val="18"/>
                <w:b w:val="1"/>
                <w:bCs w:val="1"/>
                <w:color w:val="FFFFFF"/>
              </w:rPr>
              <w:t>Nine Months Ended</w:t>
            </w:r>
          </w:p>
        </w:tc>
      </w:tr>
      <w:tr>
        <w:trPr>
          <w:trHeight w:val="216"/>
        </w:trPr>
        <w:tc>
          <w:tcPr>
            <w:tcW w:w="6200" w:type="dxa"/>
            <w:vAlign w:val="bottom"/>
            <w:shd w:val="clear" w:color="auto" w:fill="007DC6"/>
          </w:tcPr>
          <w:p>
            <w:pPr>
              <w:spacing w:after="0"/>
              <w:rPr>
                <w:sz w:val="18"/>
                <w:szCs w:val="18"/>
                <w:color w:val="auto"/>
              </w:rPr>
            </w:pPr>
          </w:p>
        </w:tc>
        <w:tc>
          <w:tcPr>
            <w:tcW w:w="120" w:type="dxa"/>
            <w:vAlign w:val="bottom"/>
            <w:shd w:val="clear" w:color="auto" w:fill="007DC6"/>
          </w:tcPr>
          <w:p>
            <w:pPr>
              <w:spacing w:after="0"/>
              <w:rPr>
                <w:sz w:val="18"/>
                <w:szCs w:val="18"/>
                <w:color w:val="auto"/>
              </w:rPr>
            </w:pPr>
          </w:p>
        </w:tc>
        <w:tc>
          <w:tcPr>
            <w:tcW w:w="200" w:type="dxa"/>
            <w:vAlign w:val="bottom"/>
            <w:shd w:val="clear" w:color="auto" w:fill="007DC6"/>
          </w:tcPr>
          <w:p>
            <w:pPr>
              <w:spacing w:after="0"/>
              <w:rPr>
                <w:sz w:val="18"/>
                <w:szCs w:val="18"/>
                <w:color w:val="auto"/>
              </w:rPr>
            </w:pPr>
          </w:p>
        </w:tc>
        <w:tc>
          <w:tcPr>
            <w:tcW w:w="2340" w:type="dxa"/>
            <w:vAlign w:val="bottom"/>
            <w:gridSpan w:val="3"/>
            <w:shd w:val="clear" w:color="auto" w:fill="007DC6"/>
          </w:tcPr>
          <w:p>
            <w:pPr>
              <w:jc w:val="right"/>
              <w:ind w:right="654"/>
              <w:spacing w:after="0"/>
              <w:rPr>
                <w:sz w:val="20"/>
                <w:szCs w:val="20"/>
                <w:color w:val="auto"/>
              </w:rPr>
            </w:pPr>
            <w:r>
              <w:rPr>
                <w:rFonts w:ascii="Arial" w:cs="Arial" w:eastAsia="Arial" w:hAnsi="Arial"/>
                <w:sz w:val="18"/>
                <w:szCs w:val="18"/>
                <w:b w:val="1"/>
                <w:bCs w:val="1"/>
                <w:color w:val="FFFFFF"/>
              </w:rPr>
              <w:t>September 30,</w:t>
            </w:r>
          </w:p>
        </w:tc>
        <w:tc>
          <w:tcPr>
            <w:tcW w:w="240" w:type="dxa"/>
            <w:vAlign w:val="bottom"/>
            <w:shd w:val="clear" w:color="auto" w:fill="007DC6"/>
          </w:tcPr>
          <w:p>
            <w:pPr>
              <w:spacing w:after="0"/>
              <w:rPr>
                <w:sz w:val="18"/>
                <w:szCs w:val="18"/>
                <w:color w:val="auto"/>
              </w:rPr>
            </w:pPr>
          </w:p>
        </w:tc>
        <w:tc>
          <w:tcPr>
            <w:tcW w:w="2140" w:type="dxa"/>
            <w:vAlign w:val="bottom"/>
            <w:gridSpan w:val="3"/>
            <w:shd w:val="clear" w:color="auto" w:fill="007DC6"/>
          </w:tcPr>
          <w:p>
            <w:pPr>
              <w:jc w:val="right"/>
              <w:ind w:right="514"/>
              <w:spacing w:after="0"/>
              <w:rPr>
                <w:sz w:val="20"/>
                <w:szCs w:val="20"/>
                <w:color w:val="auto"/>
              </w:rPr>
            </w:pPr>
            <w:r>
              <w:rPr>
                <w:rFonts w:ascii="Arial" w:cs="Arial" w:eastAsia="Arial" w:hAnsi="Arial"/>
                <w:sz w:val="18"/>
                <w:szCs w:val="18"/>
                <w:b w:val="1"/>
                <w:bCs w:val="1"/>
                <w:color w:val="FFFFFF"/>
              </w:rPr>
              <w:t>September 30,</w:t>
            </w:r>
          </w:p>
        </w:tc>
      </w:tr>
      <w:tr>
        <w:trPr>
          <w:trHeight w:val="221"/>
        </w:trPr>
        <w:tc>
          <w:tcPr>
            <w:tcW w:w="6200" w:type="dxa"/>
            <w:vAlign w:val="bottom"/>
            <w:shd w:val="clear" w:color="auto" w:fill="007DC6"/>
          </w:tcPr>
          <w:p>
            <w:pPr>
              <w:spacing w:after="0"/>
              <w:rPr>
                <w:sz w:val="20"/>
                <w:szCs w:val="20"/>
                <w:color w:val="auto"/>
              </w:rPr>
            </w:pPr>
            <w:r>
              <w:rPr>
                <w:rFonts w:ascii="Arial" w:cs="Arial" w:eastAsia="Arial" w:hAnsi="Arial"/>
                <w:sz w:val="17"/>
                <w:szCs w:val="17"/>
                <w:b w:val="1"/>
                <w:bCs w:val="1"/>
                <w:color w:val="FFFFFF"/>
              </w:rPr>
              <w:t>(in millions, except per share data)</w:t>
            </w:r>
          </w:p>
        </w:tc>
        <w:tc>
          <w:tcPr>
            <w:tcW w:w="120" w:type="dxa"/>
            <w:vAlign w:val="bottom"/>
            <w:shd w:val="clear" w:color="auto" w:fill="007DC6"/>
          </w:tcPr>
          <w:p>
            <w:pPr>
              <w:spacing w:after="0"/>
              <w:rPr>
                <w:sz w:val="19"/>
                <w:szCs w:val="19"/>
                <w:color w:val="auto"/>
              </w:rPr>
            </w:pPr>
          </w:p>
        </w:tc>
        <w:tc>
          <w:tcPr>
            <w:tcW w:w="200" w:type="dxa"/>
            <w:vAlign w:val="bottom"/>
            <w:shd w:val="clear" w:color="auto" w:fill="007DC6"/>
          </w:tcPr>
          <w:p>
            <w:pPr>
              <w:spacing w:after="0"/>
              <w:rPr>
                <w:sz w:val="19"/>
                <w:szCs w:val="19"/>
                <w:color w:val="auto"/>
              </w:rPr>
            </w:pPr>
          </w:p>
        </w:tc>
        <w:tc>
          <w:tcPr>
            <w:tcW w:w="1020" w:type="dxa"/>
            <w:vAlign w:val="bottom"/>
            <w:shd w:val="clear" w:color="auto" w:fill="007DC6"/>
          </w:tcPr>
          <w:p>
            <w:pPr>
              <w:jc w:val="right"/>
              <w:ind w:right="414"/>
              <w:spacing w:after="0"/>
              <w:rPr>
                <w:sz w:val="20"/>
                <w:szCs w:val="20"/>
                <w:color w:val="auto"/>
              </w:rPr>
            </w:pPr>
            <w:r>
              <w:rPr>
                <w:rFonts w:ascii="Arial" w:cs="Arial" w:eastAsia="Arial" w:hAnsi="Arial"/>
                <w:sz w:val="18"/>
                <w:szCs w:val="18"/>
                <w:b w:val="1"/>
                <w:bCs w:val="1"/>
                <w:color w:val="FFFFFF"/>
              </w:rPr>
              <w:t>2026</w:t>
            </w:r>
          </w:p>
        </w:tc>
        <w:tc>
          <w:tcPr>
            <w:tcW w:w="300" w:type="dxa"/>
            <w:vAlign w:val="bottom"/>
            <w:shd w:val="clear" w:color="auto" w:fill="007DC6"/>
          </w:tcPr>
          <w:p>
            <w:pPr>
              <w:spacing w:after="0"/>
              <w:rPr>
                <w:sz w:val="19"/>
                <w:szCs w:val="19"/>
                <w:color w:val="auto"/>
              </w:rPr>
            </w:pPr>
          </w:p>
        </w:tc>
        <w:tc>
          <w:tcPr>
            <w:tcW w:w="1020" w:type="dxa"/>
            <w:vAlign w:val="bottom"/>
            <w:shd w:val="clear" w:color="auto" w:fill="007DC6"/>
          </w:tcPr>
          <w:p>
            <w:pPr>
              <w:jc w:val="right"/>
              <w:ind w:right="414"/>
              <w:spacing w:after="0"/>
              <w:rPr>
                <w:sz w:val="20"/>
                <w:szCs w:val="20"/>
                <w:color w:val="auto"/>
              </w:rPr>
            </w:pPr>
            <w:r>
              <w:rPr>
                <w:rFonts w:ascii="Arial" w:cs="Arial" w:eastAsia="Arial" w:hAnsi="Arial"/>
                <w:sz w:val="18"/>
                <w:szCs w:val="18"/>
                <w:b w:val="1"/>
                <w:bCs w:val="1"/>
                <w:color w:val="FFFFFF"/>
              </w:rPr>
              <w:t>2025</w:t>
            </w:r>
          </w:p>
        </w:tc>
        <w:tc>
          <w:tcPr>
            <w:tcW w:w="240" w:type="dxa"/>
            <w:vAlign w:val="bottom"/>
            <w:shd w:val="clear" w:color="auto" w:fill="007DC6"/>
          </w:tcPr>
          <w:p>
            <w:pPr>
              <w:spacing w:after="0"/>
              <w:rPr>
                <w:sz w:val="19"/>
                <w:szCs w:val="19"/>
                <w:color w:val="auto"/>
              </w:rPr>
            </w:pPr>
          </w:p>
        </w:tc>
        <w:tc>
          <w:tcPr>
            <w:tcW w:w="920" w:type="dxa"/>
            <w:vAlign w:val="bottom"/>
            <w:shd w:val="clear" w:color="auto" w:fill="007DC6"/>
          </w:tcPr>
          <w:p>
            <w:pPr>
              <w:jc w:val="right"/>
              <w:ind w:right="334"/>
              <w:spacing w:after="0"/>
              <w:rPr>
                <w:sz w:val="20"/>
                <w:szCs w:val="20"/>
                <w:color w:val="auto"/>
              </w:rPr>
            </w:pPr>
            <w:r>
              <w:rPr>
                <w:rFonts w:ascii="Arial" w:cs="Arial" w:eastAsia="Arial" w:hAnsi="Arial"/>
                <w:sz w:val="18"/>
                <w:szCs w:val="18"/>
                <w:b w:val="1"/>
                <w:bCs w:val="1"/>
                <w:color w:val="FFFFFF"/>
              </w:rPr>
              <w:t>2026</w:t>
            </w:r>
          </w:p>
        </w:tc>
        <w:tc>
          <w:tcPr>
            <w:tcW w:w="280" w:type="dxa"/>
            <w:vAlign w:val="bottom"/>
            <w:shd w:val="clear" w:color="auto" w:fill="007DC6"/>
          </w:tcPr>
          <w:p>
            <w:pPr>
              <w:spacing w:after="0"/>
              <w:rPr>
                <w:sz w:val="19"/>
                <w:szCs w:val="19"/>
                <w:color w:val="auto"/>
              </w:rPr>
            </w:pPr>
          </w:p>
        </w:tc>
        <w:tc>
          <w:tcPr>
            <w:tcW w:w="940" w:type="dxa"/>
            <w:vAlign w:val="bottom"/>
            <w:shd w:val="clear" w:color="auto" w:fill="007DC6"/>
          </w:tcPr>
          <w:p>
            <w:pPr>
              <w:jc w:val="right"/>
              <w:ind w:right="354"/>
              <w:spacing w:after="0"/>
              <w:rPr>
                <w:sz w:val="20"/>
                <w:szCs w:val="20"/>
                <w:color w:val="auto"/>
              </w:rPr>
            </w:pPr>
            <w:r>
              <w:rPr>
                <w:rFonts w:ascii="Arial" w:cs="Arial" w:eastAsia="Arial" w:hAnsi="Arial"/>
                <w:sz w:val="18"/>
                <w:szCs w:val="18"/>
                <w:b w:val="1"/>
                <w:bCs w:val="1"/>
                <w:color w:val="FFFFFF"/>
              </w:rPr>
              <w:t>2025</w:t>
            </w:r>
          </w:p>
        </w:tc>
      </w:tr>
      <w:tr>
        <w:trPr>
          <w:trHeight w:val="189"/>
        </w:trPr>
        <w:tc>
          <w:tcPr>
            <w:tcW w:w="6200" w:type="dxa"/>
            <w:vAlign w:val="bottom"/>
            <w:shd w:val="clear" w:color="auto" w:fill="CFF0FC"/>
          </w:tcPr>
          <w:p>
            <w:pPr>
              <w:spacing w:after="0" w:line="189" w:lineRule="exact"/>
              <w:rPr>
                <w:sz w:val="20"/>
                <w:szCs w:val="20"/>
                <w:color w:val="auto"/>
              </w:rPr>
            </w:pPr>
            <w:r>
              <w:rPr>
                <w:rFonts w:ascii="Arial" w:cs="Arial" w:eastAsia="Arial" w:hAnsi="Arial"/>
                <w:sz w:val="17"/>
                <w:szCs w:val="17"/>
                <w:b w:val="1"/>
                <w:bCs w:val="1"/>
                <w:color w:val="auto"/>
              </w:rPr>
              <w:t>Revenues</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ind w:right="74"/>
              <w:spacing w:after="0" w:line="189" w:lineRule="exact"/>
              <w:rPr>
                <w:sz w:val="20"/>
                <w:szCs w:val="20"/>
                <w:color w:val="auto"/>
              </w:rPr>
            </w:pPr>
            <w:r>
              <w:rPr>
                <w:rFonts w:ascii="Arial" w:cs="Arial" w:eastAsia="Arial" w:hAnsi="Arial"/>
                <w:sz w:val="17"/>
                <w:szCs w:val="17"/>
                <w:color w:val="auto"/>
              </w:rPr>
              <w:t>2,369</w:t>
            </w:r>
          </w:p>
        </w:tc>
        <w:tc>
          <w:tcPr>
            <w:tcW w:w="300" w:type="dxa"/>
            <w:vAlign w:val="bottom"/>
            <w:shd w:val="clear" w:color="auto" w:fill="CFF0FC"/>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ind w:right="74"/>
              <w:spacing w:after="0" w:line="189" w:lineRule="exact"/>
              <w:rPr>
                <w:sz w:val="20"/>
                <w:szCs w:val="20"/>
                <w:color w:val="auto"/>
              </w:rPr>
            </w:pPr>
            <w:r>
              <w:rPr>
                <w:rFonts w:ascii="Arial" w:cs="Arial" w:eastAsia="Arial" w:hAnsi="Arial"/>
                <w:sz w:val="17"/>
                <w:szCs w:val="17"/>
                <w:color w:val="auto"/>
              </w:rPr>
              <w:t>1,846</w:t>
            </w:r>
          </w:p>
        </w:tc>
        <w:tc>
          <w:tcPr>
            <w:tcW w:w="24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w:t>
            </w:r>
          </w:p>
        </w:tc>
        <w:tc>
          <w:tcPr>
            <w:tcW w:w="920" w:type="dxa"/>
            <w:vAlign w:val="bottom"/>
            <w:shd w:val="clear" w:color="auto" w:fill="CFF0FC"/>
          </w:tcPr>
          <w:p>
            <w:pPr>
              <w:jc w:val="right"/>
              <w:ind w:right="74"/>
              <w:spacing w:after="0" w:line="189" w:lineRule="exact"/>
              <w:rPr>
                <w:sz w:val="20"/>
                <w:szCs w:val="20"/>
                <w:color w:val="auto"/>
              </w:rPr>
            </w:pPr>
            <w:r>
              <w:rPr>
                <w:rFonts w:ascii="Arial" w:cs="Arial" w:eastAsia="Arial" w:hAnsi="Arial"/>
                <w:sz w:val="17"/>
                <w:szCs w:val="17"/>
                <w:color w:val="auto"/>
              </w:rPr>
              <w:t>5,678</w:t>
            </w:r>
          </w:p>
        </w:tc>
        <w:tc>
          <w:tcPr>
            <w:tcW w:w="280" w:type="dxa"/>
            <w:vAlign w:val="bottom"/>
            <w:shd w:val="clear" w:color="auto" w:fill="CFF0FC"/>
          </w:tcPr>
          <w:p>
            <w:pPr>
              <w:jc w:val="right"/>
              <w:ind w:right="35"/>
              <w:spacing w:after="0" w:line="189" w:lineRule="exact"/>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ind w:right="34"/>
              <w:spacing w:after="0" w:line="189" w:lineRule="exact"/>
              <w:rPr>
                <w:sz w:val="20"/>
                <w:szCs w:val="20"/>
                <w:color w:val="auto"/>
              </w:rPr>
            </w:pPr>
            <w:r>
              <w:rPr>
                <w:rFonts w:ascii="Arial" w:cs="Arial" w:eastAsia="Arial" w:hAnsi="Arial"/>
                <w:sz w:val="17"/>
                <w:szCs w:val="17"/>
                <w:color w:val="auto"/>
              </w:rPr>
              <w:t>4,617</w:t>
            </w:r>
          </w:p>
        </w:tc>
      </w:tr>
      <w:tr>
        <w:trPr>
          <w:trHeight w:val="189"/>
        </w:trPr>
        <w:tc>
          <w:tcPr>
            <w:tcW w:w="620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Cost of revenues</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74"/>
              <w:spacing w:after="0" w:line="189" w:lineRule="exact"/>
              <w:rPr>
                <w:sz w:val="20"/>
                <w:szCs w:val="20"/>
                <w:color w:val="auto"/>
              </w:rPr>
            </w:pPr>
            <w:r>
              <w:rPr>
                <w:rFonts w:ascii="Arial" w:cs="Arial" w:eastAsia="Arial" w:hAnsi="Arial"/>
                <w:sz w:val="17"/>
                <w:szCs w:val="17"/>
                <w:color w:val="auto"/>
              </w:rPr>
              <w:t>1,718</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74"/>
              <w:spacing w:after="0" w:line="189" w:lineRule="exact"/>
              <w:rPr>
                <w:sz w:val="20"/>
                <w:szCs w:val="20"/>
                <w:color w:val="auto"/>
              </w:rPr>
            </w:pPr>
            <w:r>
              <w:rPr>
                <w:rFonts w:ascii="Arial" w:cs="Arial" w:eastAsia="Arial" w:hAnsi="Arial"/>
                <w:sz w:val="17"/>
                <w:szCs w:val="17"/>
                <w:color w:val="auto"/>
              </w:rPr>
              <w:t>1,235</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74"/>
              <w:spacing w:after="0" w:line="189" w:lineRule="exact"/>
              <w:rPr>
                <w:sz w:val="20"/>
                <w:szCs w:val="20"/>
                <w:color w:val="auto"/>
              </w:rPr>
            </w:pPr>
            <w:r>
              <w:rPr>
                <w:rFonts w:ascii="Arial" w:cs="Arial" w:eastAsia="Arial" w:hAnsi="Arial"/>
                <w:sz w:val="17"/>
                <w:szCs w:val="17"/>
                <w:color w:val="auto"/>
              </w:rPr>
              <w:t>4,222</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
              <w:spacing w:after="0" w:line="189" w:lineRule="exact"/>
              <w:rPr>
                <w:sz w:val="20"/>
                <w:szCs w:val="20"/>
                <w:color w:val="auto"/>
              </w:rPr>
            </w:pPr>
            <w:r>
              <w:rPr>
                <w:rFonts w:ascii="Arial" w:cs="Arial" w:eastAsia="Arial" w:hAnsi="Arial"/>
                <w:sz w:val="17"/>
                <w:szCs w:val="17"/>
                <w:color w:val="auto"/>
              </w:rPr>
              <w:t>3,195</w:t>
            </w:r>
          </w:p>
        </w:tc>
      </w:tr>
      <w:tr>
        <w:trPr>
          <w:trHeight w:val="183"/>
        </w:trPr>
        <w:tc>
          <w:tcPr>
            <w:tcW w:w="6200" w:type="dxa"/>
            <w:vAlign w:val="bottom"/>
            <w:shd w:val="clear" w:color="auto" w:fill="CFF0FC"/>
          </w:tcPr>
          <w:p>
            <w:pPr>
              <w:spacing w:after="0" w:line="183" w:lineRule="exact"/>
              <w:rPr>
                <w:sz w:val="20"/>
                <w:szCs w:val="20"/>
                <w:color w:val="auto"/>
              </w:rPr>
            </w:pPr>
            <w:r>
              <w:rPr>
                <w:rFonts w:ascii="Arial" w:cs="Arial" w:eastAsia="Arial" w:hAnsi="Arial"/>
                <w:sz w:val="17"/>
                <w:szCs w:val="17"/>
                <w:b w:val="1"/>
                <w:bCs w:val="1"/>
                <w:color w:val="auto"/>
              </w:rPr>
              <w:t>Gross Profit</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74"/>
              <w:spacing w:after="0" w:line="183" w:lineRule="exact"/>
              <w:rPr>
                <w:sz w:val="20"/>
                <w:szCs w:val="20"/>
                <w:color w:val="auto"/>
              </w:rPr>
            </w:pPr>
            <w:r>
              <w:rPr>
                <w:rFonts w:ascii="Arial" w:cs="Arial" w:eastAsia="Arial" w:hAnsi="Arial"/>
                <w:sz w:val="17"/>
                <w:szCs w:val="17"/>
                <w:color w:val="auto"/>
              </w:rPr>
              <w:t>651</w:t>
            </w: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74"/>
              <w:spacing w:after="0" w:line="183" w:lineRule="exact"/>
              <w:rPr>
                <w:sz w:val="20"/>
                <w:szCs w:val="20"/>
                <w:color w:val="auto"/>
              </w:rPr>
            </w:pPr>
            <w:r>
              <w:rPr>
                <w:rFonts w:ascii="Arial" w:cs="Arial" w:eastAsia="Arial" w:hAnsi="Arial"/>
                <w:sz w:val="17"/>
                <w:szCs w:val="17"/>
                <w:color w:val="auto"/>
              </w:rPr>
              <w:t>611</w:t>
            </w: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74"/>
              <w:spacing w:after="0" w:line="183" w:lineRule="exact"/>
              <w:rPr>
                <w:sz w:val="20"/>
                <w:szCs w:val="20"/>
                <w:color w:val="auto"/>
              </w:rPr>
            </w:pPr>
            <w:r>
              <w:rPr>
                <w:rFonts w:ascii="Arial" w:cs="Arial" w:eastAsia="Arial" w:hAnsi="Arial"/>
                <w:sz w:val="17"/>
                <w:szCs w:val="17"/>
                <w:color w:val="auto"/>
              </w:rPr>
              <w:t>1,456</w:t>
            </w:r>
          </w:p>
        </w:tc>
        <w:tc>
          <w:tcPr>
            <w:tcW w:w="28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34"/>
              <w:spacing w:after="0" w:line="183" w:lineRule="exact"/>
              <w:rPr>
                <w:sz w:val="20"/>
                <w:szCs w:val="20"/>
                <w:color w:val="auto"/>
              </w:rPr>
            </w:pPr>
            <w:r>
              <w:rPr>
                <w:rFonts w:ascii="Arial" w:cs="Arial" w:eastAsia="Arial" w:hAnsi="Arial"/>
                <w:sz w:val="17"/>
                <w:szCs w:val="17"/>
                <w:color w:val="auto"/>
              </w:rPr>
              <w:t>1,422</w:t>
            </w:r>
          </w:p>
        </w:tc>
      </w:tr>
      <w:tr>
        <w:trPr>
          <w:trHeight w:val="189"/>
        </w:trPr>
        <w:tc>
          <w:tcPr>
            <w:tcW w:w="6200" w:type="dxa"/>
            <w:vAlign w:val="bottom"/>
          </w:tcPr>
          <w:p>
            <w:pPr>
              <w:spacing w:after="0" w:line="189" w:lineRule="exact"/>
              <w:rPr>
                <w:sz w:val="20"/>
                <w:szCs w:val="20"/>
                <w:color w:val="auto"/>
              </w:rPr>
            </w:pPr>
            <w:r>
              <w:rPr>
                <w:rFonts w:ascii="Arial" w:cs="Arial" w:eastAsia="Arial" w:hAnsi="Arial"/>
                <w:sz w:val="17"/>
                <w:szCs w:val="17"/>
                <w:color w:val="auto"/>
              </w:rPr>
              <w:t>Selling, general and administrative expenses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74"/>
              <w:spacing w:after="0" w:line="189" w:lineRule="exact"/>
              <w:rPr>
                <w:sz w:val="20"/>
                <w:szCs w:val="20"/>
                <w:color w:val="auto"/>
              </w:rPr>
            </w:pPr>
            <w:r>
              <w:rPr>
                <w:rFonts w:ascii="Arial" w:cs="Arial" w:eastAsia="Arial" w:hAnsi="Arial"/>
                <w:sz w:val="17"/>
                <w:szCs w:val="17"/>
                <w:color w:val="auto"/>
              </w:rPr>
              <w:t>133</w:t>
            </w:r>
          </w:p>
        </w:tc>
        <w:tc>
          <w:tcPr>
            <w:tcW w:w="300" w:type="dxa"/>
            <w:vAlign w:val="bottom"/>
          </w:tcPr>
          <w:p>
            <w:pPr>
              <w:spacing w:after="0"/>
              <w:rPr>
                <w:sz w:val="16"/>
                <w:szCs w:val="16"/>
                <w:color w:val="auto"/>
              </w:rPr>
            </w:pPr>
          </w:p>
        </w:tc>
        <w:tc>
          <w:tcPr>
            <w:tcW w:w="1020" w:type="dxa"/>
            <w:vAlign w:val="bottom"/>
          </w:tcPr>
          <w:p>
            <w:pPr>
              <w:jc w:val="right"/>
              <w:ind w:right="74"/>
              <w:spacing w:after="0" w:line="189" w:lineRule="exact"/>
              <w:rPr>
                <w:sz w:val="20"/>
                <w:szCs w:val="20"/>
                <w:color w:val="auto"/>
              </w:rPr>
            </w:pPr>
            <w:r>
              <w:rPr>
                <w:rFonts w:ascii="Arial" w:cs="Arial" w:eastAsia="Arial" w:hAnsi="Arial"/>
                <w:sz w:val="17"/>
                <w:szCs w:val="17"/>
                <w:color w:val="auto"/>
              </w:rPr>
              <w:t>110</w:t>
            </w:r>
          </w:p>
        </w:tc>
        <w:tc>
          <w:tcPr>
            <w:tcW w:w="240" w:type="dxa"/>
            <w:vAlign w:val="bottom"/>
          </w:tcPr>
          <w:p>
            <w:pPr>
              <w:spacing w:after="0"/>
              <w:rPr>
                <w:sz w:val="16"/>
                <w:szCs w:val="16"/>
                <w:color w:val="auto"/>
              </w:rPr>
            </w:pPr>
          </w:p>
        </w:tc>
        <w:tc>
          <w:tcPr>
            <w:tcW w:w="920" w:type="dxa"/>
            <w:vAlign w:val="bottom"/>
          </w:tcPr>
          <w:p>
            <w:pPr>
              <w:jc w:val="right"/>
              <w:ind w:right="74"/>
              <w:spacing w:after="0" w:line="189" w:lineRule="exact"/>
              <w:rPr>
                <w:sz w:val="20"/>
                <w:szCs w:val="20"/>
                <w:color w:val="auto"/>
              </w:rPr>
            </w:pPr>
            <w:r>
              <w:rPr>
                <w:rFonts w:ascii="Arial" w:cs="Arial" w:eastAsia="Arial" w:hAnsi="Arial"/>
                <w:sz w:val="17"/>
                <w:szCs w:val="17"/>
                <w:color w:val="auto"/>
              </w:rPr>
              <w:t>382</w:t>
            </w:r>
          </w:p>
        </w:tc>
        <w:tc>
          <w:tcPr>
            <w:tcW w:w="280" w:type="dxa"/>
            <w:vAlign w:val="bottom"/>
          </w:tcPr>
          <w:p>
            <w:pPr>
              <w:spacing w:after="0"/>
              <w:rPr>
                <w:sz w:val="16"/>
                <w:szCs w:val="16"/>
                <w:color w:val="auto"/>
              </w:rPr>
            </w:pPr>
          </w:p>
        </w:tc>
        <w:tc>
          <w:tcPr>
            <w:tcW w:w="940" w:type="dxa"/>
            <w:vAlign w:val="bottom"/>
          </w:tcPr>
          <w:p>
            <w:pPr>
              <w:jc w:val="right"/>
              <w:ind w:right="34"/>
              <w:spacing w:after="0" w:line="189" w:lineRule="exact"/>
              <w:rPr>
                <w:sz w:val="20"/>
                <w:szCs w:val="20"/>
                <w:color w:val="auto"/>
              </w:rPr>
            </w:pPr>
            <w:r>
              <w:rPr>
                <w:rFonts w:ascii="Arial" w:cs="Arial" w:eastAsia="Arial" w:hAnsi="Arial"/>
                <w:sz w:val="17"/>
                <w:szCs w:val="17"/>
                <w:color w:val="auto"/>
              </w:rPr>
              <w:t>340</w:t>
            </w:r>
          </w:p>
        </w:tc>
      </w:tr>
      <w:tr>
        <w:trPr>
          <w:trHeight w:val="189"/>
        </w:trPr>
        <w:tc>
          <w:tcPr>
            <w:tcW w:w="620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Acquisition, divestiture and integration expenses</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74"/>
              <w:spacing w:after="0" w:line="189" w:lineRule="exact"/>
              <w:rPr>
                <w:sz w:val="20"/>
                <w:szCs w:val="20"/>
                <w:color w:val="auto"/>
              </w:rPr>
            </w:pPr>
            <w:r>
              <w:rPr>
                <w:rFonts w:ascii="Arial" w:cs="Arial" w:eastAsia="Arial" w:hAnsi="Arial"/>
                <w:sz w:val="17"/>
                <w:szCs w:val="17"/>
                <w:color w:val="auto"/>
              </w:rPr>
              <w:t>84</w:t>
            </w: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74"/>
              <w:spacing w:after="0" w:line="189" w:lineRule="exact"/>
              <w:rPr>
                <w:sz w:val="20"/>
                <w:szCs w:val="20"/>
                <w:color w:val="auto"/>
              </w:rPr>
            </w:pPr>
            <w:r>
              <w:rPr>
                <w:rFonts w:ascii="Arial" w:cs="Arial" w:eastAsia="Arial" w:hAnsi="Arial"/>
                <w:sz w:val="17"/>
                <w:szCs w:val="17"/>
                <w:color w:val="auto"/>
              </w:rPr>
              <w:t>5</w:t>
            </w: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74"/>
              <w:spacing w:after="0" w:line="189" w:lineRule="exact"/>
              <w:rPr>
                <w:sz w:val="20"/>
                <w:szCs w:val="20"/>
                <w:color w:val="auto"/>
              </w:rPr>
            </w:pPr>
            <w:r>
              <w:rPr>
                <w:rFonts w:ascii="Arial" w:cs="Arial" w:eastAsia="Arial" w:hAnsi="Arial"/>
                <w:sz w:val="17"/>
                <w:szCs w:val="17"/>
                <w:color w:val="auto"/>
              </w:rPr>
              <w:t>107</w:t>
            </w:r>
          </w:p>
        </w:tc>
        <w:tc>
          <w:tcPr>
            <w:tcW w:w="28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34"/>
              <w:spacing w:after="0" w:line="189" w:lineRule="exact"/>
              <w:rPr>
                <w:sz w:val="20"/>
                <w:szCs w:val="20"/>
                <w:color w:val="auto"/>
              </w:rPr>
            </w:pPr>
            <w:r>
              <w:rPr>
                <w:rFonts w:ascii="Arial" w:cs="Arial" w:eastAsia="Arial" w:hAnsi="Arial"/>
                <w:sz w:val="17"/>
                <w:szCs w:val="17"/>
                <w:color w:val="auto"/>
              </w:rPr>
              <w:t>9</w:t>
            </w:r>
          </w:p>
        </w:tc>
      </w:tr>
      <w:tr>
        <w:trPr>
          <w:trHeight w:val="189"/>
        </w:trPr>
        <w:tc>
          <w:tcPr>
            <w:tcW w:w="620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Other operating income, net</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4"/>
              <w:spacing w:after="0" w:line="189" w:lineRule="exact"/>
              <w:rPr>
                <w:sz w:val="20"/>
                <w:szCs w:val="20"/>
                <w:color w:val="auto"/>
              </w:rPr>
            </w:pPr>
            <w:r>
              <w:rPr>
                <w:rFonts w:ascii="Arial" w:cs="Arial" w:eastAsia="Arial" w:hAnsi="Arial"/>
                <w:sz w:val="17"/>
                <w:szCs w:val="17"/>
                <w:color w:val="auto"/>
              </w:rPr>
              <w:t>(4)</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(9)</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(5)</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(23)</w:t>
            </w:r>
          </w:p>
        </w:tc>
      </w:tr>
      <w:tr>
        <w:trPr>
          <w:trHeight w:val="183"/>
        </w:trPr>
        <w:tc>
          <w:tcPr>
            <w:tcW w:w="6200" w:type="dxa"/>
            <w:vAlign w:val="bottom"/>
            <w:shd w:val="clear" w:color="auto" w:fill="CFF0FC"/>
          </w:tcPr>
          <w:p>
            <w:pPr>
              <w:spacing w:after="0" w:line="183" w:lineRule="exact"/>
              <w:rPr>
                <w:sz w:val="20"/>
                <w:szCs w:val="20"/>
                <w:color w:val="auto"/>
              </w:rPr>
            </w:pPr>
            <w:r>
              <w:rPr>
                <w:rFonts w:ascii="Arial" w:cs="Arial" w:eastAsia="Arial" w:hAnsi="Arial"/>
                <w:sz w:val="17"/>
                <w:szCs w:val="17"/>
                <w:b w:val="1"/>
                <w:bCs w:val="1"/>
                <w:color w:val="auto"/>
              </w:rPr>
              <w:t>Earnings from Operations</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74"/>
              <w:spacing w:after="0" w:line="183" w:lineRule="exact"/>
              <w:rPr>
                <w:sz w:val="20"/>
                <w:szCs w:val="20"/>
                <w:color w:val="auto"/>
              </w:rPr>
            </w:pPr>
            <w:r>
              <w:rPr>
                <w:rFonts w:ascii="Arial" w:cs="Arial" w:eastAsia="Arial" w:hAnsi="Arial"/>
                <w:sz w:val="17"/>
                <w:szCs w:val="17"/>
                <w:color w:val="auto"/>
              </w:rPr>
              <w:t>438</w:t>
            </w: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74"/>
              <w:spacing w:after="0" w:line="183" w:lineRule="exact"/>
              <w:rPr>
                <w:sz w:val="20"/>
                <w:szCs w:val="20"/>
                <w:color w:val="auto"/>
              </w:rPr>
            </w:pPr>
            <w:r>
              <w:rPr>
                <w:rFonts w:ascii="Arial" w:cs="Arial" w:eastAsia="Arial" w:hAnsi="Arial"/>
                <w:sz w:val="17"/>
                <w:szCs w:val="17"/>
                <w:color w:val="auto"/>
              </w:rPr>
              <w:t>505</w:t>
            </w: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74"/>
              <w:spacing w:after="0" w:line="183" w:lineRule="exact"/>
              <w:rPr>
                <w:sz w:val="20"/>
                <w:szCs w:val="20"/>
                <w:color w:val="auto"/>
              </w:rPr>
            </w:pPr>
            <w:r>
              <w:rPr>
                <w:rFonts w:ascii="Arial" w:cs="Arial" w:eastAsia="Arial" w:hAnsi="Arial"/>
                <w:sz w:val="17"/>
                <w:szCs w:val="17"/>
                <w:color w:val="auto"/>
              </w:rPr>
              <w:t>972</w:t>
            </w:r>
          </w:p>
        </w:tc>
        <w:tc>
          <w:tcPr>
            <w:tcW w:w="28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34"/>
              <w:spacing w:after="0" w:line="183" w:lineRule="exact"/>
              <w:rPr>
                <w:sz w:val="20"/>
                <w:szCs w:val="20"/>
                <w:color w:val="auto"/>
              </w:rPr>
            </w:pPr>
            <w:r>
              <w:rPr>
                <w:rFonts w:ascii="Arial" w:cs="Arial" w:eastAsia="Arial" w:hAnsi="Arial"/>
                <w:sz w:val="17"/>
                <w:szCs w:val="17"/>
                <w:color w:val="auto"/>
              </w:rPr>
              <w:t>1,096</w:t>
            </w:r>
          </w:p>
        </w:tc>
      </w:tr>
      <w:tr>
        <w:trPr>
          <w:trHeight w:val="189"/>
        </w:trPr>
        <w:tc>
          <w:tcPr>
            <w:tcW w:w="6200" w:type="dxa"/>
            <w:vAlign w:val="bottom"/>
          </w:tcPr>
          <w:p>
            <w:pPr>
              <w:spacing w:after="0" w:line="189" w:lineRule="exact"/>
              <w:rPr>
                <w:sz w:val="20"/>
                <w:szCs w:val="20"/>
                <w:color w:val="auto"/>
              </w:rPr>
            </w:pPr>
            <w:r>
              <w:rPr>
                <w:rFonts w:ascii="Arial" w:cs="Arial" w:eastAsia="Arial" w:hAnsi="Arial"/>
                <w:sz w:val="17"/>
                <w:szCs w:val="17"/>
                <w:color w:val="auto"/>
              </w:rPr>
              <w:t>Interest expense</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74"/>
              <w:spacing w:after="0" w:line="189" w:lineRule="exact"/>
              <w:rPr>
                <w:sz w:val="20"/>
                <w:szCs w:val="20"/>
                <w:color w:val="auto"/>
              </w:rPr>
            </w:pPr>
            <w:r>
              <w:rPr>
                <w:rFonts w:ascii="Arial" w:cs="Arial" w:eastAsia="Arial" w:hAnsi="Arial"/>
                <w:sz w:val="17"/>
                <w:szCs w:val="17"/>
                <w:color w:val="auto"/>
              </w:rPr>
              <w:t>138</w:t>
            </w:r>
          </w:p>
        </w:tc>
        <w:tc>
          <w:tcPr>
            <w:tcW w:w="300" w:type="dxa"/>
            <w:vAlign w:val="bottom"/>
          </w:tcPr>
          <w:p>
            <w:pPr>
              <w:spacing w:after="0"/>
              <w:rPr>
                <w:sz w:val="16"/>
                <w:szCs w:val="16"/>
                <w:color w:val="auto"/>
              </w:rPr>
            </w:pPr>
          </w:p>
        </w:tc>
        <w:tc>
          <w:tcPr>
            <w:tcW w:w="1020" w:type="dxa"/>
            <w:vAlign w:val="bottom"/>
          </w:tcPr>
          <w:p>
            <w:pPr>
              <w:jc w:val="right"/>
              <w:ind w:right="74"/>
              <w:spacing w:after="0" w:line="189" w:lineRule="exact"/>
              <w:rPr>
                <w:sz w:val="20"/>
                <w:szCs w:val="20"/>
                <w:color w:val="auto"/>
              </w:rPr>
            </w:pPr>
            <w:r>
              <w:rPr>
                <w:rFonts w:ascii="Arial" w:cs="Arial" w:eastAsia="Arial" w:hAnsi="Arial"/>
                <w:sz w:val="17"/>
                <w:szCs w:val="17"/>
                <w:color w:val="auto"/>
              </w:rPr>
              <w:t>59</w:t>
            </w:r>
          </w:p>
        </w:tc>
        <w:tc>
          <w:tcPr>
            <w:tcW w:w="240" w:type="dxa"/>
            <w:vAlign w:val="bottom"/>
          </w:tcPr>
          <w:p>
            <w:pPr>
              <w:spacing w:after="0"/>
              <w:rPr>
                <w:sz w:val="16"/>
                <w:szCs w:val="16"/>
                <w:color w:val="auto"/>
              </w:rPr>
            </w:pPr>
          </w:p>
        </w:tc>
        <w:tc>
          <w:tcPr>
            <w:tcW w:w="920" w:type="dxa"/>
            <w:vAlign w:val="bottom"/>
          </w:tcPr>
          <w:p>
            <w:pPr>
              <w:jc w:val="right"/>
              <w:ind w:right="74"/>
              <w:spacing w:after="0" w:line="189" w:lineRule="exact"/>
              <w:rPr>
                <w:sz w:val="20"/>
                <w:szCs w:val="20"/>
                <w:color w:val="auto"/>
              </w:rPr>
            </w:pPr>
            <w:r>
              <w:rPr>
                <w:rFonts w:ascii="Arial" w:cs="Arial" w:eastAsia="Arial" w:hAnsi="Arial"/>
                <w:sz w:val="17"/>
                <w:szCs w:val="17"/>
                <w:color w:val="auto"/>
              </w:rPr>
              <w:t>254</w:t>
            </w:r>
          </w:p>
        </w:tc>
        <w:tc>
          <w:tcPr>
            <w:tcW w:w="280" w:type="dxa"/>
            <w:vAlign w:val="bottom"/>
          </w:tcPr>
          <w:p>
            <w:pPr>
              <w:spacing w:after="0"/>
              <w:rPr>
                <w:sz w:val="16"/>
                <w:szCs w:val="16"/>
                <w:color w:val="auto"/>
              </w:rPr>
            </w:pPr>
          </w:p>
        </w:tc>
        <w:tc>
          <w:tcPr>
            <w:tcW w:w="940" w:type="dxa"/>
            <w:vAlign w:val="bottom"/>
          </w:tcPr>
          <w:p>
            <w:pPr>
              <w:jc w:val="right"/>
              <w:ind w:right="34"/>
              <w:spacing w:after="0" w:line="189" w:lineRule="exact"/>
              <w:rPr>
                <w:sz w:val="20"/>
                <w:szCs w:val="20"/>
                <w:color w:val="auto"/>
              </w:rPr>
            </w:pPr>
            <w:r>
              <w:rPr>
                <w:rFonts w:ascii="Arial" w:cs="Arial" w:eastAsia="Arial" w:hAnsi="Arial"/>
                <w:sz w:val="17"/>
                <w:szCs w:val="17"/>
                <w:color w:val="auto"/>
              </w:rPr>
              <w:t>172</w:t>
            </w:r>
          </w:p>
        </w:tc>
      </w:tr>
      <w:tr>
        <w:trPr>
          <w:trHeight w:val="189"/>
        </w:trPr>
        <w:tc>
          <w:tcPr>
            <w:tcW w:w="6200" w:type="dxa"/>
            <w:vAlign w:val="bottom"/>
            <w:tcBorders>
              <w:bottom w:val="single" w:sz="8" w:color="auto"/>
            </w:tcBorders>
            <w:shd w:val="clear" w:color="auto" w:fill="CFF0FC"/>
          </w:tcPr>
          <w:p>
            <w:pPr>
              <w:spacing w:after="0" w:line="189" w:lineRule="exact"/>
              <w:rPr>
                <w:sz w:val="20"/>
                <w:szCs w:val="20"/>
                <w:color w:val="auto"/>
              </w:rPr>
            </w:pPr>
            <w:r>
              <w:rPr>
                <w:rFonts w:ascii="Arial" w:cs="Arial" w:eastAsia="Arial" w:hAnsi="Arial"/>
                <w:sz w:val="17"/>
                <w:szCs w:val="17"/>
                <w:color w:val="auto"/>
              </w:rPr>
              <w:t>Other nonoperating income, net</w:t>
            </w:r>
          </w:p>
        </w:tc>
        <w:tc>
          <w:tcPr>
            <w:tcW w:w="120" w:type="dxa"/>
            <w:vAlign w:val="bottom"/>
            <w:tcBorders>
              <w:bottom w:val="single" w:sz="8" w:color="auto"/>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ind w:right="14"/>
              <w:spacing w:after="0" w:line="189" w:lineRule="exact"/>
              <w:rPr>
                <w:sz w:val="20"/>
                <w:szCs w:val="20"/>
                <w:color w:val="auto"/>
              </w:rPr>
            </w:pPr>
            <w:r>
              <w:rPr>
                <w:rFonts w:ascii="Arial" w:cs="Arial" w:eastAsia="Arial" w:hAnsi="Arial"/>
                <w:sz w:val="17"/>
                <w:szCs w:val="17"/>
                <w:color w:val="auto"/>
              </w:rPr>
              <w:t>(13)</w:t>
            </w:r>
          </w:p>
        </w:tc>
        <w:tc>
          <w:tcPr>
            <w:tcW w:w="30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(4)</w:t>
            </w:r>
          </w:p>
        </w:tc>
        <w:tc>
          <w:tcPr>
            <w:tcW w:w="24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(33)</w:t>
            </w:r>
          </w:p>
        </w:tc>
        <w:tc>
          <w:tcPr>
            <w:tcW w:w="28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(23)</w:t>
            </w:r>
          </w:p>
        </w:tc>
      </w:tr>
      <w:tr>
        <w:trPr>
          <w:trHeight w:val="160"/>
        </w:trPr>
        <w:tc>
          <w:tcPr>
            <w:tcW w:w="6200" w:type="dxa"/>
            <w:vAlign w:val="bottom"/>
          </w:tcPr>
          <w:p>
            <w:pPr>
              <w:spacing w:after="0" w:line="160" w:lineRule="exact"/>
              <w:rPr>
                <w:sz w:val="20"/>
                <w:szCs w:val="20"/>
                <w:color w:val="auto"/>
              </w:rPr>
            </w:pPr>
            <w:r>
              <w:rPr>
                <w:rFonts w:ascii="Arial" w:cs="Arial" w:eastAsia="Arial" w:hAnsi="Arial"/>
                <w:sz w:val="17"/>
                <w:szCs w:val="17"/>
                <w:color w:val="auto"/>
              </w:rPr>
              <w:t>Earnings from continuing operations before income tax expense</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right"/>
              <w:ind w:right="74"/>
              <w:spacing w:after="0" w:line="160" w:lineRule="exact"/>
              <w:rPr>
                <w:sz w:val="20"/>
                <w:szCs w:val="20"/>
                <w:color w:val="auto"/>
              </w:rPr>
            </w:pPr>
            <w:r>
              <w:rPr>
                <w:rFonts w:ascii="Arial" w:cs="Arial" w:eastAsia="Arial" w:hAnsi="Arial"/>
                <w:sz w:val="17"/>
                <w:szCs w:val="17"/>
                <w:color w:val="auto"/>
              </w:rPr>
              <w:t>313</w:t>
            </w:r>
          </w:p>
        </w:tc>
        <w:tc>
          <w:tcPr>
            <w:tcW w:w="300" w:type="dxa"/>
            <w:vAlign w:val="bottom"/>
          </w:tcPr>
          <w:p>
            <w:pPr>
              <w:spacing w:after="0"/>
              <w:rPr>
                <w:sz w:val="13"/>
                <w:szCs w:val="13"/>
                <w:color w:val="auto"/>
              </w:rPr>
            </w:pPr>
          </w:p>
        </w:tc>
        <w:tc>
          <w:tcPr>
            <w:tcW w:w="1020" w:type="dxa"/>
            <w:vAlign w:val="bottom"/>
          </w:tcPr>
          <w:p>
            <w:pPr>
              <w:jc w:val="right"/>
              <w:ind w:right="74"/>
              <w:spacing w:after="0" w:line="160" w:lineRule="exact"/>
              <w:rPr>
                <w:sz w:val="20"/>
                <w:szCs w:val="20"/>
                <w:color w:val="auto"/>
              </w:rPr>
            </w:pPr>
            <w:r>
              <w:rPr>
                <w:rFonts w:ascii="Arial" w:cs="Arial" w:eastAsia="Arial" w:hAnsi="Arial"/>
                <w:sz w:val="17"/>
                <w:szCs w:val="17"/>
                <w:color w:val="auto"/>
              </w:rPr>
              <w:t>450</w:t>
            </w:r>
          </w:p>
        </w:tc>
        <w:tc>
          <w:tcPr>
            <w:tcW w:w="240" w:type="dxa"/>
            <w:vAlign w:val="bottom"/>
          </w:tcPr>
          <w:p>
            <w:pPr>
              <w:spacing w:after="0"/>
              <w:rPr>
                <w:sz w:val="13"/>
                <w:szCs w:val="13"/>
                <w:color w:val="auto"/>
              </w:rPr>
            </w:pPr>
          </w:p>
        </w:tc>
        <w:tc>
          <w:tcPr>
            <w:tcW w:w="920" w:type="dxa"/>
            <w:vAlign w:val="bottom"/>
          </w:tcPr>
          <w:p>
            <w:pPr>
              <w:jc w:val="right"/>
              <w:ind w:right="74"/>
              <w:spacing w:after="0" w:line="160" w:lineRule="exact"/>
              <w:rPr>
                <w:sz w:val="20"/>
                <w:szCs w:val="20"/>
                <w:color w:val="auto"/>
              </w:rPr>
            </w:pPr>
            <w:r>
              <w:rPr>
                <w:rFonts w:ascii="Arial" w:cs="Arial" w:eastAsia="Arial" w:hAnsi="Arial"/>
                <w:sz w:val="17"/>
                <w:szCs w:val="17"/>
                <w:color w:val="auto"/>
              </w:rPr>
              <w:t>751</w:t>
            </w:r>
          </w:p>
        </w:tc>
        <w:tc>
          <w:tcPr>
            <w:tcW w:w="280" w:type="dxa"/>
            <w:vAlign w:val="bottom"/>
          </w:tcPr>
          <w:p>
            <w:pPr>
              <w:spacing w:after="0"/>
              <w:rPr>
                <w:sz w:val="13"/>
                <w:szCs w:val="13"/>
                <w:color w:val="auto"/>
              </w:rPr>
            </w:pPr>
          </w:p>
        </w:tc>
        <w:tc>
          <w:tcPr>
            <w:tcW w:w="940" w:type="dxa"/>
            <w:vAlign w:val="bottom"/>
          </w:tcPr>
          <w:p>
            <w:pPr>
              <w:jc w:val="right"/>
              <w:ind w:right="34"/>
              <w:spacing w:after="0" w:line="160" w:lineRule="exact"/>
              <w:rPr>
                <w:sz w:val="20"/>
                <w:szCs w:val="20"/>
                <w:color w:val="auto"/>
              </w:rPr>
            </w:pPr>
            <w:r>
              <w:rPr>
                <w:rFonts w:ascii="Arial" w:cs="Arial" w:eastAsia="Arial" w:hAnsi="Arial"/>
                <w:sz w:val="17"/>
                <w:szCs w:val="17"/>
                <w:color w:val="auto"/>
              </w:rPr>
              <w:t>947</w:t>
            </w:r>
          </w:p>
        </w:tc>
      </w:tr>
      <w:tr>
        <w:trPr>
          <w:trHeight w:val="179"/>
        </w:trPr>
        <w:tc>
          <w:tcPr>
            <w:tcW w:w="6200" w:type="dxa"/>
            <w:vAlign w:val="bottom"/>
          </w:tcPr>
          <w:p>
            <w:pPr>
              <w:spacing w:after="0" w:line="179" w:lineRule="exact"/>
              <w:rPr>
                <w:sz w:val="20"/>
                <w:szCs w:val="20"/>
                <w:color w:val="auto"/>
              </w:rPr>
            </w:pPr>
            <w:r>
              <w:rPr>
                <w:rFonts w:ascii="Arial" w:cs="Arial" w:eastAsia="Arial" w:hAnsi="Arial"/>
                <w:sz w:val="17"/>
                <w:szCs w:val="17"/>
                <w:color w:val="auto"/>
              </w:rPr>
              <w:t>Income tax expense</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ind w:right="74"/>
              <w:spacing w:after="0" w:line="179" w:lineRule="exact"/>
              <w:rPr>
                <w:sz w:val="20"/>
                <w:szCs w:val="20"/>
                <w:color w:val="auto"/>
              </w:rPr>
            </w:pPr>
            <w:r>
              <w:rPr>
                <w:rFonts w:ascii="Arial" w:cs="Arial" w:eastAsia="Arial" w:hAnsi="Arial"/>
                <w:sz w:val="17"/>
                <w:szCs w:val="17"/>
                <w:color w:val="auto"/>
              </w:rPr>
              <w:t>57</w:t>
            </w:r>
          </w:p>
        </w:tc>
        <w:tc>
          <w:tcPr>
            <w:tcW w:w="300" w:type="dxa"/>
            <w:vAlign w:val="bottom"/>
          </w:tcPr>
          <w:p>
            <w:pPr>
              <w:spacing w:after="0"/>
              <w:rPr>
                <w:sz w:val="15"/>
                <w:szCs w:val="15"/>
                <w:color w:val="auto"/>
              </w:rPr>
            </w:pPr>
          </w:p>
        </w:tc>
        <w:tc>
          <w:tcPr>
            <w:tcW w:w="1020" w:type="dxa"/>
            <w:vAlign w:val="bottom"/>
          </w:tcPr>
          <w:p>
            <w:pPr>
              <w:jc w:val="right"/>
              <w:ind w:right="74"/>
              <w:spacing w:after="0" w:line="179" w:lineRule="exact"/>
              <w:rPr>
                <w:sz w:val="20"/>
                <w:szCs w:val="20"/>
                <w:color w:val="auto"/>
              </w:rPr>
            </w:pPr>
            <w:r>
              <w:rPr>
                <w:rFonts w:ascii="Arial" w:cs="Arial" w:eastAsia="Arial" w:hAnsi="Arial"/>
                <w:sz w:val="17"/>
                <w:szCs w:val="17"/>
                <w:color w:val="auto"/>
              </w:rPr>
              <w:t>89</w:t>
            </w:r>
          </w:p>
        </w:tc>
        <w:tc>
          <w:tcPr>
            <w:tcW w:w="240" w:type="dxa"/>
            <w:vAlign w:val="bottom"/>
          </w:tcPr>
          <w:p>
            <w:pPr>
              <w:spacing w:after="0"/>
              <w:rPr>
                <w:sz w:val="15"/>
                <w:szCs w:val="15"/>
                <w:color w:val="auto"/>
              </w:rPr>
            </w:pPr>
          </w:p>
        </w:tc>
        <w:tc>
          <w:tcPr>
            <w:tcW w:w="920" w:type="dxa"/>
            <w:vAlign w:val="bottom"/>
          </w:tcPr>
          <w:p>
            <w:pPr>
              <w:jc w:val="right"/>
              <w:ind w:right="74"/>
              <w:spacing w:after="0" w:line="179" w:lineRule="exact"/>
              <w:rPr>
                <w:sz w:val="20"/>
                <w:szCs w:val="20"/>
                <w:color w:val="auto"/>
              </w:rPr>
            </w:pPr>
            <w:r>
              <w:rPr>
                <w:rFonts w:ascii="Arial" w:cs="Arial" w:eastAsia="Arial" w:hAnsi="Arial"/>
                <w:sz w:val="17"/>
                <w:szCs w:val="17"/>
                <w:color w:val="auto"/>
              </w:rPr>
              <w:t>159</w:t>
            </w:r>
          </w:p>
        </w:tc>
        <w:tc>
          <w:tcPr>
            <w:tcW w:w="280" w:type="dxa"/>
            <w:vAlign w:val="bottom"/>
          </w:tcPr>
          <w:p>
            <w:pPr>
              <w:spacing w:after="0"/>
              <w:rPr>
                <w:sz w:val="15"/>
                <w:szCs w:val="15"/>
                <w:color w:val="auto"/>
              </w:rPr>
            </w:pPr>
          </w:p>
        </w:tc>
        <w:tc>
          <w:tcPr>
            <w:tcW w:w="940" w:type="dxa"/>
            <w:vAlign w:val="bottom"/>
          </w:tcPr>
          <w:p>
            <w:pPr>
              <w:jc w:val="right"/>
              <w:ind w:right="34"/>
              <w:spacing w:after="0" w:line="179" w:lineRule="exact"/>
              <w:rPr>
                <w:sz w:val="20"/>
                <w:szCs w:val="20"/>
                <w:color w:val="auto"/>
              </w:rPr>
            </w:pPr>
            <w:r>
              <w:rPr>
                <w:rFonts w:ascii="Arial" w:cs="Arial" w:eastAsia="Arial" w:hAnsi="Arial"/>
                <w:sz w:val="17"/>
                <w:szCs w:val="17"/>
                <w:color w:val="auto"/>
              </w:rPr>
              <w:t>190</w:t>
            </w:r>
          </w:p>
        </w:tc>
      </w:tr>
      <w:tr>
        <w:trPr>
          <w:trHeight w:val="249"/>
        </w:trPr>
        <w:tc>
          <w:tcPr>
            <w:tcW w:w="6200" w:type="dxa"/>
            <w:vAlign w:val="bottom"/>
          </w:tcPr>
          <w:p>
            <w:pPr>
              <w:spacing w:after="0" w:line="248" w:lineRule="exact"/>
              <w:rPr>
                <w:sz w:val="20"/>
                <w:szCs w:val="20"/>
                <w:color w:val="auto"/>
              </w:rPr>
            </w:pPr>
            <w:r>
              <w:rPr>
                <w:rFonts w:ascii="Arial" w:cs="Arial" w:eastAsia="Arial" w:hAnsi="Arial"/>
                <w:sz w:val="17"/>
                <w:szCs w:val="17"/>
                <w:color w:val="auto"/>
              </w:rPr>
              <w:t>Earnings from continuing operations</w:t>
            </w:r>
            <w:r>
              <w:rPr>
                <w:rFonts w:ascii="Arial" w:cs="Arial" w:eastAsia="Arial" w:hAnsi="Arial"/>
                <w:sz w:val="22"/>
                <w:szCs w:val="22"/>
                <w:color w:val="auto"/>
                <w:vertAlign w:val="superscript"/>
              </w:rPr>
              <w:t>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74"/>
              <w:spacing w:after="0"/>
              <w:rPr>
                <w:sz w:val="20"/>
                <w:szCs w:val="20"/>
                <w:color w:val="auto"/>
              </w:rPr>
            </w:pPr>
            <w:r>
              <w:rPr>
                <w:rFonts w:ascii="Arial" w:cs="Arial" w:eastAsia="Arial" w:hAnsi="Arial"/>
                <w:sz w:val="17"/>
                <w:szCs w:val="17"/>
                <w:color w:val="auto"/>
              </w:rPr>
              <w:t>256</w:t>
            </w:r>
          </w:p>
        </w:tc>
        <w:tc>
          <w:tcPr>
            <w:tcW w:w="300" w:type="dxa"/>
            <w:vAlign w:val="bottom"/>
          </w:tcPr>
          <w:p>
            <w:pPr>
              <w:spacing w:after="0"/>
              <w:rPr>
                <w:sz w:val="21"/>
                <w:szCs w:val="21"/>
                <w:color w:val="auto"/>
              </w:rPr>
            </w:pPr>
          </w:p>
        </w:tc>
        <w:tc>
          <w:tcPr>
            <w:tcW w:w="1020" w:type="dxa"/>
            <w:vAlign w:val="bottom"/>
          </w:tcPr>
          <w:p>
            <w:pPr>
              <w:jc w:val="right"/>
              <w:ind w:right="74"/>
              <w:spacing w:after="0"/>
              <w:rPr>
                <w:sz w:val="20"/>
                <w:szCs w:val="20"/>
                <w:color w:val="auto"/>
              </w:rPr>
            </w:pPr>
            <w:r>
              <w:rPr>
                <w:rFonts w:ascii="Arial" w:cs="Arial" w:eastAsia="Arial" w:hAnsi="Arial"/>
                <w:sz w:val="17"/>
                <w:szCs w:val="17"/>
                <w:color w:val="auto"/>
              </w:rPr>
              <w:t>361</w:t>
            </w:r>
          </w:p>
        </w:tc>
        <w:tc>
          <w:tcPr>
            <w:tcW w:w="240" w:type="dxa"/>
            <w:vAlign w:val="bottom"/>
          </w:tcPr>
          <w:p>
            <w:pPr>
              <w:spacing w:after="0"/>
              <w:rPr>
                <w:sz w:val="21"/>
                <w:szCs w:val="21"/>
                <w:color w:val="auto"/>
              </w:rPr>
            </w:pPr>
          </w:p>
        </w:tc>
        <w:tc>
          <w:tcPr>
            <w:tcW w:w="920" w:type="dxa"/>
            <w:vAlign w:val="bottom"/>
          </w:tcPr>
          <w:p>
            <w:pPr>
              <w:jc w:val="right"/>
              <w:ind w:right="74"/>
              <w:spacing w:after="0"/>
              <w:rPr>
                <w:sz w:val="20"/>
                <w:szCs w:val="20"/>
                <w:color w:val="auto"/>
              </w:rPr>
            </w:pPr>
            <w:r>
              <w:rPr>
                <w:rFonts w:ascii="Arial" w:cs="Arial" w:eastAsia="Arial" w:hAnsi="Arial"/>
                <w:sz w:val="17"/>
                <w:szCs w:val="17"/>
                <w:color w:val="auto"/>
              </w:rPr>
              <w:t>592</w:t>
            </w:r>
          </w:p>
        </w:tc>
        <w:tc>
          <w:tcPr>
            <w:tcW w:w="28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7"/>
                <w:szCs w:val="17"/>
                <w:color w:val="auto"/>
              </w:rPr>
              <w:t>757</w:t>
            </w:r>
          </w:p>
        </w:tc>
      </w:tr>
      <w:tr>
        <w:trPr>
          <w:trHeight w:val="189"/>
        </w:trPr>
        <w:tc>
          <w:tcPr>
            <w:tcW w:w="6200" w:type="dxa"/>
            <w:vAlign w:val="bottom"/>
            <w:tcBorders>
              <w:bottom w:val="single" w:sz="8" w:color="auto"/>
            </w:tcBorders>
            <w:shd w:val="clear" w:color="auto" w:fill="CFF0FC"/>
          </w:tcPr>
          <w:p>
            <w:pPr>
              <w:spacing w:after="0" w:line="189" w:lineRule="exact"/>
              <w:rPr>
                <w:sz w:val="20"/>
                <w:szCs w:val="20"/>
                <w:color w:val="auto"/>
              </w:rPr>
            </w:pPr>
            <w:r>
              <w:rPr>
                <w:rFonts w:ascii="Arial" w:cs="Arial" w:eastAsia="Arial" w:hAnsi="Arial"/>
                <w:sz w:val="17"/>
                <w:szCs w:val="17"/>
                <w:color w:val="auto"/>
              </w:rPr>
              <w:t>Earnings from discontinued operations, net of income tax expense</w:t>
            </w:r>
          </w:p>
        </w:tc>
        <w:tc>
          <w:tcPr>
            <w:tcW w:w="120" w:type="dxa"/>
            <w:vAlign w:val="bottom"/>
            <w:tcBorders>
              <w:bottom w:val="single" w:sz="8" w:color="auto"/>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ind w:right="74"/>
              <w:spacing w:after="0" w:line="189" w:lineRule="exact"/>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ind w:right="74"/>
              <w:spacing w:after="0" w:line="189" w:lineRule="exact"/>
              <w:rPr>
                <w:sz w:val="20"/>
                <w:szCs w:val="20"/>
                <w:color w:val="auto"/>
              </w:rPr>
            </w:pPr>
            <w:r>
              <w:rPr>
                <w:rFonts w:ascii="Arial" w:cs="Arial" w:eastAsia="Arial" w:hAnsi="Arial"/>
                <w:sz w:val="17"/>
                <w:szCs w:val="17"/>
                <w:color w:val="auto"/>
              </w:rPr>
              <w:t>53</w:t>
            </w:r>
          </w:p>
        </w:tc>
        <w:tc>
          <w:tcPr>
            <w:tcW w:w="24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ind w:right="74"/>
              <w:spacing w:after="0" w:line="189" w:lineRule="exact"/>
              <w:rPr>
                <w:sz w:val="20"/>
                <w:szCs w:val="20"/>
                <w:color w:val="auto"/>
              </w:rPr>
            </w:pPr>
            <w:r>
              <w:rPr>
                <w:rFonts w:ascii="Arial" w:cs="Arial" w:eastAsia="Arial" w:hAnsi="Arial"/>
                <w:sz w:val="17"/>
                <w:szCs w:val="17"/>
                <w:color w:val="auto"/>
              </w:rPr>
              <w:t>1,428</w:t>
            </w:r>
          </w:p>
        </w:tc>
        <w:tc>
          <w:tcPr>
            <w:tcW w:w="28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ind w:right="34"/>
              <w:spacing w:after="0" w:line="189" w:lineRule="exact"/>
              <w:rPr>
                <w:sz w:val="20"/>
                <w:szCs w:val="20"/>
                <w:color w:val="auto"/>
              </w:rPr>
            </w:pPr>
            <w:r>
              <w:rPr>
                <w:rFonts w:ascii="Arial" w:cs="Arial" w:eastAsia="Arial" w:hAnsi="Arial"/>
                <w:sz w:val="17"/>
                <w:szCs w:val="17"/>
                <w:color w:val="auto"/>
              </w:rPr>
              <w:t>101</w:t>
            </w:r>
          </w:p>
        </w:tc>
      </w:tr>
      <w:tr>
        <w:trPr>
          <w:trHeight w:val="183"/>
        </w:trPr>
        <w:tc>
          <w:tcPr>
            <w:tcW w:w="6200" w:type="dxa"/>
            <w:vAlign w:val="bottom"/>
          </w:tcPr>
          <w:p>
            <w:pPr>
              <w:spacing w:after="0" w:line="183" w:lineRule="exact"/>
              <w:rPr>
                <w:sz w:val="20"/>
                <w:szCs w:val="20"/>
                <w:color w:val="auto"/>
              </w:rPr>
            </w:pPr>
            <w:r>
              <w:rPr>
                <w:rFonts w:ascii="Arial" w:cs="Arial" w:eastAsia="Arial" w:hAnsi="Arial"/>
                <w:sz w:val="17"/>
                <w:szCs w:val="17"/>
                <w:color w:val="auto"/>
              </w:rPr>
              <w:t>Consolidated net earnings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ind w:right="74"/>
              <w:spacing w:after="0" w:line="183" w:lineRule="exact"/>
              <w:rPr>
                <w:sz w:val="20"/>
                <w:szCs w:val="20"/>
                <w:color w:val="auto"/>
              </w:rPr>
            </w:pPr>
            <w:r>
              <w:rPr>
                <w:rFonts w:ascii="Arial" w:cs="Arial" w:eastAsia="Arial" w:hAnsi="Arial"/>
                <w:sz w:val="17"/>
                <w:szCs w:val="17"/>
                <w:color w:val="auto"/>
              </w:rPr>
              <w:t>256</w:t>
            </w:r>
          </w:p>
        </w:tc>
        <w:tc>
          <w:tcPr>
            <w:tcW w:w="300" w:type="dxa"/>
            <w:vAlign w:val="bottom"/>
          </w:tcPr>
          <w:p>
            <w:pPr>
              <w:spacing w:after="0"/>
              <w:rPr>
                <w:sz w:val="15"/>
                <w:szCs w:val="15"/>
                <w:color w:val="auto"/>
              </w:rPr>
            </w:pPr>
          </w:p>
        </w:tc>
        <w:tc>
          <w:tcPr>
            <w:tcW w:w="1020" w:type="dxa"/>
            <w:vAlign w:val="bottom"/>
          </w:tcPr>
          <w:p>
            <w:pPr>
              <w:jc w:val="right"/>
              <w:ind w:right="74"/>
              <w:spacing w:after="0" w:line="183" w:lineRule="exact"/>
              <w:rPr>
                <w:sz w:val="20"/>
                <w:szCs w:val="20"/>
                <w:color w:val="auto"/>
              </w:rPr>
            </w:pPr>
            <w:r>
              <w:rPr>
                <w:rFonts w:ascii="Arial" w:cs="Arial" w:eastAsia="Arial" w:hAnsi="Arial"/>
                <w:sz w:val="17"/>
                <w:szCs w:val="17"/>
                <w:color w:val="auto"/>
              </w:rPr>
              <w:t>414</w:t>
            </w:r>
          </w:p>
        </w:tc>
        <w:tc>
          <w:tcPr>
            <w:tcW w:w="240" w:type="dxa"/>
            <w:vAlign w:val="bottom"/>
          </w:tcPr>
          <w:p>
            <w:pPr>
              <w:spacing w:after="0"/>
              <w:rPr>
                <w:sz w:val="15"/>
                <w:szCs w:val="15"/>
                <w:color w:val="auto"/>
              </w:rPr>
            </w:pPr>
          </w:p>
        </w:tc>
        <w:tc>
          <w:tcPr>
            <w:tcW w:w="920" w:type="dxa"/>
            <w:vAlign w:val="bottom"/>
          </w:tcPr>
          <w:p>
            <w:pPr>
              <w:jc w:val="right"/>
              <w:ind w:right="74"/>
              <w:spacing w:after="0" w:line="183" w:lineRule="exact"/>
              <w:rPr>
                <w:sz w:val="20"/>
                <w:szCs w:val="20"/>
                <w:color w:val="auto"/>
              </w:rPr>
            </w:pPr>
            <w:r>
              <w:rPr>
                <w:rFonts w:ascii="Arial" w:cs="Arial" w:eastAsia="Arial" w:hAnsi="Arial"/>
                <w:sz w:val="17"/>
                <w:szCs w:val="17"/>
                <w:color w:val="auto"/>
              </w:rPr>
              <w:t>2,020</w:t>
            </w:r>
          </w:p>
        </w:tc>
        <w:tc>
          <w:tcPr>
            <w:tcW w:w="280" w:type="dxa"/>
            <w:vAlign w:val="bottom"/>
          </w:tcPr>
          <w:p>
            <w:pPr>
              <w:spacing w:after="0"/>
              <w:rPr>
                <w:sz w:val="15"/>
                <w:szCs w:val="15"/>
                <w:color w:val="auto"/>
              </w:rPr>
            </w:pPr>
          </w:p>
        </w:tc>
        <w:tc>
          <w:tcPr>
            <w:tcW w:w="940" w:type="dxa"/>
            <w:vAlign w:val="bottom"/>
          </w:tcPr>
          <w:p>
            <w:pPr>
              <w:jc w:val="right"/>
              <w:ind w:right="34"/>
              <w:spacing w:after="0" w:line="183" w:lineRule="exact"/>
              <w:rPr>
                <w:sz w:val="20"/>
                <w:szCs w:val="20"/>
                <w:color w:val="auto"/>
              </w:rPr>
            </w:pPr>
            <w:r>
              <w:rPr>
                <w:rFonts w:ascii="Arial" w:cs="Arial" w:eastAsia="Arial" w:hAnsi="Arial"/>
                <w:sz w:val="17"/>
                <w:szCs w:val="17"/>
                <w:color w:val="auto"/>
              </w:rPr>
              <w:t>858</w:t>
            </w:r>
          </w:p>
        </w:tc>
      </w:tr>
      <w:tr>
        <w:trPr>
          <w:trHeight w:val="189"/>
        </w:trPr>
        <w:tc>
          <w:tcPr>
            <w:tcW w:w="6200" w:type="dxa"/>
            <w:vAlign w:val="bottom"/>
            <w:tcBorders>
              <w:bottom w:val="single" w:sz="8" w:color="auto"/>
            </w:tcBorders>
            <w:shd w:val="clear" w:color="auto" w:fill="CFF0FC"/>
          </w:tcPr>
          <w:p>
            <w:pPr>
              <w:spacing w:after="0" w:line="189" w:lineRule="exact"/>
              <w:rPr>
                <w:sz w:val="20"/>
                <w:szCs w:val="20"/>
                <w:color w:val="auto"/>
              </w:rPr>
            </w:pPr>
            <w:r>
              <w:rPr>
                <w:rFonts w:ascii="Arial" w:cs="Arial" w:eastAsia="Arial" w:hAnsi="Arial"/>
                <w:sz w:val="17"/>
                <w:szCs w:val="17"/>
                <w:color w:val="auto"/>
              </w:rPr>
              <w:t>Less: Net earnings attributable to noncontrolling interests</w:t>
            </w:r>
          </w:p>
        </w:tc>
        <w:tc>
          <w:tcPr>
            <w:tcW w:w="120" w:type="dxa"/>
            <w:vAlign w:val="bottom"/>
            <w:tcBorders>
              <w:bottom w:val="single" w:sz="8" w:color="auto"/>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ind w:right="74"/>
              <w:spacing w:after="0" w:line="189" w:lineRule="exact"/>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ind w:right="74"/>
              <w:spacing w:after="0" w:line="189" w:lineRule="exact"/>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ind w:right="74"/>
              <w:spacing w:after="0" w:line="189" w:lineRule="exact"/>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ind w:right="34"/>
              <w:spacing w:after="0" w:line="189" w:lineRule="exact"/>
              <w:rPr>
                <w:sz w:val="20"/>
                <w:szCs w:val="20"/>
                <w:color w:val="auto"/>
              </w:rPr>
            </w:pPr>
            <w:r>
              <w:rPr>
                <w:rFonts w:ascii="Arial" w:cs="Arial" w:eastAsia="Arial" w:hAnsi="Arial"/>
                <w:sz w:val="17"/>
                <w:szCs w:val="17"/>
                <w:color w:val="auto"/>
              </w:rPr>
              <w:t>—</w:t>
            </w:r>
          </w:p>
        </w:tc>
      </w:tr>
      <w:tr>
        <w:trPr>
          <w:trHeight w:val="183"/>
        </w:trPr>
        <w:tc>
          <w:tcPr>
            <w:tcW w:w="620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b w:val="1"/>
                <w:bCs w:val="1"/>
                <w:color w:val="auto"/>
              </w:rPr>
              <w:t>Net Earnings Attributable to Martin Marietta</w:t>
            </w:r>
          </w:p>
        </w:tc>
        <w:tc>
          <w:tcPr>
            <w:tcW w:w="320" w:type="dxa"/>
            <w:vAlign w:val="bottom"/>
            <w:tcBorders>
              <w:bottom w:val="single" w:sz="8" w:color="auto"/>
            </w:tcBorders>
            <w:gridSpan w:val="2"/>
          </w:tcPr>
          <w:p>
            <w:pPr>
              <w:jc w:val="right"/>
              <w:ind w:right="45"/>
              <w:spacing w:after="0" w:line="183" w:lineRule="exact"/>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74"/>
              <w:spacing w:after="0" w:line="183" w:lineRule="exact"/>
              <w:rPr>
                <w:sz w:val="20"/>
                <w:szCs w:val="20"/>
                <w:color w:val="auto"/>
              </w:rPr>
            </w:pPr>
            <w:r>
              <w:rPr>
                <w:rFonts w:ascii="Arial" w:cs="Arial" w:eastAsia="Arial" w:hAnsi="Arial"/>
                <w:sz w:val="17"/>
                <w:szCs w:val="17"/>
                <w:color w:val="auto"/>
              </w:rPr>
              <w:t>256</w:t>
            </w:r>
          </w:p>
        </w:tc>
        <w:tc>
          <w:tcPr>
            <w:tcW w:w="30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74"/>
              <w:spacing w:after="0" w:line="183" w:lineRule="exact"/>
              <w:rPr>
                <w:sz w:val="20"/>
                <w:szCs w:val="20"/>
                <w:color w:val="auto"/>
              </w:rPr>
            </w:pPr>
            <w:r>
              <w:rPr>
                <w:rFonts w:ascii="Arial" w:cs="Arial" w:eastAsia="Arial" w:hAnsi="Arial"/>
                <w:sz w:val="17"/>
                <w:szCs w:val="17"/>
                <w:color w:val="auto"/>
              </w:rPr>
              <w:t>414</w:t>
            </w:r>
          </w:p>
        </w:tc>
        <w:tc>
          <w:tcPr>
            <w:tcW w:w="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ind w:right="74"/>
              <w:spacing w:after="0" w:line="183" w:lineRule="exact"/>
              <w:rPr>
                <w:sz w:val="20"/>
                <w:szCs w:val="20"/>
                <w:color w:val="auto"/>
              </w:rPr>
            </w:pPr>
            <w:r>
              <w:rPr>
                <w:rFonts w:ascii="Arial" w:cs="Arial" w:eastAsia="Arial" w:hAnsi="Arial"/>
                <w:sz w:val="17"/>
                <w:szCs w:val="17"/>
                <w:color w:val="auto"/>
              </w:rPr>
              <w:t>2,020</w:t>
            </w:r>
          </w:p>
        </w:tc>
        <w:tc>
          <w:tcPr>
            <w:tcW w:w="28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ind w:right="34"/>
              <w:spacing w:after="0" w:line="183" w:lineRule="exact"/>
              <w:rPr>
                <w:sz w:val="20"/>
                <w:szCs w:val="20"/>
                <w:color w:val="auto"/>
              </w:rPr>
            </w:pPr>
            <w:r>
              <w:rPr>
                <w:rFonts w:ascii="Arial" w:cs="Arial" w:eastAsia="Arial" w:hAnsi="Arial"/>
                <w:sz w:val="17"/>
                <w:szCs w:val="17"/>
                <w:color w:val="auto"/>
              </w:rPr>
              <w:t>858</w:t>
            </w:r>
          </w:p>
        </w:tc>
      </w:tr>
      <w:tr>
        <w:trPr>
          <w:trHeight w:val="20"/>
        </w:trPr>
        <w:tc>
          <w:tcPr>
            <w:tcW w:w="6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69"/>
        </w:trPr>
        <w:tc>
          <w:tcPr>
            <w:tcW w:w="6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r>
      <w:tr>
        <w:trPr>
          <w:trHeight w:val="189"/>
        </w:trPr>
        <w:tc>
          <w:tcPr>
            <w:tcW w:w="6200" w:type="dxa"/>
            <w:vAlign w:val="bottom"/>
          </w:tcPr>
          <w:p>
            <w:pPr>
              <w:spacing w:after="0" w:line="189" w:lineRule="exact"/>
              <w:rPr>
                <w:sz w:val="20"/>
                <w:szCs w:val="20"/>
                <w:color w:val="auto"/>
              </w:rPr>
            </w:pPr>
            <w:r>
              <w:rPr>
                <w:rFonts w:ascii="Arial" w:cs="Arial" w:eastAsia="Arial" w:hAnsi="Arial"/>
                <w:sz w:val="17"/>
                <w:szCs w:val="17"/>
                <w:b w:val="1"/>
                <w:bCs w:val="1"/>
                <w:color w:val="auto"/>
              </w:rPr>
              <w:t>Net Earnings Attributable to Martin Marietta</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9"/>
        </w:trPr>
        <w:tc>
          <w:tcPr>
            <w:tcW w:w="620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Basic earnings per share from continuing operations</w:t>
            </w:r>
          </w:p>
        </w:tc>
        <w:tc>
          <w:tcPr>
            <w:tcW w:w="320" w:type="dxa"/>
            <w:vAlign w:val="bottom"/>
            <w:gridSpan w:val="2"/>
            <w:shd w:val="clear" w:color="auto" w:fill="CFF0FC"/>
          </w:tcPr>
          <w:p>
            <w:pPr>
              <w:jc w:val="right"/>
              <w:ind w:right="45"/>
              <w:spacing w:after="0" w:line="189" w:lineRule="exact"/>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ind w:right="74"/>
              <w:spacing w:after="0" w:line="189" w:lineRule="exact"/>
              <w:rPr>
                <w:sz w:val="20"/>
                <w:szCs w:val="20"/>
                <w:color w:val="auto"/>
              </w:rPr>
            </w:pPr>
            <w:r>
              <w:rPr>
                <w:rFonts w:ascii="Arial" w:cs="Arial" w:eastAsia="Arial" w:hAnsi="Arial"/>
                <w:sz w:val="17"/>
                <w:szCs w:val="17"/>
                <w:color w:val="auto"/>
              </w:rPr>
              <w:t>3.94</w:t>
            </w:r>
          </w:p>
        </w:tc>
        <w:tc>
          <w:tcPr>
            <w:tcW w:w="300" w:type="dxa"/>
            <w:vAlign w:val="bottom"/>
            <w:shd w:val="clear" w:color="auto" w:fill="CFF0FC"/>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ind w:right="74"/>
              <w:spacing w:after="0" w:line="189" w:lineRule="exact"/>
              <w:rPr>
                <w:sz w:val="20"/>
                <w:szCs w:val="20"/>
                <w:color w:val="auto"/>
              </w:rPr>
            </w:pPr>
            <w:r>
              <w:rPr>
                <w:rFonts w:ascii="Arial" w:cs="Arial" w:eastAsia="Arial" w:hAnsi="Arial"/>
                <w:sz w:val="17"/>
                <w:szCs w:val="17"/>
                <w:color w:val="auto"/>
              </w:rPr>
              <w:t>5.98</w:t>
            </w:r>
          </w:p>
        </w:tc>
        <w:tc>
          <w:tcPr>
            <w:tcW w:w="24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w:t>
            </w:r>
          </w:p>
        </w:tc>
        <w:tc>
          <w:tcPr>
            <w:tcW w:w="920" w:type="dxa"/>
            <w:vAlign w:val="bottom"/>
            <w:shd w:val="clear" w:color="auto" w:fill="CFF0FC"/>
          </w:tcPr>
          <w:p>
            <w:pPr>
              <w:jc w:val="right"/>
              <w:ind w:right="74"/>
              <w:spacing w:after="0" w:line="189" w:lineRule="exact"/>
              <w:rPr>
                <w:sz w:val="20"/>
                <w:szCs w:val="20"/>
                <w:color w:val="auto"/>
              </w:rPr>
            </w:pPr>
            <w:r>
              <w:rPr>
                <w:rFonts w:ascii="Arial" w:cs="Arial" w:eastAsia="Arial" w:hAnsi="Arial"/>
                <w:sz w:val="17"/>
                <w:szCs w:val="17"/>
                <w:color w:val="auto"/>
              </w:rPr>
              <w:t>9.57</w:t>
            </w:r>
          </w:p>
        </w:tc>
        <w:tc>
          <w:tcPr>
            <w:tcW w:w="280" w:type="dxa"/>
            <w:vAlign w:val="bottom"/>
            <w:shd w:val="clear" w:color="auto" w:fill="CFF0FC"/>
          </w:tcPr>
          <w:p>
            <w:pPr>
              <w:jc w:val="right"/>
              <w:ind w:right="35"/>
              <w:spacing w:after="0" w:line="189" w:lineRule="exact"/>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ind w:right="34"/>
              <w:spacing w:after="0" w:line="189" w:lineRule="exact"/>
              <w:rPr>
                <w:sz w:val="20"/>
                <w:szCs w:val="20"/>
                <w:color w:val="auto"/>
              </w:rPr>
            </w:pPr>
            <w:r>
              <w:rPr>
                <w:rFonts w:ascii="Arial" w:cs="Arial" w:eastAsia="Arial" w:hAnsi="Arial"/>
                <w:sz w:val="17"/>
                <w:szCs w:val="17"/>
                <w:color w:val="auto"/>
              </w:rPr>
              <w:t>12.51</w:t>
            </w:r>
          </w:p>
        </w:tc>
      </w:tr>
      <w:tr>
        <w:trPr>
          <w:trHeight w:val="189"/>
        </w:trPr>
        <w:tc>
          <w:tcPr>
            <w:tcW w:w="620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Basic earnings per share from discontinued operations</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74"/>
              <w:spacing w:after="0" w:line="189" w:lineRule="exact"/>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74"/>
              <w:spacing w:after="0" w:line="189" w:lineRule="exact"/>
              <w:rPr>
                <w:sz w:val="20"/>
                <w:szCs w:val="20"/>
                <w:color w:val="auto"/>
              </w:rPr>
            </w:pPr>
            <w:r>
              <w:rPr>
                <w:rFonts w:ascii="Arial" w:cs="Arial" w:eastAsia="Arial" w:hAnsi="Arial"/>
                <w:sz w:val="17"/>
                <w:szCs w:val="17"/>
                <w:color w:val="auto"/>
              </w:rPr>
              <w:t>0.88</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74"/>
              <w:spacing w:after="0" w:line="189" w:lineRule="exact"/>
              <w:rPr>
                <w:sz w:val="20"/>
                <w:szCs w:val="20"/>
                <w:color w:val="auto"/>
              </w:rPr>
            </w:pPr>
            <w:r>
              <w:rPr>
                <w:rFonts w:ascii="Arial" w:cs="Arial" w:eastAsia="Arial" w:hAnsi="Arial"/>
                <w:sz w:val="17"/>
                <w:szCs w:val="17"/>
                <w:color w:val="auto"/>
              </w:rPr>
              <w:t>23.12</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
              <w:spacing w:after="0" w:line="189" w:lineRule="exact"/>
              <w:rPr>
                <w:sz w:val="20"/>
                <w:szCs w:val="20"/>
                <w:color w:val="auto"/>
              </w:rPr>
            </w:pPr>
            <w:r>
              <w:rPr>
                <w:rFonts w:ascii="Arial" w:cs="Arial" w:eastAsia="Arial" w:hAnsi="Arial"/>
                <w:sz w:val="17"/>
                <w:szCs w:val="17"/>
                <w:color w:val="auto"/>
              </w:rPr>
              <w:t>1.67</w:t>
            </w:r>
          </w:p>
        </w:tc>
      </w:tr>
      <w:tr>
        <w:trPr>
          <w:trHeight w:val="223"/>
        </w:trPr>
        <w:tc>
          <w:tcPr>
            <w:tcW w:w="6200" w:type="dxa"/>
            <w:vAlign w:val="bottom"/>
            <w:tcBorders>
              <w:bottom w:val="single" w:sz="8" w:color="auto"/>
            </w:tcBorders>
            <w:shd w:val="clear" w:color="auto" w:fill="CFF0FC"/>
          </w:tcPr>
          <w:p>
            <w:pPr>
              <w:spacing w:after="0" w:line="183" w:lineRule="exact"/>
              <w:rPr>
                <w:sz w:val="20"/>
                <w:szCs w:val="20"/>
                <w:color w:val="auto"/>
              </w:rPr>
            </w:pPr>
            <w:r>
              <w:rPr>
                <w:rFonts w:ascii="Arial" w:cs="Arial" w:eastAsia="Arial" w:hAnsi="Arial"/>
                <w:sz w:val="17"/>
                <w:szCs w:val="17"/>
                <w:color w:val="auto"/>
              </w:rPr>
              <w:t>Total basic earnings per share attributable to common shareholders</w:t>
            </w:r>
          </w:p>
        </w:tc>
        <w:tc>
          <w:tcPr>
            <w:tcW w:w="320" w:type="dxa"/>
            <w:vAlign w:val="bottom"/>
            <w:tcBorders>
              <w:bottom w:val="single" w:sz="8" w:color="auto"/>
            </w:tcBorders>
            <w:gridSpan w:val="2"/>
            <w:shd w:val="clear" w:color="auto" w:fill="CFF0FC"/>
          </w:tcPr>
          <w:p>
            <w:pPr>
              <w:jc w:val="right"/>
              <w:ind w:right="45"/>
              <w:spacing w:after="0" w:line="183" w:lineRule="exact"/>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FF0FC"/>
          </w:tcPr>
          <w:p>
            <w:pPr>
              <w:jc w:val="right"/>
              <w:ind w:right="74"/>
              <w:spacing w:after="0" w:line="183" w:lineRule="exact"/>
              <w:rPr>
                <w:sz w:val="20"/>
                <w:szCs w:val="20"/>
                <w:color w:val="auto"/>
              </w:rPr>
            </w:pPr>
            <w:r>
              <w:rPr>
                <w:rFonts w:ascii="Arial" w:cs="Arial" w:eastAsia="Arial" w:hAnsi="Arial"/>
                <w:sz w:val="17"/>
                <w:szCs w:val="17"/>
                <w:color w:val="auto"/>
              </w:rPr>
              <w:t>3.94</w:t>
            </w:r>
          </w:p>
        </w:tc>
        <w:tc>
          <w:tcPr>
            <w:tcW w:w="300" w:type="dxa"/>
            <w:vAlign w:val="bottom"/>
            <w:tcBorders>
              <w:bottom w:val="single" w:sz="8" w:color="auto"/>
            </w:tcBorders>
            <w:shd w:val="clear" w:color="auto" w:fill="CFF0FC"/>
          </w:tcPr>
          <w:p>
            <w:pPr>
              <w:jc w:val="right"/>
              <w:ind w:right="15"/>
              <w:spacing w:after="0" w:line="183" w:lineRule="exact"/>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FF0FC"/>
          </w:tcPr>
          <w:p>
            <w:pPr>
              <w:jc w:val="right"/>
              <w:ind w:right="74"/>
              <w:spacing w:after="0" w:line="183" w:lineRule="exact"/>
              <w:rPr>
                <w:sz w:val="20"/>
                <w:szCs w:val="20"/>
                <w:color w:val="auto"/>
              </w:rPr>
            </w:pPr>
            <w:r>
              <w:rPr>
                <w:rFonts w:ascii="Arial" w:cs="Arial" w:eastAsia="Arial" w:hAnsi="Arial"/>
                <w:sz w:val="17"/>
                <w:szCs w:val="17"/>
                <w:color w:val="auto"/>
              </w:rPr>
              <w:t>6.86</w:t>
            </w:r>
          </w:p>
        </w:tc>
        <w:tc>
          <w:tcPr>
            <w:tcW w:w="2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FF0FC"/>
          </w:tcPr>
          <w:p>
            <w:pPr>
              <w:jc w:val="right"/>
              <w:ind w:right="74"/>
              <w:spacing w:after="0" w:line="183" w:lineRule="exact"/>
              <w:rPr>
                <w:sz w:val="20"/>
                <w:szCs w:val="20"/>
                <w:color w:val="auto"/>
              </w:rPr>
            </w:pPr>
            <w:r>
              <w:rPr>
                <w:rFonts w:ascii="Arial" w:cs="Arial" w:eastAsia="Arial" w:hAnsi="Arial"/>
                <w:sz w:val="17"/>
                <w:szCs w:val="17"/>
                <w:color w:val="auto"/>
              </w:rPr>
              <w:t>32.69</w:t>
            </w:r>
          </w:p>
        </w:tc>
        <w:tc>
          <w:tcPr>
            <w:tcW w:w="280" w:type="dxa"/>
            <w:vAlign w:val="bottom"/>
            <w:tcBorders>
              <w:bottom w:val="single" w:sz="8" w:color="auto"/>
            </w:tcBorders>
            <w:shd w:val="clear" w:color="auto" w:fill="CFF0FC"/>
          </w:tcPr>
          <w:p>
            <w:pPr>
              <w:jc w:val="right"/>
              <w:ind w:right="35"/>
              <w:spacing w:after="0" w:line="183" w:lineRule="exact"/>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FF0FC"/>
          </w:tcPr>
          <w:p>
            <w:pPr>
              <w:jc w:val="right"/>
              <w:ind w:right="34"/>
              <w:spacing w:after="0" w:line="183" w:lineRule="exact"/>
              <w:rPr>
                <w:sz w:val="20"/>
                <w:szCs w:val="20"/>
                <w:color w:val="auto"/>
              </w:rPr>
            </w:pPr>
            <w:r>
              <w:rPr>
                <w:rFonts w:ascii="Arial" w:cs="Arial" w:eastAsia="Arial" w:hAnsi="Arial"/>
                <w:sz w:val="17"/>
                <w:szCs w:val="17"/>
                <w:color w:val="auto"/>
              </w:rPr>
              <w:t>14.18</w:t>
            </w:r>
          </w:p>
        </w:tc>
      </w:tr>
      <w:tr>
        <w:trPr>
          <w:trHeight w:val="350"/>
        </w:trPr>
        <w:tc>
          <w:tcPr>
            <w:tcW w:w="6200" w:type="dxa"/>
            <w:vAlign w:val="bottom"/>
          </w:tcPr>
          <w:p>
            <w:pPr>
              <w:spacing w:after="0"/>
              <w:rPr>
                <w:sz w:val="20"/>
                <w:szCs w:val="20"/>
                <w:color w:val="auto"/>
              </w:rPr>
            </w:pPr>
            <w:r>
              <w:rPr>
                <w:rFonts w:ascii="Arial" w:cs="Arial" w:eastAsia="Arial" w:hAnsi="Arial"/>
                <w:sz w:val="17"/>
                <w:szCs w:val="17"/>
                <w:color w:val="auto"/>
              </w:rPr>
              <w:t>Diluted earnings per share from continuing operations</w:t>
            </w:r>
            <w:r>
              <w:rPr>
                <w:rFonts w:ascii="Arial" w:cs="Arial" w:eastAsia="Arial" w:hAnsi="Arial"/>
                <w:sz w:val="22"/>
                <w:szCs w:val="22"/>
                <w:color w:val="auto"/>
                <w:vertAlign w:val="superscript"/>
              </w:rPr>
              <w:t>5</w:t>
            </w:r>
          </w:p>
        </w:tc>
        <w:tc>
          <w:tcPr>
            <w:tcW w:w="320" w:type="dxa"/>
            <w:vAlign w:val="bottom"/>
            <w:gridSpan w:val="2"/>
          </w:tcPr>
          <w:p>
            <w:pPr>
              <w:jc w:val="right"/>
              <w:ind w:right="4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74"/>
              <w:spacing w:after="0"/>
              <w:rPr>
                <w:sz w:val="20"/>
                <w:szCs w:val="20"/>
                <w:color w:val="auto"/>
              </w:rPr>
            </w:pPr>
            <w:r>
              <w:rPr>
                <w:rFonts w:ascii="Arial" w:cs="Arial" w:eastAsia="Arial" w:hAnsi="Arial"/>
                <w:sz w:val="17"/>
                <w:szCs w:val="17"/>
                <w:color w:val="auto"/>
              </w:rPr>
              <w:t>3.94</w:t>
            </w:r>
          </w:p>
        </w:tc>
        <w:tc>
          <w:tcPr>
            <w:tcW w:w="30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74"/>
              <w:spacing w:after="0"/>
              <w:rPr>
                <w:sz w:val="20"/>
                <w:szCs w:val="20"/>
                <w:color w:val="auto"/>
              </w:rPr>
            </w:pPr>
            <w:r>
              <w:rPr>
                <w:rFonts w:ascii="Arial" w:cs="Arial" w:eastAsia="Arial" w:hAnsi="Arial"/>
                <w:sz w:val="17"/>
                <w:szCs w:val="17"/>
                <w:color w:val="auto"/>
              </w:rPr>
              <w:t>5.97</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74"/>
              <w:spacing w:after="0"/>
              <w:rPr>
                <w:sz w:val="20"/>
                <w:szCs w:val="20"/>
                <w:color w:val="auto"/>
              </w:rPr>
            </w:pPr>
            <w:r>
              <w:rPr>
                <w:rFonts w:ascii="Arial" w:cs="Arial" w:eastAsia="Arial" w:hAnsi="Arial"/>
                <w:sz w:val="17"/>
                <w:szCs w:val="17"/>
                <w:color w:val="auto"/>
              </w:rPr>
              <w:t>9.55</w:t>
            </w:r>
          </w:p>
        </w:tc>
        <w:tc>
          <w:tcPr>
            <w:tcW w:w="2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34"/>
              <w:spacing w:after="0"/>
              <w:rPr>
                <w:sz w:val="20"/>
                <w:szCs w:val="20"/>
                <w:color w:val="auto"/>
              </w:rPr>
            </w:pPr>
            <w:r>
              <w:rPr>
                <w:rFonts w:ascii="Arial" w:cs="Arial" w:eastAsia="Arial" w:hAnsi="Arial"/>
                <w:sz w:val="17"/>
                <w:szCs w:val="17"/>
                <w:color w:val="auto"/>
              </w:rPr>
              <w:t>12.49</w:t>
            </w:r>
          </w:p>
        </w:tc>
      </w:tr>
      <w:tr>
        <w:trPr>
          <w:trHeight w:val="211"/>
        </w:trPr>
        <w:tc>
          <w:tcPr>
            <w:tcW w:w="62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Diluted earnings per share from discontinued operations</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0.88</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23.09</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1.66</w:t>
            </w:r>
          </w:p>
        </w:tc>
      </w:tr>
      <w:tr>
        <w:trPr>
          <w:trHeight w:val="223"/>
        </w:trPr>
        <w:tc>
          <w:tcPr>
            <w:tcW w:w="6200" w:type="dxa"/>
            <w:vAlign w:val="bottom"/>
            <w:tcBorders>
              <w:bottom w:val="single" w:sz="8" w:color="auto"/>
            </w:tcBorders>
            <w:shd w:val="clear" w:color="auto" w:fill="CFF0FC"/>
          </w:tcPr>
          <w:p>
            <w:pPr>
              <w:spacing w:after="0" w:line="183" w:lineRule="exact"/>
              <w:rPr>
                <w:sz w:val="20"/>
                <w:szCs w:val="20"/>
                <w:color w:val="auto"/>
              </w:rPr>
            </w:pPr>
            <w:r>
              <w:rPr>
                <w:rFonts w:ascii="Arial" w:cs="Arial" w:eastAsia="Arial" w:hAnsi="Arial"/>
                <w:sz w:val="17"/>
                <w:szCs w:val="17"/>
                <w:color w:val="auto"/>
              </w:rPr>
              <w:t>Total diluted earnings per share attributable to common shareholders</w:t>
            </w:r>
          </w:p>
        </w:tc>
        <w:tc>
          <w:tcPr>
            <w:tcW w:w="320" w:type="dxa"/>
            <w:vAlign w:val="bottom"/>
            <w:tcBorders>
              <w:bottom w:val="single" w:sz="8" w:color="auto"/>
            </w:tcBorders>
            <w:gridSpan w:val="2"/>
            <w:shd w:val="clear" w:color="auto" w:fill="CFF0FC"/>
          </w:tcPr>
          <w:p>
            <w:pPr>
              <w:jc w:val="right"/>
              <w:ind w:right="45"/>
              <w:spacing w:after="0" w:line="183" w:lineRule="exact"/>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FF0FC"/>
          </w:tcPr>
          <w:p>
            <w:pPr>
              <w:jc w:val="right"/>
              <w:ind w:right="74"/>
              <w:spacing w:after="0" w:line="183" w:lineRule="exact"/>
              <w:rPr>
                <w:sz w:val="20"/>
                <w:szCs w:val="20"/>
                <w:color w:val="auto"/>
              </w:rPr>
            </w:pPr>
            <w:r>
              <w:rPr>
                <w:rFonts w:ascii="Arial" w:cs="Arial" w:eastAsia="Arial" w:hAnsi="Arial"/>
                <w:sz w:val="17"/>
                <w:szCs w:val="17"/>
                <w:color w:val="auto"/>
              </w:rPr>
              <w:t>3.94</w:t>
            </w:r>
          </w:p>
        </w:tc>
        <w:tc>
          <w:tcPr>
            <w:tcW w:w="300" w:type="dxa"/>
            <w:vAlign w:val="bottom"/>
            <w:tcBorders>
              <w:bottom w:val="single" w:sz="8" w:color="auto"/>
            </w:tcBorders>
            <w:shd w:val="clear" w:color="auto" w:fill="CFF0FC"/>
          </w:tcPr>
          <w:p>
            <w:pPr>
              <w:jc w:val="right"/>
              <w:ind w:right="15"/>
              <w:spacing w:after="0" w:line="183" w:lineRule="exact"/>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FF0FC"/>
          </w:tcPr>
          <w:p>
            <w:pPr>
              <w:jc w:val="right"/>
              <w:ind w:right="74"/>
              <w:spacing w:after="0" w:line="183" w:lineRule="exact"/>
              <w:rPr>
                <w:sz w:val="20"/>
                <w:szCs w:val="20"/>
                <w:color w:val="auto"/>
              </w:rPr>
            </w:pPr>
            <w:r>
              <w:rPr>
                <w:rFonts w:ascii="Arial" w:cs="Arial" w:eastAsia="Arial" w:hAnsi="Arial"/>
                <w:sz w:val="17"/>
                <w:szCs w:val="17"/>
                <w:color w:val="auto"/>
              </w:rPr>
              <w:t>6.85</w:t>
            </w:r>
          </w:p>
        </w:tc>
        <w:tc>
          <w:tcPr>
            <w:tcW w:w="2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FF0FC"/>
          </w:tcPr>
          <w:p>
            <w:pPr>
              <w:jc w:val="right"/>
              <w:ind w:right="74"/>
              <w:spacing w:after="0" w:line="183" w:lineRule="exact"/>
              <w:rPr>
                <w:sz w:val="20"/>
                <w:szCs w:val="20"/>
                <w:color w:val="auto"/>
              </w:rPr>
            </w:pPr>
            <w:r>
              <w:rPr>
                <w:rFonts w:ascii="Arial" w:cs="Arial" w:eastAsia="Arial" w:hAnsi="Arial"/>
                <w:sz w:val="17"/>
                <w:szCs w:val="17"/>
                <w:color w:val="auto"/>
              </w:rPr>
              <w:t>32.64</w:t>
            </w:r>
          </w:p>
        </w:tc>
        <w:tc>
          <w:tcPr>
            <w:tcW w:w="280" w:type="dxa"/>
            <w:vAlign w:val="bottom"/>
            <w:tcBorders>
              <w:bottom w:val="single" w:sz="8" w:color="auto"/>
            </w:tcBorders>
            <w:shd w:val="clear" w:color="auto" w:fill="CFF0FC"/>
          </w:tcPr>
          <w:p>
            <w:pPr>
              <w:jc w:val="right"/>
              <w:ind w:right="35"/>
              <w:spacing w:after="0" w:line="183" w:lineRule="exact"/>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FF0FC"/>
          </w:tcPr>
          <w:p>
            <w:pPr>
              <w:jc w:val="right"/>
              <w:ind w:right="34"/>
              <w:spacing w:after="0" w:line="183" w:lineRule="exact"/>
              <w:rPr>
                <w:sz w:val="20"/>
                <w:szCs w:val="20"/>
                <w:color w:val="auto"/>
              </w:rPr>
            </w:pPr>
            <w:r>
              <w:rPr>
                <w:rFonts w:ascii="Arial" w:cs="Arial" w:eastAsia="Arial" w:hAnsi="Arial"/>
                <w:sz w:val="17"/>
                <w:szCs w:val="17"/>
                <w:color w:val="auto"/>
              </w:rPr>
              <w:t>14.15</w:t>
            </w:r>
          </w:p>
        </w:tc>
      </w:tr>
      <w:tr>
        <w:trPr>
          <w:trHeight w:val="170"/>
        </w:trPr>
        <w:tc>
          <w:tcPr>
            <w:tcW w:w="6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89"/>
        </w:trPr>
        <w:tc>
          <w:tcPr>
            <w:tcW w:w="6200" w:type="dxa"/>
            <w:vAlign w:val="bottom"/>
            <w:shd w:val="clear" w:color="auto" w:fill="CFF0FC"/>
          </w:tcPr>
          <w:p>
            <w:pPr>
              <w:spacing w:after="0" w:line="189" w:lineRule="exact"/>
              <w:rPr>
                <w:sz w:val="20"/>
                <w:szCs w:val="20"/>
                <w:color w:val="auto"/>
              </w:rPr>
            </w:pPr>
            <w:r>
              <w:rPr>
                <w:rFonts w:ascii="Arial" w:cs="Arial" w:eastAsia="Arial" w:hAnsi="Arial"/>
                <w:sz w:val="17"/>
                <w:szCs w:val="17"/>
                <w:b w:val="1"/>
                <w:bCs w:val="1"/>
                <w:color w:val="auto"/>
              </w:rPr>
              <w:t>Weighted-Average Common Shares Outstanding</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r>
      <w:tr>
        <w:trPr>
          <w:trHeight w:val="189"/>
        </w:trPr>
        <w:tc>
          <w:tcPr>
            <w:tcW w:w="6200" w:type="dxa"/>
            <w:vAlign w:val="bottom"/>
          </w:tcPr>
          <w:p>
            <w:pPr>
              <w:ind w:left="120"/>
              <w:spacing w:after="0" w:line="169" w:lineRule="exact"/>
              <w:rPr>
                <w:sz w:val="20"/>
                <w:szCs w:val="20"/>
                <w:color w:val="auto"/>
              </w:rPr>
            </w:pPr>
            <w:r>
              <w:rPr>
                <w:rFonts w:ascii="Arial" w:cs="Arial" w:eastAsia="Arial" w:hAnsi="Arial"/>
                <w:sz w:val="17"/>
                <w:szCs w:val="17"/>
                <w:color w:val="auto"/>
              </w:rPr>
              <w:t>Basic</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74"/>
              <w:spacing w:after="0" w:line="169" w:lineRule="exact"/>
              <w:rPr>
                <w:sz w:val="20"/>
                <w:szCs w:val="20"/>
                <w:color w:val="auto"/>
              </w:rPr>
            </w:pPr>
            <w:r>
              <w:rPr>
                <w:rFonts w:ascii="Arial" w:cs="Arial" w:eastAsia="Arial" w:hAnsi="Arial"/>
                <w:sz w:val="17"/>
                <w:szCs w:val="17"/>
                <w:color w:val="auto"/>
              </w:rPr>
              <w:t>65.0</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74"/>
              <w:spacing w:after="0" w:line="169" w:lineRule="exact"/>
              <w:rPr>
                <w:sz w:val="20"/>
                <w:szCs w:val="20"/>
                <w:color w:val="auto"/>
              </w:rPr>
            </w:pPr>
            <w:r>
              <w:rPr>
                <w:rFonts w:ascii="Arial" w:cs="Arial" w:eastAsia="Arial" w:hAnsi="Arial"/>
                <w:sz w:val="17"/>
                <w:szCs w:val="17"/>
                <w:color w:val="auto"/>
              </w:rPr>
              <w:t>60.3</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74"/>
              <w:spacing w:after="0" w:line="169" w:lineRule="exact"/>
              <w:rPr>
                <w:sz w:val="20"/>
                <w:szCs w:val="20"/>
                <w:color w:val="auto"/>
              </w:rPr>
            </w:pPr>
            <w:r>
              <w:rPr>
                <w:rFonts w:ascii="Arial" w:cs="Arial" w:eastAsia="Arial" w:hAnsi="Arial"/>
                <w:sz w:val="17"/>
                <w:szCs w:val="17"/>
                <w:color w:val="auto"/>
              </w:rPr>
              <w:t>61.8</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
              <w:spacing w:after="0" w:line="169" w:lineRule="exact"/>
              <w:rPr>
                <w:sz w:val="20"/>
                <w:szCs w:val="20"/>
                <w:color w:val="auto"/>
              </w:rPr>
            </w:pPr>
            <w:r>
              <w:rPr>
                <w:rFonts w:ascii="Arial" w:cs="Arial" w:eastAsia="Arial" w:hAnsi="Arial"/>
                <w:sz w:val="17"/>
                <w:szCs w:val="17"/>
                <w:color w:val="auto"/>
              </w:rPr>
              <w:t>60.5</w:t>
            </w:r>
          </w:p>
        </w:tc>
      </w:tr>
      <w:tr>
        <w:trPr>
          <w:trHeight w:val="20"/>
        </w:trPr>
        <w:tc>
          <w:tcPr>
            <w:tcW w:w="6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10"/>
        </w:trPr>
        <w:tc>
          <w:tcPr>
            <w:tcW w:w="6200" w:type="dxa"/>
            <w:vAlign w:val="bottom"/>
            <w:tcBorders>
              <w:bottom w:val="single" w:sz="8" w:color="CFF0FC"/>
            </w:tcBorders>
            <w:shd w:val="clear" w:color="auto" w:fill="CFF0FC"/>
          </w:tcPr>
          <w:p>
            <w:pPr>
              <w:ind w:left="120"/>
              <w:spacing w:after="0" w:line="169" w:lineRule="exact"/>
              <w:rPr>
                <w:sz w:val="20"/>
                <w:szCs w:val="20"/>
                <w:color w:val="auto"/>
              </w:rPr>
            </w:pPr>
            <w:r>
              <w:rPr>
                <w:rFonts w:ascii="Arial" w:cs="Arial" w:eastAsia="Arial" w:hAnsi="Arial"/>
                <w:sz w:val="17"/>
                <w:szCs w:val="17"/>
                <w:color w:val="auto"/>
              </w:rPr>
              <w:t>Diluted</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74"/>
              <w:spacing w:after="0" w:line="169" w:lineRule="exact"/>
              <w:rPr>
                <w:sz w:val="20"/>
                <w:szCs w:val="20"/>
                <w:color w:val="auto"/>
              </w:rPr>
            </w:pPr>
            <w:r>
              <w:rPr>
                <w:rFonts w:ascii="Arial" w:cs="Arial" w:eastAsia="Arial" w:hAnsi="Arial"/>
                <w:sz w:val="17"/>
                <w:szCs w:val="17"/>
                <w:color w:val="auto"/>
              </w:rPr>
              <w:t>65.1</w:t>
            </w: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74"/>
              <w:spacing w:after="0" w:line="169" w:lineRule="exact"/>
              <w:rPr>
                <w:sz w:val="20"/>
                <w:szCs w:val="20"/>
                <w:color w:val="auto"/>
              </w:rPr>
            </w:pPr>
            <w:r>
              <w:rPr>
                <w:rFonts w:ascii="Arial" w:cs="Arial" w:eastAsia="Arial" w:hAnsi="Arial"/>
                <w:sz w:val="17"/>
                <w:szCs w:val="17"/>
                <w:color w:val="auto"/>
              </w:rPr>
              <w:t>60.4</w:t>
            </w: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74"/>
              <w:spacing w:after="0" w:line="169" w:lineRule="exact"/>
              <w:rPr>
                <w:sz w:val="20"/>
                <w:szCs w:val="20"/>
                <w:color w:val="auto"/>
              </w:rPr>
            </w:pPr>
            <w:r>
              <w:rPr>
                <w:rFonts w:ascii="Arial" w:cs="Arial" w:eastAsia="Arial" w:hAnsi="Arial"/>
                <w:sz w:val="17"/>
                <w:szCs w:val="17"/>
                <w:color w:val="auto"/>
              </w:rPr>
              <w:t>61.9</w:t>
            </w:r>
          </w:p>
        </w:tc>
        <w:tc>
          <w:tcPr>
            <w:tcW w:w="2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4"/>
              <w:spacing w:after="0" w:line="169" w:lineRule="exact"/>
              <w:rPr>
                <w:sz w:val="20"/>
                <w:szCs w:val="20"/>
                <w:color w:val="auto"/>
              </w:rPr>
            </w:pPr>
            <w:r>
              <w:rPr>
                <w:rFonts w:ascii="Arial" w:cs="Arial" w:eastAsia="Arial" w:hAnsi="Arial"/>
                <w:sz w:val="17"/>
                <w:szCs w:val="17"/>
                <w:color w:val="auto"/>
              </w:rPr>
              <w:t>60.6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-933450</wp:posOffset>
            </wp:positionV>
            <wp:extent cx="7132320" cy="1282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2827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-3830955</wp:posOffset>
            </wp:positionV>
            <wp:extent cx="312864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1286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-2468245</wp:posOffset>
            </wp:positionV>
            <wp:extent cx="7132320"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2" w:name="page13"/>
    <w:bookmarkEnd w:id="12"/>
    <w:p>
      <w:pPr>
        <w:spacing w:after="0"/>
        <w:rPr>
          <w:sz w:val="20"/>
          <w:szCs w:val="20"/>
          <w:color w:val="auto"/>
        </w:rPr>
      </w:pPr>
      <w:r>
        <w:rPr>
          <w:rFonts w:ascii="Arial" w:cs="Arial" w:eastAsia="Arial" w:hAnsi="Arial"/>
          <w:sz w:val="22"/>
          <w:szCs w:val="22"/>
          <w:color w:val="auto"/>
        </w:rPr>
        <w:t>Appendix</w:t>
      </w:r>
    </w:p>
    <w:p>
      <w:pPr>
        <w:spacing w:after="0" w:line="236"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auto"/>
        </w:rPr>
        <w:t>MARTIN MARIETTA MATERIALS, INC.</w:t>
      </w:r>
    </w:p>
    <w:p>
      <w:pPr>
        <w:jc w:val="center"/>
        <w:ind w:right="120"/>
        <w:spacing w:after="0" w:line="231" w:lineRule="auto"/>
        <w:rPr>
          <w:sz w:val="20"/>
          <w:szCs w:val="20"/>
          <w:color w:val="auto"/>
        </w:rPr>
      </w:pPr>
      <w:r>
        <w:rPr>
          <w:rFonts w:ascii="Arial" w:cs="Arial" w:eastAsia="Arial" w:hAnsi="Arial"/>
          <w:sz w:val="20"/>
          <w:szCs w:val="20"/>
          <w:b w:val="1"/>
          <w:bCs w:val="1"/>
          <w:color w:val="auto"/>
        </w:rPr>
        <w:t>Unaudited Reportable Segment* Financial Highlights</w:t>
      </w:r>
    </w:p>
    <w:p>
      <w:pPr>
        <w:spacing w:after="0" w:line="1" w:lineRule="exact"/>
        <w:rPr>
          <w:sz w:val="20"/>
          <w:szCs w:val="20"/>
          <w:color w:val="auto"/>
        </w:rPr>
      </w:pPr>
    </w:p>
    <w:p>
      <w:pPr>
        <w:jc w:val="center"/>
        <w:ind w:right="120"/>
        <w:spacing w:after="0"/>
        <w:rPr>
          <w:sz w:val="20"/>
          <w:szCs w:val="20"/>
          <w:color w:val="auto"/>
        </w:rPr>
      </w:pPr>
      <w:r>
        <w:rPr>
          <w:rFonts w:ascii="Arial" w:cs="Arial" w:eastAsia="Arial" w:hAnsi="Arial"/>
          <w:sz w:val="20"/>
          <w:szCs w:val="20"/>
          <w:i w:val="1"/>
          <w:iCs w:val="1"/>
          <w:color w:val="auto"/>
        </w:rPr>
        <w:t>(Continuing Operations Only)</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shd w:val="clear" w:color="auto" w:fill="007DC6"/>
          </w:tcPr>
          <w:p>
            <w:pPr>
              <w:spacing w:after="0"/>
              <w:rPr>
                <w:sz w:val="19"/>
                <w:szCs w:val="19"/>
                <w:color w:val="auto"/>
              </w:rPr>
            </w:pPr>
          </w:p>
        </w:tc>
        <w:tc>
          <w:tcPr>
            <w:tcW w:w="360" w:type="dxa"/>
            <w:vAlign w:val="bottom"/>
            <w:shd w:val="clear" w:color="auto" w:fill="007DC6"/>
          </w:tcPr>
          <w:p>
            <w:pPr>
              <w:spacing w:after="0"/>
              <w:rPr>
                <w:sz w:val="19"/>
                <w:szCs w:val="19"/>
                <w:color w:val="auto"/>
              </w:rPr>
            </w:pPr>
          </w:p>
        </w:tc>
        <w:tc>
          <w:tcPr>
            <w:tcW w:w="2660" w:type="dxa"/>
            <w:vAlign w:val="bottom"/>
            <w:gridSpan w:val="3"/>
            <w:shd w:val="clear" w:color="auto" w:fill="007DC6"/>
          </w:tcPr>
          <w:p>
            <w:pPr>
              <w:jc w:val="right"/>
              <w:ind w:right="481"/>
              <w:spacing w:after="0"/>
              <w:rPr>
                <w:sz w:val="20"/>
                <w:szCs w:val="20"/>
                <w:color w:val="auto"/>
              </w:rPr>
            </w:pPr>
            <w:r>
              <w:rPr>
                <w:rFonts w:ascii="Arial" w:cs="Arial" w:eastAsia="Arial" w:hAnsi="Arial"/>
                <w:sz w:val="20"/>
                <w:szCs w:val="20"/>
                <w:b w:val="1"/>
                <w:bCs w:val="1"/>
                <w:color w:val="FFFFFF"/>
              </w:rPr>
              <w:t>Three Months Ended</w:t>
            </w:r>
          </w:p>
        </w:tc>
        <w:tc>
          <w:tcPr>
            <w:tcW w:w="400" w:type="dxa"/>
            <w:vAlign w:val="bottom"/>
            <w:shd w:val="clear" w:color="auto" w:fill="007DC6"/>
          </w:tcPr>
          <w:p>
            <w:pPr>
              <w:spacing w:after="0"/>
              <w:rPr>
                <w:sz w:val="19"/>
                <w:szCs w:val="19"/>
                <w:color w:val="auto"/>
              </w:rPr>
            </w:pPr>
          </w:p>
        </w:tc>
        <w:tc>
          <w:tcPr>
            <w:tcW w:w="2560" w:type="dxa"/>
            <w:vAlign w:val="bottom"/>
            <w:gridSpan w:val="3"/>
            <w:shd w:val="clear" w:color="auto" w:fill="007DC6"/>
          </w:tcPr>
          <w:p>
            <w:pPr>
              <w:jc w:val="right"/>
              <w:ind w:right="441"/>
              <w:spacing w:after="0"/>
              <w:rPr>
                <w:sz w:val="20"/>
                <w:szCs w:val="20"/>
                <w:color w:val="auto"/>
              </w:rPr>
            </w:pPr>
            <w:r>
              <w:rPr>
                <w:rFonts w:ascii="Arial" w:cs="Arial" w:eastAsia="Arial" w:hAnsi="Arial"/>
                <w:sz w:val="20"/>
                <w:szCs w:val="20"/>
                <w:b w:val="1"/>
                <w:bCs w:val="1"/>
                <w:color w:val="FFFFFF"/>
              </w:rPr>
              <w:t>Nine Months Ended</w:t>
            </w:r>
          </w:p>
        </w:tc>
      </w:tr>
      <w:tr>
        <w:trPr>
          <w:trHeight w:val="243"/>
        </w:trPr>
        <w:tc>
          <w:tcPr>
            <w:tcW w:w="5260" w:type="dxa"/>
            <w:vAlign w:val="bottom"/>
            <w:shd w:val="clear" w:color="auto" w:fill="007DC6"/>
          </w:tcPr>
          <w:p>
            <w:pPr>
              <w:spacing w:after="0"/>
              <w:rPr>
                <w:sz w:val="21"/>
                <w:szCs w:val="21"/>
                <w:color w:val="auto"/>
              </w:rPr>
            </w:pPr>
          </w:p>
        </w:tc>
        <w:tc>
          <w:tcPr>
            <w:tcW w:w="360" w:type="dxa"/>
            <w:vAlign w:val="bottom"/>
            <w:shd w:val="clear" w:color="auto" w:fill="007DC6"/>
          </w:tcPr>
          <w:p>
            <w:pPr>
              <w:spacing w:after="0"/>
              <w:rPr>
                <w:sz w:val="21"/>
                <w:szCs w:val="21"/>
                <w:color w:val="auto"/>
              </w:rPr>
            </w:pPr>
          </w:p>
        </w:tc>
        <w:tc>
          <w:tcPr>
            <w:tcW w:w="2660" w:type="dxa"/>
            <w:vAlign w:val="bottom"/>
            <w:gridSpan w:val="3"/>
            <w:shd w:val="clear" w:color="auto" w:fill="007DC6"/>
          </w:tcPr>
          <w:p>
            <w:pPr>
              <w:jc w:val="right"/>
              <w:ind w:right="781"/>
              <w:spacing w:after="0"/>
              <w:rPr>
                <w:sz w:val="20"/>
                <w:szCs w:val="20"/>
                <w:color w:val="auto"/>
              </w:rPr>
            </w:pPr>
            <w:r>
              <w:rPr>
                <w:rFonts w:ascii="Arial" w:cs="Arial" w:eastAsia="Arial" w:hAnsi="Arial"/>
                <w:sz w:val="20"/>
                <w:szCs w:val="20"/>
                <w:b w:val="1"/>
                <w:bCs w:val="1"/>
                <w:color w:val="FFFFFF"/>
              </w:rPr>
              <w:t>September 30,</w:t>
            </w:r>
          </w:p>
        </w:tc>
        <w:tc>
          <w:tcPr>
            <w:tcW w:w="400" w:type="dxa"/>
            <w:vAlign w:val="bottom"/>
            <w:shd w:val="clear" w:color="auto" w:fill="007DC6"/>
          </w:tcPr>
          <w:p>
            <w:pPr>
              <w:spacing w:after="0"/>
              <w:rPr>
                <w:sz w:val="21"/>
                <w:szCs w:val="21"/>
                <w:color w:val="auto"/>
              </w:rPr>
            </w:pPr>
          </w:p>
        </w:tc>
        <w:tc>
          <w:tcPr>
            <w:tcW w:w="2560" w:type="dxa"/>
            <w:vAlign w:val="bottom"/>
            <w:gridSpan w:val="3"/>
            <w:shd w:val="clear" w:color="auto" w:fill="007DC6"/>
          </w:tcPr>
          <w:p>
            <w:pPr>
              <w:jc w:val="right"/>
              <w:ind w:right="681"/>
              <w:spacing w:after="0"/>
              <w:rPr>
                <w:sz w:val="20"/>
                <w:szCs w:val="20"/>
                <w:color w:val="auto"/>
              </w:rPr>
            </w:pPr>
            <w:r>
              <w:rPr>
                <w:rFonts w:ascii="Arial" w:cs="Arial" w:eastAsia="Arial" w:hAnsi="Arial"/>
                <w:sz w:val="20"/>
                <w:szCs w:val="20"/>
                <w:b w:val="1"/>
                <w:bCs w:val="1"/>
                <w:color w:val="FFFFFF"/>
              </w:rPr>
              <w:t>September 30,</w:t>
            </w:r>
          </w:p>
        </w:tc>
      </w:tr>
      <w:tr>
        <w:trPr>
          <w:trHeight w:val="253"/>
        </w:trPr>
        <w:tc>
          <w:tcPr>
            <w:tcW w:w="5260" w:type="dxa"/>
            <w:vAlign w:val="bottom"/>
            <w:shd w:val="clear" w:color="auto" w:fill="007DC6"/>
          </w:tcPr>
          <w:p>
            <w:pPr>
              <w:spacing w:after="0"/>
              <w:rPr>
                <w:sz w:val="20"/>
                <w:szCs w:val="20"/>
                <w:color w:val="auto"/>
              </w:rPr>
            </w:pPr>
            <w:r>
              <w:rPr>
                <w:rFonts w:ascii="Arial" w:cs="Arial" w:eastAsia="Arial" w:hAnsi="Arial"/>
                <w:sz w:val="20"/>
                <w:szCs w:val="20"/>
                <w:b w:val="1"/>
                <w:bCs w:val="1"/>
                <w:color w:val="FFFFFF"/>
              </w:rPr>
              <w:t>(in millions)</w:t>
            </w:r>
          </w:p>
        </w:tc>
        <w:tc>
          <w:tcPr>
            <w:tcW w:w="360" w:type="dxa"/>
            <w:vAlign w:val="bottom"/>
            <w:shd w:val="clear" w:color="auto" w:fill="007DC6"/>
          </w:tcPr>
          <w:p>
            <w:pPr>
              <w:spacing w:after="0"/>
              <w:rPr>
                <w:sz w:val="22"/>
                <w:szCs w:val="22"/>
                <w:color w:val="auto"/>
              </w:rPr>
            </w:pPr>
          </w:p>
        </w:tc>
        <w:tc>
          <w:tcPr>
            <w:tcW w:w="1140" w:type="dxa"/>
            <w:vAlign w:val="bottom"/>
            <w:shd w:val="clear" w:color="auto" w:fill="007DC6"/>
          </w:tcPr>
          <w:p>
            <w:pPr>
              <w:jc w:val="right"/>
              <w:ind w:right="461"/>
              <w:spacing w:after="0"/>
              <w:rPr>
                <w:sz w:val="20"/>
                <w:szCs w:val="20"/>
                <w:color w:val="auto"/>
              </w:rPr>
            </w:pPr>
            <w:r>
              <w:rPr>
                <w:rFonts w:ascii="Arial" w:cs="Arial" w:eastAsia="Arial" w:hAnsi="Arial"/>
                <w:sz w:val="20"/>
                <w:szCs w:val="20"/>
                <w:b w:val="1"/>
                <w:bCs w:val="1"/>
                <w:color w:val="FFFFFF"/>
              </w:rPr>
              <w:t>2026</w:t>
            </w:r>
          </w:p>
        </w:tc>
        <w:tc>
          <w:tcPr>
            <w:tcW w:w="340" w:type="dxa"/>
            <w:vAlign w:val="bottom"/>
            <w:shd w:val="clear" w:color="auto" w:fill="007DC6"/>
          </w:tcPr>
          <w:p>
            <w:pPr>
              <w:spacing w:after="0"/>
              <w:rPr>
                <w:sz w:val="22"/>
                <w:szCs w:val="22"/>
                <w:color w:val="auto"/>
              </w:rPr>
            </w:pPr>
          </w:p>
        </w:tc>
        <w:tc>
          <w:tcPr>
            <w:tcW w:w="1180" w:type="dxa"/>
            <w:vAlign w:val="bottom"/>
            <w:shd w:val="clear" w:color="auto" w:fill="007DC6"/>
          </w:tcPr>
          <w:p>
            <w:pPr>
              <w:jc w:val="right"/>
              <w:ind w:right="501"/>
              <w:spacing w:after="0"/>
              <w:rPr>
                <w:sz w:val="20"/>
                <w:szCs w:val="20"/>
                <w:color w:val="auto"/>
              </w:rPr>
            </w:pPr>
            <w:r>
              <w:rPr>
                <w:rFonts w:ascii="Arial" w:cs="Arial" w:eastAsia="Arial" w:hAnsi="Arial"/>
                <w:sz w:val="20"/>
                <w:szCs w:val="20"/>
                <w:b w:val="1"/>
                <w:bCs w:val="1"/>
                <w:color w:val="FFFFFF"/>
              </w:rPr>
              <w:t>2025</w:t>
            </w:r>
          </w:p>
        </w:tc>
        <w:tc>
          <w:tcPr>
            <w:tcW w:w="400" w:type="dxa"/>
            <w:vAlign w:val="bottom"/>
            <w:shd w:val="clear" w:color="auto" w:fill="007DC6"/>
          </w:tcPr>
          <w:p>
            <w:pPr>
              <w:spacing w:after="0"/>
              <w:rPr>
                <w:sz w:val="22"/>
                <w:szCs w:val="22"/>
                <w:color w:val="auto"/>
              </w:rPr>
            </w:pPr>
          </w:p>
        </w:tc>
        <w:tc>
          <w:tcPr>
            <w:tcW w:w="1140" w:type="dxa"/>
            <w:vAlign w:val="bottom"/>
            <w:shd w:val="clear" w:color="auto" w:fill="007DC6"/>
          </w:tcPr>
          <w:p>
            <w:pPr>
              <w:jc w:val="right"/>
              <w:ind w:right="461"/>
              <w:spacing w:after="0"/>
              <w:rPr>
                <w:sz w:val="20"/>
                <w:szCs w:val="20"/>
                <w:color w:val="auto"/>
              </w:rPr>
            </w:pPr>
            <w:r>
              <w:rPr>
                <w:rFonts w:ascii="Arial" w:cs="Arial" w:eastAsia="Arial" w:hAnsi="Arial"/>
                <w:sz w:val="20"/>
                <w:szCs w:val="20"/>
                <w:b w:val="1"/>
                <w:bCs w:val="1"/>
                <w:color w:val="FFFFFF"/>
              </w:rPr>
              <w:t>2026</w:t>
            </w:r>
          </w:p>
        </w:tc>
        <w:tc>
          <w:tcPr>
            <w:tcW w:w="340" w:type="dxa"/>
            <w:vAlign w:val="bottom"/>
            <w:shd w:val="clear" w:color="auto" w:fill="007DC6"/>
          </w:tcPr>
          <w:p>
            <w:pPr>
              <w:spacing w:after="0"/>
              <w:rPr>
                <w:sz w:val="22"/>
                <w:szCs w:val="22"/>
                <w:color w:val="auto"/>
              </w:rPr>
            </w:pPr>
          </w:p>
        </w:tc>
        <w:tc>
          <w:tcPr>
            <w:tcW w:w="1080" w:type="dxa"/>
            <w:vAlign w:val="bottom"/>
            <w:shd w:val="clear" w:color="auto" w:fill="007DC6"/>
          </w:tcPr>
          <w:p>
            <w:pPr>
              <w:jc w:val="right"/>
              <w:ind w:right="401"/>
              <w:spacing w:after="0"/>
              <w:rPr>
                <w:sz w:val="20"/>
                <w:szCs w:val="20"/>
                <w:color w:val="auto"/>
              </w:rPr>
            </w:pPr>
            <w:r>
              <w:rPr>
                <w:rFonts w:ascii="Arial" w:cs="Arial" w:eastAsia="Arial" w:hAnsi="Arial"/>
                <w:sz w:val="20"/>
                <w:szCs w:val="20"/>
                <w:b w:val="1"/>
                <w:bCs w:val="1"/>
                <w:color w:val="FFFFFF"/>
              </w:rPr>
              <w:t>2025</w:t>
            </w:r>
          </w:p>
        </w:tc>
      </w:tr>
      <w:tr>
        <w:trPr>
          <w:trHeight w:val="230"/>
        </w:trPr>
        <w:tc>
          <w:tcPr>
            <w:tcW w:w="526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Revenues</w:t>
            </w:r>
          </w:p>
        </w:tc>
        <w:tc>
          <w:tcPr>
            <w:tcW w:w="3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r>
      <w:tr>
        <w:trPr>
          <w:trHeight w:val="229"/>
        </w:trPr>
        <w:tc>
          <w:tcPr>
            <w:tcW w:w="5260" w:type="dxa"/>
            <w:vAlign w:val="bottom"/>
          </w:tcPr>
          <w:p>
            <w:pPr>
              <w:ind w:left="60"/>
              <w:spacing w:after="0"/>
              <w:rPr>
                <w:sz w:val="20"/>
                <w:szCs w:val="20"/>
                <w:color w:val="auto"/>
              </w:rPr>
            </w:pPr>
            <w:r>
              <w:rPr>
                <w:rFonts w:ascii="Arial" w:cs="Arial" w:eastAsia="Arial" w:hAnsi="Arial"/>
                <w:sz w:val="20"/>
                <w:szCs w:val="20"/>
                <w:color w:val="auto"/>
              </w:rPr>
              <w:t>East Group</w:t>
            </w:r>
          </w:p>
        </w:tc>
        <w:tc>
          <w:tcPr>
            <w:tcW w:w="3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61"/>
              <w:spacing w:after="0"/>
              <w:rPr>
                <w:sz w:val="20"/>
                <w:szCs w:val="20"/>
                <w:color w:val="auto"/>
              </w:rPr>
            </w:pPr>
            <w:r>
              <w:rPr>
                <w:rFonts w:ascii="Arial" w:cs="Arial" w:eastAsia="Arial" w:hAnsi="Arial"/>
                <w:sz w:val="20"/>
                <w:szCs w:val="20"/>
                <w:color w:val="auto"/>
              </w:rPr>
              <w:t>1,020</w:t>
            </w:r>
          </w:p>
        </w:tc>
        <w:tc>
          <w:tcPr>
            <w:tcW w:w="34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180" w:type="dxa"/>
            <w:vAlign w:val="bottom"/>
          </w:tcPr>
          <w:p>
            <w:pPr>
              <w:jc w:val="right"/>
              <w:ind w:right="121"/>
              <w:spacing w:after="0"/>
              <w:rPr>
                <w:sz w:val="20"/>
                <w:szCs w:val="20"/>
                <w:color w:val="auto"/>
              </w:rPr>
            </w:pPr>
            <w:r>
              <w:rPr>
                <w:rFonts w:ascii="Arial" w:cs="Arial" w:eastAsia="Arial" w:hAnsi="Arial"/>
                <w:sz w:val="20"/>
                <w:szCs w:val="20"/>
                <w:color w:val="auto"/>
              </w:rPr>
              <w:t>943</w:t>
            </w:r>
          </w:p>
        </w:tc>
        <w:tc>
          <w:tcPr>
            <w:tcW w:w="40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81"/>
              <w:spacing w:after="0"/>
              <w:rPr>
                <w:sz w:val="20"/>
                <w:szCs w:val="20"/>
                <w:color w:val="auto"/>
              </w:rPr>
            </w:pPr>
            <w:r>
              <w:rPr>
                <w:rFonts w:ascii="Arial" w:cs="Arial" w:eastAsia="Arial" w:hAnsi="Arial"/>
                <w:sz w:val="20"/>
                <w:szCs w:val="20"/>
                <w:color w:val="auto"/>
              </w:rPr>
              <w:t>2,827</w:t>
            </w:r>
          </w:p>
        </w:tc>
        <w:tc>
          <w:tcPr>
            <w:tcW w:w="34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80" w:type="dxa"/>
            <w:vAlign w:val="bottom"/>
          </w:tcPr>
          <w:p>
            <w:pPr>
              <w:jc w:val="right"/>
              <w:ind w:right="21"/>
              <w:spacing w:after="0"/>
              <w:rPr>
                <w:sz w:val="20"/>
                <w:szCs w:val="20"/>
                <w:color w:val="auto"/>
              </w:rPr>
            </w:pPr>
            <w:r>
              <w:rPr>
                <w:rFonts w:ascii="Arial" w:cs="Arial" w:eastAsia="Arial" w:hAnsi="Arial"/>
                <w:sz w:val="20"/>
                <w:szCs w:val="20"/>
                <w:color w:val="auto"/>
              </w:rPr>
              <w:t>2,578</w:t>
            </w:r>
          </w:p>
        </w:tc>
      </w:tr>
      <w:tr>
        <w:trPr>
          <w:trHeight w:val="230"/>
        </w:trPr>
        <w:tc>
          <w:tcPr>
            <w:tcW w:w="52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20"/>
                <w:szCs w:val="20"/>
                <w:color w:val="auto"/>
              </w:rPr>
              <w:t>West Group</w:t>
            </w:r>
          </w:p>
        </w:tc>
        <w:tc>
          <w:tcPr>
            <w:tcW w:w="3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61"/>
              <w:spacing w:after="0"/>
              <w:rPr>
                <w:sz w:val="20"/>
                <w:szCs w:val="20"/>
                <w:color w:val="auto"/>
              </w:rPr>
            </w:pPr>
            <w:r>
              <w:rPr>
                <w:rFonts w:ascii="Arial" w:cs="Arial" w:eastAsia="Arial" w:hAnsi="Arial"/>
                <w:sz w:val="20"/>
                <w:szCs w:val="20"/>
                <w:color w:val="auto"/>
              </w:rPr>
              <w:t>987</w:t>
            </w:r>
          </w:p>
        </w:tc>
        <w:tc>
          <w:tcPr>
            <w:tcW w:w="3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121"/>
              <w:spacing w:after="0"/>
              <w:rPr>
                <w:sz w:val="20"/>
                <w:szCs w:val="20"/>
                <w:color w:val="auto"/>
              </w:rPr>
            </w:pPr>
            <w:r>
              <w:rPr>
                <w:rFonts w:ascii="Arial" w:cs="Arial" w:eastAsia="Arial" w:hAnsi="Arial"/>
                <w:sz w:val="20"/>
                <w:szCs w:val="20"/>
                <w:color w:val="auto"/>
              </w:rPr>
              <w:t>772</w:t>
            </w:r>
          </w:p>
        </w:tc>
        <w:tc>
          <w:tcPr>
            <w:tcW w:w="4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81"/>
              <w:spacing w:after="0"/>
              <w:rPr>
                <w:sz w:val="20"/>
                <w:szCs w:val="20"/>
                <w:color w:val="auto"/>
              </w:rPr>
            </w:pPr>
            <w:r>
              <w:rPr>
                <w:rFonts w:ascii="Arial" w:cs="Arial" w:eastAsia="Arial" w:hAnsi="Arial"/>
                <w:sz w:val="20"/>
                <w:szCs w:val="20"/>
                <w:color w:val="auto"/>
              </w:rPr>
              <w:t>2,195</w:t>
            </w:r>
          </w:p>
        </w:tc>
        <w:tc>
          <w:tcPr>
            <w:tcW w:w="3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20"/>
                <w:szCs w:val="20"/>
                <w:color w:val="auto"/>
              </w:rPr>
              <w:t>1,730</w:t>
            </w:r>
          </w:p>
        </w:tc>
      </w:tr>
      <w:tr>
        <w:trPr>
          <w:trHeight w:val="223"/>
        </w:trPr>
        <w:tc>
          <w:tcPr>
            <w:tcW w:w="5260" w:type="dxa"/>
            <w:vAlign w:val="bottom"/>
          </w:tcPr>
          <w:p>
            <w:pPr>
              <w:spacing w:after="0" w:line="223" w:lineRule="exact"/>
              <w:rPr>
                <w:sz w:val="20"/>
                <w:szCs w:val="20"/>
                <w:color w:val="auto"/>
              </w:rPr>
            </w:pPr>
            <w:r>
              <w:rPr>
                <w:rFonts w:ascii="Arial" w:cs="Arial" w:eastAsia="Arial" w:hAnsi="Arial"/>
                <w:sz w:val="20"/>
                <w:szCs w:val="20"/>
                <w:color w:val="auto"/>
              </w:rPr>
              <w:t>Total Building Materials business</w:t>
            </w:r>
          </w:p>
        </w:tc>
        <w:tc>
          <w:tcPr>
            <w:tcW w:w="360" w:type="dxa"/>
            <w:vAlign w:val="bottom"/>
          </w:tcPr>
          <w:p>
            <w:pPr>
              <w:spacing w:after="0"/>
              <w:rPr>
                <w:sz w:val="19"/>
                <w:szCs w:val="19"/>
                <w:color w:val="auto"/>
              </w:rPr>
            </w:pPr>
          </w:p>
        </w:tc>
        <w:tc>
          <w:tcPr>
            <w:tcW w:w="1140" w:type="dxa"/>
            <w:vAlign w:val="bottom"/>
          </w:tcPr>
          <w:p>
            <w:pPr>
              <w:jc w:val="right"/>
              <w:ind w:right="61"/>
              <w:spacing w:after="0" w:line="223" w:lineRule="exact"/>
              <w:rPr>
                <w:sz w:val="20"/>
                <w:szCs w:val="20"/>
                <w:color w:val="auto"/>
              </w:rPr>
            </w:pPr>
            <w:r>
              <w:rPr>
                <w:rFonts w:ascii="Arial" w:cs="Arial" w:eastAsia="Arial" w:hAnsi="Arial"/>
                <w:sz w:val="20"/>
                <w:szCs w:val="20"/>
                <w:color w:val="auto"/>
              </w:rPr>
              <w:t>2,007</w:t>
            </w:r>
          </w:p>
        </w:tc>
        <w:tc>
          <w:tcPr>
            <w:tcW w:w="340" w:type="dxa"/>
            <w:vAlign w:val="bottom"/>
          </w:tcPr>
          <w:p>
            <w:pPr>
              <w:spacing w:after="0"/>
              <w:rPr>
                <w:sz w:val="19"/>
                <w:szCs w:val="19"/>
                <w:color w:val="auto"/>
              </w:rPr>
            </w:pPr>
          </w:p>
        </w:tc>
        <w:tc>
          <w:tcPr>
            <w:tcW w:w="1180" w:type="dxa"/>
            <w:vAlign w:val="bottom"/>
          </w:tcPr>
          <w:p>
            <w:pPr>
              <w:jc w:val="right"/>
              <w:ind w:right="121"/>
              <w:spacing w:after="0" w:line="223" w:lineRule="exact"/>
              <w:rPr>
                <w:sz w:val="20"/>
                <w:szCs w:val="20"/>
                <w:color w:val="auto"/>
              </w:rPr>
            </w:pPr>
            <w:r>
              <w:rPr>
                <w:rFonts w:ascii="Arial" w:cs="Arial" w:eastAsia="Arial" w:hAnsi="Arial"/>
                <w:sz w:val="20"/>
                <w:szCs w:val="20"/>
                <w:color w:val="auto"/>
              </w:rPr>
              <w:t>1,715</w:t>
            </w:r>
          </w:p>
        </w:tc>
        <w:tc>
          <w:tcPr>
            <w:tcW w:w="400" w:type="dxa"/>
            <w:vAlign w:val="bottom"/>
          </w:tcPr>
          <w:p>
            <w:pPr>
              <w:spacing w:after="0"/>
              <w:rPr>
                <w:sz w:val="19"/>
                <w:szCs w:val="19"/>
                <w:color w:val="auto"/>
              </w:rPr>
            </w:pPr>
          </w:p>
        </w:tc>
        <w:tc>
          <w:tcPr>
            <w:tcW w:w="1140" w:type="dxa"/>
            <w:vAlign w:val="bottom"/>
          </w:tcPr>
          <w:p>
            <w:pPr>
              <w:jc w:val="right"/>
              <w:ind w:right="81"/>
              <w:spacing w:after="0" w:line="223" w:lineRule="exact"/>
              <w:rPr>
                <w:sz w:val="20"/>
                <w:szCs w:val="20"/>
                <w:color w:val="auto"/>
              </w:rPr>
            </w:pPr>
            <w:r>
              <w:rPr>
                <w:rFonts w:ascii="Arial" w:cs="Arial" w:eastAsia="Arial" w:hAnsi="Arial"/>
                <w:sz w:val="20"/>
                <w:szCs w:val="20"/>
                <w:color w:val="auto"/>
              </w:rPr>
              <w:t>5,022</w:t>
            </w:r>
          </w:p>
        </w:tc>
        <w:tc>
          <w:tcPr>
            <w:tcW w:w="340" w:type="dxa"/>
            <w:vAlign w:val="bottom"/>
          </w:tcPr>
          <w:p>
            <w:pPr>
              <w:spacing w:after="0"/>
              <w:rPr>
                <w:sz w:val="19"/>
                <w:szCs w:val="19"/>
                <w:color w:val="auto"/>
              </w:rPr>
            </w:pPr>
          </w:p>
        </w:tc>
        <w:tc>
          <w:tcPr>
            <w:tcW w:w="1080" w:type="dxa"/>
            <w:vAlign w:val="bottom"/>
          </w:tcPr>
          <w:p>
            <w:pPr>
              <w:jc w:val="right"/>
              <w:ind w:right="21"/>
              <w:spacing w:after="0" w:line="223" w:lineRule="exact"/>
              <w:rPr>
                <w:sz w:val="20"/>
                <w:szCs w:val="20"/>
                <w:color w:val="auto"/>
              </w:rPr>
            </w:pPr>
            <w:r>
              <w:rPr>
                <w:rFonts w:ascii="Arial" w:cs="Arial" w:eastAsia="Arial" w:hAnsi="Arial"/>
                <w:sz w:val="20"/>
                <w:szCs w:val="20"/>
                <w:color w:val="auto"/>
              </w:rPr>
              <w:t>4,308</w:t>
            </w:r>
          </w:p>
        </w:tc>
      </w:tr>
      <w:tr>
        <w:trPr>
          <w:trHeight w:val="229"/>
        </w:trPr>
        <w:tc>
          <w:tcPr>
            <w:tcW w:w="52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rPr>
              <w:t>Specialties</w:t>
            </w:r>
          </w:p>
        </w:tc>
        <w:tc>
          <w:tcPr>
            <w:tcW w:w="3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61"/>
              <w:spacing w:after="0"/>
              <w:rPr>
                <w:sz w:val="20"/>
                <w:szCs w:val="20"/>
                <w:color w:val="auto"/>
              </w:rPr>
            </w:pPr>
            <w:r>
              <w:rPr>
                <w:rFonts w:ascii="Arial" w:cs="Arial" w:eastAsia="Arial" w:hAnsi="Arial"/>
                <w:sz w:val="20"/>
                <w:szCs w:val="20"/>
                <w:color w:val="auto"/>
              </w:rPr>
              <w:t>362</w:t>
            </w:r>
          </w:p>
        </w:tc>
        <w:tc>
          <w:tcPr>
            <w:tcW w:w="3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121"/>
              <w:spacing w:after="0"/>
              <w:rPr>
                <w:sz w:val="20"/>
                <w:szCs w:val="20"/>
                <w:color w:val="auto"/>
              </w:rPr>
            </w:pPr>
            <w:r>
              <w:rPr>
                <w:rFonts w:ascii="Arial" w:cs="Arial" w:eastAsia="Arial" w:hAnsi="Arial"/>
                <w:sz w:val="20"/>
                <w:szCs w:val="20"/>
                <w:color w:val="auto"/>
              </w:rPr>
              <w:t>131</w:t>
            </w:r>
          </w:p>
        </w:tc>
        <w:tc>
          <w:tcPr>
            <w:tcW w:w="4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81"/>
              <w:spacing w:after="0"/>
              <w:rPr>
                <w:sz w:val="20"/>
                <w:szCs w:val="20"/>
                <w:color w:val="auto"/>
              </w:rPr>
            </w:pPr>
            <w:r>
              <w:rPr>
                <w:rFonts w:ascii="Arial" w:cs="Arial" w:eastAsia="Arial" w:hAnsi="Arial"/>
                <w:sz w:val="20"/>
                <w:szCs w:val="20"/>
                <w:color w:val="auto"/>
              </w:rPr>
              <w:t>656</w:t>
            </w:r>
          </w:p>
        </w:tc>
        <w:tc>
          <w:tcPr>
            <w:tcW w:w="3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20"/>
                <w:szCs w:val="20"/>
                <w:color w:val="auto"/>
              </w:rPr>
              <w:t>309</w:t>
            </w:r>
          </w:p>
        </w:tc>
      </w:tr>
      <w:tr>
        <w:trPr>
          <w:trHeight w:val="223"/>
        </w:trPr>
        <w:tc>
          <w:tcPr>
            <w:tcW w:w="526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Total</w:t>
            </w:r>
          </w:p>
        </w:tc>
        <w:tc>
          <w:tcPr>
            <w:tcW w:w="36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2,369</w:t>
            </w:r>
          </w:p>
        </w:tc>
        <w:tc>
          <w:tcPr>
            <w:tcW w:w="34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ind w:right="121"/>
              <w:spacing w:after="0" w:line="223" w:lineRule="exact"/>
              <w:rPr>
                <w:sz w:val="20"/>
                <w:szCs w:val="20"/>
                <w:color w:val="auto"/>
              </w:rPr>
            </w:pPr>
            <w:r>
              <w:rPr>
                <w:rFonts w:ascii="Arial" w:cs="Arial" w:eastAsia="Arial" w:hAnsi="Arial"/>
                <w:sz w:val="20"/>
                <w:szCs w:val="20"/>
                <w:color w:val="auto"/>
              </w:rPr>
              <w:t>1,846</w:t>
            </w:r>
          </w:p>
        </w:tc>
        <w:tc>
          <w:tcPr>
            <w:tcW w:w="40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5,678</w:t>
            </w:r>
          </w:p>
        </w:tc>
        <w:tc>
          <w:tcPr>
            <w:tcW w:w="34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08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4,617</w:t>
            </w:r>
          </w:p>
        </w:tc>
      </w:tr>
      <w:tr>
        <w:trPr>
          <w:trHeight w:val="20"/>
        </w:trPr>
        <w:tc>
          <w:tcPr>
            <w:tcW w:w="5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10"/>
        </w:trPr>
        <w:tc>
          <w:tcPr>
            <w:tcW w:w="5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r>
      <w:tr>
        <w:trPr>
          <w:trHeight w:val="229"/>
        </w:trPr>
        <w:tc>
          <w:tcPr>
            <w:tcW w:w="5260" w:type="dxa"/>
            <w:vAlign w:val="bottom"/>
          </w:tcPr>
          <w:p>
            <w:pPr>
              <w:spacing w:after="0"/>
              <w:rPr>
                <w:sz w:val="20"/>
                <w:szCs w:val="20"/>
                <w:color w:val="auto"/>
              </w:rPr>
            </w:pPr>
            <w:r>
              <w:rPr>
                <w:rFonts w:ascii="Arial" w:cs="Arial" w:eastAsia="Arial" w:hAnsi="Arial"/>
                <w:sz w:val="20"/>
                <w:szCs w:val="20"/>
                <w:b w:val="1"/>
                <w:bCs w:val="1"/>
                <w:color w:val="auto"/>
              </w:rPr>
              <w:t>Earnings (Loss) from operations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5260" w:type="dxa"/>
            <w:vAlign w:val="bottom"/>
            <w:shd w:val="clear" w:color="auto" w:fill="CFF0FC"/>
          </w:tcPr>
          <w:p>
            <w:pPr>
              <w:ind w:left="60"/>
              <w:spacing w:after="0"/>
              <w:rPr>
                <w:sz w:val="20"/>
                <w:szCs w:val="20"/>
                <w:color w:val="auto"/>
              </w:rPr>
            </w:pPr>
            <w:r>
              <w:rPr>
                <w:rFonts w:ascii="Arial" w:cs="Arial" w:eastAsia="Arial" w:hAnsi="Arial"/>
                <w:sz w:val="20"/>
                <w:szCs w:val="20"/>
                <w:color w:val="auto"/>
              </w:rPr>
              <w:t>East Group</w:t>
            </w:r>
          </w:p>
        </w:tc>
        <w:tc>
          <w:tcPr>
            <w:tcW w:w="36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w:t>
            </w:r>
          </w:p>
        </w:tc>
        <w:tc>
          <w:tcPr>
            <w:tcW w:w="114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312</w:t>
            </w:r>
          </w:p>
        </w:tc>
        <w:tc>
          <w:tcPr>
            <w:tcW w:w="3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118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335</w:t>
            </w:r>
          </w:p>
        </w:tc>
        <w:tc>
          <w:tcPr>
            <w:tcW w:w="4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11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837</w:t>
            </w:r>
          </w:p>
        </w:tc>
        <w:tc>
          <w:tcPr>
            <w:tcW w:w="3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10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874</w:t>
            </w:r>
          </w:p>
        </w:tc>
      </w:tr>
      <w:tr>
        <w:trPr>
          <w:trHeight w:val="229"/>
        </w:trPr>
        <w:tc>
          <w:tcPr>
            <w:tcW w:w="526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rPr>
              <w:t>West Group</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180</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rPr>
              <w:t>176</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218</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226</w:t>
            </w:r>
          </w:p>
        </w:tc>
      </w:tr>
      <w:tr>
        <w:trPr>
          <w:trHeight w:val="223"/>
        </w:trPr>
        <w:tc>
          <w:tcPr>
            <w:tcW w:w="5260" w:type="dxa"/>
            <w:vAlign w:val="bottom"/>
            <w:shd w:val="clear" w:color="auto" w:fill="CFF0FC"/>
          </w:tcPr>
          <w:p>
            <w:pPr>
              <w:spacing w:after="0" w:line="223" w:lineRule="exact"/>
              <w:rPr>
                <w:sz w:val="20"/>
                <w:szCs w:val="20"/>
                <w:color w:val="auto"/>
              </w:rPr>
            </w:pPr>
            <w:r>
              <w:rPr>
                <w:rFonts w:ascii="Arial" w:cs="Arial" w:eastAsia="Arial" w:hAnsi="Arial"/>
                <w:sz w:val="20"/>
                <w:szCs w:val="20"/>
                <w:color w:val="auto"/>
              </w:rPr>
              <w:t>Total Building Materials business</w:t>
            </w:r>
          </w:p>
        </w:tc>
        <w:tc>
          <w:tcPr>
            <w:tcW w:w="3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61"/>
              <w:spacing w:after="0" w:line="223" w:lineRule="exact"/>
              <w:rPr>
                <w:sz w:val="20"/>
                <w:szCs w:val="20"/>
                <w:color w:val="auto"/>
              </w:rPr>
            </w:pPr>
            <w:r>
              <w:rPr>
                <w:rFonts w:ascii="Arial" w:cs="Arial" w:eastAsia="Arial" w:hAnsi="Arial"/>
                <w:sz w:val="20"/>
                <w:szCs w:val="20"/>
                <w:color w:val="auto"/>
              </w:rPr>
              <w:t>492</w:t>
            </w: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121"/>
              <w:spacing w:after="0" w:line="223" w:lineRule="exact"/>
              <w:rPr>
                <w:sz w:val="20"/>
                <w:szCs w:val="20"/>
                <w:color w:val="auto"/>
              </w:rPr>
            </w:pPr>
            <w:r>
              <w:rPr>
                <w:rFonts w:ascii="Arial" w:cs="Arial" w:eastAsia="Arial" w:hAnsi="Arial"/>
                <w:sz w:val="20"/>
                <w:szCs w:val="20"/>
                <w:color w:val="auto"/>
              </w:rPr>
              <w:t>511</w:t>
            </w:r>
          </w:p>
        </w:tc>
        <w:tc>
          <w:tcPr>
            <w:tcW w:w="4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81"/>
              <w:spacing w:after="0" w:line="223" w:lineRule="exact"/>
              <w:rPr>
                <w:sz w:val="20"/>
                <w:szCs w:val="20"/>
                <w:color w:val="auto"/>
              </w:rPr>
            </w:pPr>
            <w:r>
              <w:rPr>
                <w:rFonts w:ascii="Arial" w:cs="Arial" w:eastAsia="Arial" w:hAnsi="Arial"/>
                <w:sz w:val="20"/>
                <w:szCs w:val="20"/>
                <w:color w:val="auto"/>
              </w:rPr>
              <w:t>1,055</w:t>
            </w: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21"/>
              <w:spacing w:after="0" w:line="223" w:lineRule="exact"/>
              <w:rPr>
                <w:sz w:val="20"/>
                <w:szCs w:val="20"/>
                <w:color w:val="auto"/>
              </w:rPr>
            </w:pPr>
            <w:r>
              <w:rPr>
                <w:rFonts w:ascii="Arial" w:cs="Arial" w:eastAsia="Arial" w:hAnsi="Arial"/>
                <w:sz w:val="20"/>
                <w:szCs w:val="20"/>
                <w:color w:val="auto"/>
              </w:rPr>
              <w:t>1,100</w:t>
            </w:r>
          </w:p>
        </w:tc>
      </w:tr>
      <w:tr>
        <w:trPr>
          <w:trHeight w:val="229"/>
        </w:trPr>
        <w:tc>
          <w:tcPr>
            <w:tcW w:w="52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Specialties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68</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rPr>
              <w:t>26</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144</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90</w:t>
            </w:r>
          </w:p>
        </w:tc>
      </w:tr>
      <w:tr>
        <w:trPr>
          <w:trHeight w:val="223"/>
        </w:trPr>
        <w:tc>
          <w:tcPr>
            <w:tcW w:w="5260" w:type="dxa"/>
            <w:vAlign w:val="bottom"/>
            <w:shd w:val="clear" w:color="auto" w:fill="CFF0FC"/>
          </w:tcPr>
          <w:p>
            <w:pPr>
              <w:spacing w:after="0" w:line="223" w:lineRule="exact"/>
              <w:rPr>
                <w:sz w:val="20"/>
                <w:szCs w:val="20"/>
                <w:color w:val="auto"/>
              </w:rPr>
            </w:pPr>
            <w:r>
              <w:rPr>
                <w:rFonts w:ascii="Arial" w:cs="Arial" w:eastAsia="Arial" w:hAnsi="Arial"/>
                <w:sz w:val="20"/>
                <w:szCs w:val="20"/>
                <w:color w:val="auto"/>
              </w:rPr>
              <w:t>Total reportable segments</w:t>
            </w:r>
          </w:p>
        </w:tc>
        <w:tc>
          <w:tcPr>
            <w:tcW w:w="3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61"/>
              <w:spacing w:after="0" w:line="223" w:lineRule="exact"/>
              <w:rPr>
                <w:sz w:val="20"/>
                <w:szCs w:val="20"/>
                <w:color w:val="auto"/>
              </w:rPr>
            </w:pPr>
            <w:r>
              <w:rPr>
                <w:rFonts w:ascii="Arial" w:cs="Arial" w:eastAsia="Arial" w:hAnsi="Arial"/>
                <w:sz w:val="20"/>
                <w:szCs w:val="20"/>
                <w:color w:val="auto"/>
              </w:rPr>
              <w:t>560</w:t>
            </w: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121"/>
              <w:spacing w:after="0" w:line="223" w:lineRule="exact"/>
              <w:rPr>
                <w:sz w:val="20"/>
                <w:szCs w:val="20"/>
                <w:color w:val="auto"/>
              </w:rPr>
            </w:pPr>
            <w:r>
              <w:rPr>
                <w:rFonts w:ascii="Arial" w:cs="Arial" w:eastAsia="Arial" w:hAnsi="Arial"/>
                <w:sz w:val="20"/>
                <w:szCs w:val="20"/>
                <w:color w:val="auto"/>
              </w:rPr>
              <w:t>537</w:t>
            </w:r>
          </w:p>
        </w:tc>
        <w:tc>
          <w:tcPr>
            <w:tcW w:w="4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81"/>
              <w:spacing w:after="0" w:line="223" w:lineRule="exact"/>
              <w:rPr>
                <w:sz w:val="20"/>
                <w:szCs w:val="20"/>
                <w:color w:val="auto"/>
              </w:rPr>
            </w:pPr>
            <w:r>
              <w:rPr>
                <w:rFonts w:ascii="Arial" w:cs="Arial" w:eastAsia="Arial" w:hAnsi="Arial"/>
                <w:sz w:val="20"/>
                <w:szCs w:val="20"/>
                <w:color w:val="auto"/>
              </w:rPr>
              <w:t>1,199</w:t>
            </w: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21"/>
              <w:spacing w:after="0" w:line="223" w:lineRule="exact"/>
              <w:rPr>
                <w:sz w:val="20"/>
                <w:szCs w:val="20"/>
                <w:color w:val="auto"/>
              </w:rPr>
            </w:pPr>
            <w:r>
              <w:rPr>
                <w:rFonts w:ascii="Arial" w:cs="Arial" w:eastAsia="Arial" w:hAnsi="Arial"/>
                <w:sz w:val="20"/>
                <w:szCs w:val="20"/>
                <w:color w:val="auto"/>
              </w:rPr>
              <w:t>1,190</w:t>
            </w:r>
          </w:p>
        </w:tc>
      </w:tr>
      <w:tr>
        <w:trPr>
          <w:trHeight w:val="229"/>
        </w:trPr>
        <w:tc>
          <w:tcPr>
            <w:tcW w:w="52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Corporate</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(122)</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(32)</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(227)</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(94)</w:t>
            </w:r>
          </w:p>
        </w:tc>
      </w:tr>
      <w:tr>
        <w:trPr>
          <w:trHeight w:val="223"/>
        </w:trPr>
        <w:tc>
          <w:tcPr>
            <w:tcW w:w="5260" w:type="dxa"/>
            <w:vAlign w:val="bottom"/>
            <w:shd w:val="clear" w:color="auto" w:fill="CFF0FC"/>
          </w:tcPr>
          <w:p>
            <w:pPr>
              <w:spacing w:after="0" w:line="223" w:lineRule="exact"/>
              <w:rPr>
                <w:sz w:val="20"/>
                <w:szCs w:val="20"/>
                <w:color w:val="auto"/>
              </w:rPr>
            </w:pPr>
            <w:r>
              <w:rPr>
                <w:rFonts w:ascii="Arial" w:cs="Arial" w:eastAsia="Arial" w:hAnsi="Arial"/>
                <w:sz w:val="20"/>
                <w:szCs w:val="20"/>
                <w:color w:val="auto"/>
              </w:rPr>
              <w:t>Earnings from operations</w:t>
            </w:r>
          </w:p>
        </w:tc>
        <w:tc>
          <w:tcPr>
            <w:tcW w:w="3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61"/>
              <w:spacing w:after="0" w:line="223" w:lineRule="exact"/>
              <w:rPr>
                <w:sz w:val="20"/>
                <w:szCs w:val="20"/>
                <w:color w:val="auto"/>
              </w:rPr>
            </w:pPr>
            <w:r>
              <w:rPr>
                <w:rFonts w:ascii="Arial" w:cs="Arial" w:eastAsia="Arial" w:hAnsi="Arial"/>
                <w:sz w:val="20"/>
                <w:szCs w:val="20"/>
                <w:color w:val="auto"/>
              </w:rPr>
              <w:t>438</w:t>
            </w: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121"/>
              <w:spacing w:after="0" w:line="223" w:lineRule="exact"/>
              <w:rPr>
                <w:sz w:val="20"/>
                <w:szCs w:val="20"/>
                <w:color w:val="auto"/>
              </w:rPr>
            </w:pPr>
            <w:r>
              <w:rPr>
                <w:rFonts w:ascii="Arial" w:cs="Arial" w:eastAsia="Arial" w:hAnsi="Arial"/>
                <w:sz w:val="20"/>
                <w:szCs w:val="20"/>
                <w:color w:val="auto"/>
              </w:rPr>
              <w:t>505</w:t>
            </w:r>
          </w:p>
        </w:tc>
        <w:tc>
          <w:tcPr>
            <w:tcW w:w="4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81"/>
              <w:spacing w:after="0" w:line="223" w:lineRule="exact"/>
              <w:rPr>
                <w:sz w:val="20"/>
                <w:szCs w:val="20"/>
                <w:color w:val="auto"/>
              </w:rPr>
            </w:pPr>
            <w:r>
              <w:rPr>
                <w:rFonts w:ascii="Arial" w:cs="Arial" w:eastAsia="Arial" w:hAnsi="Arial"/>
                <w:sz w:val="20"/>
                <w:szCs w:val="20"/>
                <w:color w:val="auto"/>
              </w:rPr>
              <w:t>972</w:t>
            </w: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21"/>
              <w:spacing w:after="0" w:line="223" w:lineRule="exact"/>
              <w:rPr>
                <w:sz w:val="20"/>
                <w:szCs w:val="20"/>
                <w:color w:val="auto"/>
              </w:rPr>
            </w:pPr>
            <w:r>
              <w:rPr>
                <w:rFonts w:ascii="Arial" w:cs="Arial" w:eastAsia="Arial" w:hAnsi="Arial"/>
                <w:sz w:val="20"/>
                <w:szCs w:val="20"/>
                <w:color w:val="auto"/>
              </w:rPr>
              <w:t>1,096</w:t>
            </w:r>
          </w:p>
        </w:tc>
      </w:tr>
      <w:tr>
        <w:trPr>
          <w:trHeight w:val="229"/>
        </w:trPr>
        <w:tc>
          <w:tcPr>
            <w:tcW w:w="5260" w:type="dxa"/>
            <w:vAlign w:val="bottom"/>
          </w:tcPr>
          <w:p>
            <w:pPr>
              <w:ind w:left="60"/>
              <w:spacing w:after="0"/>
              <w:rPr>
                <w:sz w:val="20"/>
                <w:szCs w:val="20"/>
                <w:color w:val="auto"/>
              </w:rPr>
            </w:pPr>
            <w:r>
              <w:rPr>
                <w:rFonts w:ascii="Arial" w:cs="Arial" w:eastAsia="Arial" w:hAnsi="Arial"/>
                <w:sz w:val="20"/>
                <w:szCs w:val="20"/>
                <w:color w:val="auto"/>
              </w:rPr>
              <w:t>Interest expense</w:t>
            </w:r>
          </w:p>
        </w:tc>
        <w:tc>
          <w:tcPr>
            <w:tcW w:w="360" w:type="dxa"/>
            <w:vAlign w:val="bottom"/>
          </w:tcPr>
          <w:p>
            <w:pPr>
              <w:spacing w:after="0"/>
              <w:rPr>
                <w:sz w:val="19"/>
                <w:szCs w:val="19"/>
                <w:color w:val="auto"/>
              </w:rPr>
            </w:pPr>
          </w:p>
        </w:tc>
        <w:tc>
          <w:tcPr>
            <w:tcW w:w="1140" w:type="dxa"/>
            <w:vAlign w:val="bottom"/>
          </w:tcPr>
          <w:p>
            <w:pPr>
              <w:jc w:val="right"/>
              <w:ind w:right="61"/>
              <w:spacing w:after="0"/>
              <w:rPr>
                <w:sz w:val="20"/>
                <w:szCs w:val="20"/>
                <w:color w:val="auto"/>
              </w:rPr>
            </w:pPr>
            <w:r>
              <w:rPr>
                <w:rFonts w:ascii="Arial" w:cs="Arial" w:eastAsia="Arial" w:hAnsi="Arial"/>
                <w:sz w:val="20"/>
                <w:szCs w:val="20"/>
                <w:color w:val="auto"/>
              </w:rPr>
              <w:t>138</w:t>
            </w:r>
          </w:p>
        </w:tc>
        <w:tc>
          <w:tcPr>
            <w:tcW w:w="340" w:type="dxa"/>
            <w:vAlign w:val="bottom"/>
          </w:tcPr>
          <w:p>
            <w:pPr>
              <w:spacing w:after="0"/>
              <w:rPr>
                <w:sz w:val="19"/>
                <w:szCs w:val="19"/>
                <w:color w:val="auto"/>
              </w:rPr>
            </w:pPr>
          </w:p>
        </w:tc>
        <w:tc>
          <w:tcPr>
            <w:tcW w:w="1180" w:type="dxa"/>
            <w:vAlign w:val="bottom"/>
          </w:tcPr>
          <w:p>
            <w:pPr>
              <w:jc w:val="right"/>
              <w:ind w:right="121"/>
              <w:spacing w:after="0"/>
              <w:rPr>
                <w:sz w:val="20"/>
                <w:szCs w:val="20"/>
                <w:color w:val="auto"/>
              </w:rPr>
            </w:pPr>
            <w:r>
              <w:rPr>
                <w:rFonts w:ascii="Arial" w:cs="Arial" w:eastAsia="Arial" w:hAnsi="Arial"/>
                <w:sz w:val="20"/>
                <w:szCs w:val="20"/>
                <w:color w:val="auto"/>
              </w:rPr>
              <w:t>59</w:t>
            </w:r>
          </w:p>
        </w:tc>
        <w:tc>
          <w:tcPr>
            <w:tcW w:w="400" w:type="dxa"/>
            <w:vAlign w:val="bottom"/>
          </w:tcPr>
          <w:p>
            <w:pPr>
              <w:spacing w:after="0"/>
              <w:rPr>
                <w:sz w:val="19"/>
                <w:szCs w:val="19"/>
                <w:color w:val="auto"/>
              </w:rPr>
            </w:pPr>
          </w:p>
        </w:tc>
        <w:tc>
          <w:tcPr>
            <w:tcW w:w="1140" w:type="dxa"/>
            <w:vAlign w:val="bottom"/>
          </w:tcPr>
          <w:p>
            <w:pPr>
              <w:jc w:val="right"/>
              <w:ind w:right="81"/>
              <w:spacing w:after="0"/>
              <w:rPr>
                <w:sz w:val="20"/>
                <w:szCs w:val="20"/>
                <w:color w:val="auto"/>
              </w:rPr>
            </w:pPr>
            <w:r>
              <w:rPr>
                <w:rFonts w:ascii="Arial" w:cs="Arial" w:eastAsia="Arial" w:hAnsi="Arial"/>
                <w:sz w:val="20"/>
                <w:szCs w:val="20"/>
                <w:color w:val="auto"/>
              </w:rPr>
              <w:t>254</w:t>
            </w:r>
          </w:p>
        </w:tc>
        <w:tc>
          <w:tcPr>
            <w:tcW w:w="34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20"/>
                <w:szCs w:val="20"/>
                <w:color w:val="auto"/>
              </w:rPr>
              <w:t>172</w:t>
            </w:r>
          </w:p>
        </w:tc>
      </w:tr>
      <w:tr>
        <w:trPr>
          <w:trHeight w:val="230"/>
        </w:trPr>
        <w:tc>
          <w:tcPr>
            <w:tcW w:w="52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20"/>
                <w:szCs w:val="20"/>
                <w:color w:val="auto"/>
              </w:rPr>
              <w:t>Other nonoperating income, net</w:t>
            </w:r>
          </w:p>
        </w:tc>
        <w:tc>
          <w:tcPr>
            <w:tcW w:w="3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(13)</w:t>
            </w:r>
          </w:p>
        </w:tc>
        <w:tc>
          <w:tcPr>
            <w:tcW w:w="3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20"/>
                <w:szCs w:val="20"/>
                <w:color w:val="auto"/>
              </w:rPr>
              <w:t>(4)</w:t>
            </w:r>
          </w:p>
        </w:tc>
        <w:tc>
          <w:tcPr>
            <w:tcW w:w="4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1"/>
              <w:spacing w:after="0"/>
              <w:rPr>
                <w:sz w:val="20"/>
                <w:szCs w:val="20"/>
                <w:color w:val="auto"/>
              </w:rPr>
            </w:pPr>
            <w:r>
              <w:rPr>
                <w:rFonts w:ascii="Arial" w:cs="Arial" w:eastAsia="Arial" w:hAnsi="Arial"/>
                <w:sz w:val="20"/>
                <w:szCs w:val="20"/>
                <w:color w:val="auto"/>
              </w:rPr>
              <w:t>(33)</w:t>
            </w:r>
          </w:p>
        </w:tc>
        <w:tc>
          <w:tcPr>
            <w:tcW w:w="3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(23)</w:t>
            </w:r>
          </w:p>
        </w:tc>
      </w:tr>
      <w:tr>
        <w:trPr>
          <w:trHeight w:val="188"/>
        </w:trPr>
        <w:tc>
          <w:tcPr>
            <w:tcW w:w="5260" w:type="dxa"/>
            <w:vAlign w:val="bottom"/>
          </w:tcPr>
          <w:p>
            <w:pPr>
              <w:spacing w:after="0" w:line="188" w:lineRule="exact"/>
              <w:rPr>
                <w:sz w:val="20"/>
                <w:szCs w:val="20"/>
                <w:color w:val="auto"/>
              </w:rPr>
            </w:pPr>
            <w:r>
              <w:rPr>
                <w:rFonts w:ascii="Arial" w:cs="Arial" w:eastAsia="Arial" w:hAnsi="Arial"/>
                <w:sz w:val="20"/>
                <w:szCs w:val="20"/>
                <w:color w:val="auto"/>
              </w:rPr>
              <w:t>Earnings from continuing operations before income tax</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8"/>
        </w:trPr>
        <w:tc>
          <w:tcPr>
            <w:tcW w:w="52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expense</w:t>
            </w:r>
          </w:p>
        </w:tc>
        <w:tc>
          <w:tcPr>
            <w:tcW w:w="36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313</w:t>
            </w:r>
          </w:p>
        </w:tc>
        <w:tc>
          <w:tcPr>
            <w:tcW w:w="3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rPr>
              <w:t>450</w:t>
            </w:r>
          </w:p>
        </w:tc>
        <w:tc>
          <w:tcPr>
            <w:tcW w:w="40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751</w:t>
            </w:r>
          </w:p>
        </w:tc>
        <w:tc>
          <w:tcPr>
            <w:tcW w:w="3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947</w:t>
            </w:r>
          </w:p>
        </w:tc>
      </w:tr>
      <w:tr>
        <w:trPr>
          <w:trHeight w:val="20"/>
        </w:trPr>
        <w:tc>
          <w:tcPr>
            <w:tcW w:w="5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-3007995</wp:posOffset>
            </wp:positionV>
            <wp:extent cx="37204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720465" cy="8255"/>
                    </a:xfrm>
                    <a:prstGeom prst="rect">
                      <a:avLst/>
                    </a:prstGeom>
                    <a:noFill/>
                  </pic:spPr>
                </pic:pic>
              </a:graphicData>
            </a:graphic>
          </wp:anchor>
        </w:drawing>
      </w:r>
    </w:p>
    <w:p>
      <w:pPr>
        <w:spacing w:after="0" w:line="53" w:lineRule="exact"/>
        <w:rPr>
          <w:sz w:val="20"/>
          <w:szCs w:val="20"/>
          <w:color w:val="auto"/>
        </w:rPr>
      </w:pPr>
    </w:p>
    <w:p>
      <w:pPr>
        <w:jc w:val="both"/>
        <w:ind w:left="300" w:hanging="202"/>
        <w:spacing w:after="0" w:line="234" w:lineRule="auto"/>
        <w:tabs>
          <w:tab w:leader="none" w:pos="465" w:val="left"/>
        </w:tabs>
        <w:numPr>
          <w:ilvl w:val="0"/>
          <w:numId w:val="7"/>
        </w:numPr>
        <w:rPr>
          <w:rFonts w:ascii="Arial" w:cs="Arial" w:eastAsia="Arial" w:hAnsi="Arial"/>
          <w:sz w:val="20"/>
          <w:szCs w:val="20"/>
          <w:i w:val="1"/>
          <w:iCs w:val="1"/>
          <w:color w:val="auto"/>
        </w:rPr>
      </w:pPr>
      <w:r>
        <w:rPr>
          <w:rFonts w:ascii="Arial" w:cs="Arial" w:eastAsia="Arial" w:hAnsi="Arial"/>
          <w:sz w:val="20"/>
          <w:szCs w:val="20"/>
          <w:i w:val="1"/>
          <w:iCs w:val="1"/>
          <w:color w:val="auto"/>
        </w:rPr>
        <w:t>In connection with the closing of the QUIKRETE asset exchange during the quarter ended March 31, 2026, the Company updated its reportable segments. As of March 31, 2026, the Building Materials business includes two reportable segments: East Group (comprised of the East and Southwest divisions) and West Group (comprised of the Central and West divisions). The Company has recast all comparative prior-period information presented in this earnings release to reflect the updated reportable segments.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3" w:name="page14"/>
    <w:bookmarkEnd w:id="13"/>
    <w:p>
      <w:pPr>
        <w:spacing w:after="0"/>
        <w:rPr>
          <w:sz w:val="20"/>
          <w:szCs w:val="20"/>
          <w:color w:val="auto"/>
        </w:rPr>
      </w:pPr>
      <w:r>
        <w:rPr>
          <w:rFonts w:ascii="Arial" w:cs="Arial" w:eastAsia="Arial" w:hAnsi="Arial"/>
          <w:sz w:val="22"/>
          <w:szCs w:val="22"/>
          <w:color w:val="auto"/>
        </w:rPr>
        <w:t>Appendix</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auto"/>
        </w:rPr>
        <w:t>MARTIN MARIETTA MATERIALS, INC.</w:t>
      </w:r>
    </w:p>
    <w:p>
      <w:pPr>
        <w:jc w:val="center"/>
        <w:ind w:right="120"/>
        <w:spacing w:after="0" w:line="231" w:lineRule="auto"/>
        <w:rPr>
          <w:sz w:val="20"/>
          <w:szCs w:val="20"/>
          <w:color w:val="auto"/>
        </w:rPr>
      </w:pPr>
      <w:r>
        <w:rPr>
          <w:rFonts w:ascii="Arial" w:cs="Arial" w:eastAsia="Arial" w:hAnsi="Arial"/>
          <w:sz w:val="20"/>
          <w:szCs w:val="20"/>
          <w:b w:val="1"/>
          <w:bCs w:val="1"/>
          <w:color w:val="auto"/>
        </w:rPr>
        <w:t>Unaudited Product Line Financial Highlights</w:t>
      </w:r>
    </w:p>
    <w:p>
      <w:pPr>
        <w:spacing w:after="0" w:line="1" w:lineRule="exact"/>
        <w:rPr>
          <w:sz w:val="20"/>
          <w:szCs w:val="20"/>
          <w:color w:val="auto"/>
        </w:rPr>
      </w:pPr>
    </w:p>
    <w:p>
      <w:pPr>
        <w:jc w:val="center"/>
        <w:ind w:right="120"/>
        <w:spacing w:after="0"/>
        <w:rPr>
          <w:sz w:val="20"/>
          <w:szCs w:val="20"/>
          <w:color w:val="auto"/>
        </w:rPr>
      </w:pPr>
      <w:r>
        <w:rPr>
          <w:rFonts w:ascii="Arial" w:cs="Arial" w:eastAsia="Arial" w:hAnsi="Arial"/>
          <w:sz w:val="20"/>
          <w:szCs w:val="20"/>
          <w:i w:val="1"/>
          <w:iCs w:val="1"/>
          <w:color w:val="auto"/>
        </w:rPr>
        <w:t>(Continuing Operations Only)</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shd w:val="clear" w:color="auto" w:fill="007DC6"/>
          </w:tcPr>
          <w:p>
            <w:pPr>
              <w:spacing w:after="0"/>
              <w:rPr>
                <w:sz w:val="19"/>
                <w:szCs w:val="19"/>
                <w:color w:val="auto"/>
              </w:rPr>
            </w:pPr>
          </w:p>
        </w:tc>
        <w:tc>
          <w:tcPr>
            <w:tcW w:w="480" w:type="dxa"/>
            <w:vAlign w:val="bottom"/>
            <w:shd w:val="clear" w:color="auto" w:fill="007DC6"/>
          </w:tcPr>
          <w:p>
            <w:pPr>
              <w:spacing w:after="0"/>
              <w:rPr>
                <w:sz w:val="19"/>
                <w:szCs w:val="19"/>
                <w:color w:val="auto"/>
              </w:rPr>
            </w:pPr>
          </w:p>
        </w:tc>
        <w:tc>
          <w:tcPr>
            <w:tcW w:w="2980" w:type="dxa"/>
            <w:vAlign w:val="bottom"/>
            <w:gridSpan w:val="3"/>
            <w:shd w:val="clear" w:color="auto" w:fill="007DC6"/>
          </w:tcPr>
          <w:p>
            <w:pPr>
              <w:jc w:val="right"/>
              <w:ind w:right="701"/>
              <w:spacing w:after="0"/>
              <w:rPr>
                <w:sz w:val="20"/>
                <w:szCs w:val="20"/>
                <w:color w:val="auto"/>
              </w:rPr>
            </w:pPr>
            <w:r>
              <w:rPr>
                <w:rFonts w:ascii="Arial" w:cs="Arial" w:eastAsia="Arial" w:hAnsi="Arial"/>
                <w:sz w:val="20"/>
                <w:szCs w:val="20"/>
                <w:b w:val="1"/>
                <w:bCs w:val="1"/>
                <w:color w:val="FFFFFF"/>
              </w:rPr>
              <w:t>Three Months Ended</w:t>
            </w:r>
          </w:p>
        </w:tc>
        <w:tc>
          <w:tcPr>
            <w:tcW w:w="520" w:type="dxa"/>
            <w:vAlign w:val="bottom"/>
            <w:shd w:val="clear" w:color="auto" w:fill="007DC6"/>
          </w:tcPr>
          <w:p>
            <w:pPr>
              <w:spacing w:after="0"/>
              <w:rPr>
                <w:sz w:val="19"/>
                <w:szCs w:val="19"/>
                <w:color w:val="auto"/>
              </w:rPr>
            </w:pPr>
          </w:p>
        </w:tc>
        <w:tc>
          <w:tcPr>
            <w:tcW w:w="2800" w:type="dxa"/>
            <w:vAlign w:val="bottom"/>
            <w:gridSpan w:val="3"/>
            <w:shd w:val="clear" w:color="auto" w:fill="007DC6"/>
          </w:tcPr>
          <w:p>
            <w:pPr>
              <w:jc w:val="right"/>
              <w:ind w:right="601"/>
              <w:spacing w:after="0"/>
              <w:rPr>
                <w:sz w:val="20"/>
                <w:szCs w:val="20"/>
                <w:color w:val="auto"/>
              </w:rPr>
            </w:pPr>
            <w:r>
              <w:rPr>
                <w:rFonts w:ascii="Arial" w:cs="Arial" w:eastAsia="Arial" w:hAnsi="Arial"/>
                <w:sz w:val="20"/>
                <w:szCs w:val="20"/>
                <w:b w:val="1"/>
                <w:bCs w:val="1"/>
                <w:color w:val="FFFFFF"/>
              </w:rPr>
              <w:t>Nine Months Ended</w:t>
            </w:r>
          </w:p>
        </w:tc>
      </w:tr>
      <w:tr>
        <w:trPr>
          <w:trHeight w:val="229"/>
        </w:trPr>
        <w:tc>
          <w:tcPr>
            <w:tcW w:w="4460" w:type="dxa"/>
            <w:vAlign w:val="bottom"/>
            <w:shd w:val="clear" w:color="auto" w:fill="007DC6"/>
          </w:tcPr>
          <w:p>
            <w:pPr>
              <w:spacing w:after="0"/>
              <w:rPr>
                <w:sz w:val="19"/>
                <w:szCs w:val="19"/>
                <w:color w:val="auto"/>
              </w:rPr>
            </w:pPr>
          </w:p>
        </w:tc>
        <w:tc>
          <w:tcPr>
            <w:tcW w:w="480" w:type="dxa"/>
            <w:vAlign w:val="bottom"/>
            <w:shd w:val="clear" w:color="auto" w:fill="007DC6"/>
          </w:tcPr>
          <w:p>
            <w:pPr>
              <w:spacing w:after="0"/>
              <w:rPr>
                <w:sz w:val="19"/>
                <w:szCs w:val="19"/>
                <w:color w:val="auto"/>
              </w:rPr>
            </w:pPr>
          </w:p>
        </w:tc>
        <w:tc>
          <w:tcPr>
            <w:tcW w:w="2980" w:type="dxa"/>
            <w:vAlign w:val="bottom"/>
            <w:gridSpan w:val="3"/>
            <w:shd w:val="clear" w:color="auto" w:fill="007DC6"/>
          </w:tcPr>
          <w:p>
            <w:pPr>
              <w:jc w:val="right"/>
              <w:ind w:right="1001"/>
              <w:spacing w:after="0"/>
              <w:rPr>
                <w:sz w:val="20"/>
                <w:szCs w:val="20"/>
                <w:color w:val="auto"/>
              </w:rPr>
            </w:pPr>
            <w:r>
              <w:rPr>
                <w:rFonts w:ascii="Arial" w:cs="Arial" w:eastAsia="Arial" w:hAnsi="Arial"/>
                <w:sz w:val="20"/>
                <w:szCs w:val="20"/>
                <w:b w:val="1"/>
                <w:bCs w:val="1"/>
                <w:color w:val="FFFFFF"/>
              </w:rPr>
              <w:t>September 30,</w:t>
            </w:r>
          </w:p>
        </w:tc>
        <w:tc>
          <w:tcPr>
            <w:tcW w:w="520" w:type="dxa"/>
            <w:vAlign w:val="bottom"/>
            <w:shd w:val="clear" w:color="auto" w:fill="007DC6"/>
          </w:tcPr>
          <w:p>
            <w:pPr>
              <w:spacing w:after="0"/>
              <w:rPr>
                <w:sz w:val="19"/>
                <w:szCs w:val="19"/>
                <w:color w:val="auto"/>
              </w:rPr>
            </w:pPr>
          </w:p>
        </w:tc>
        <w:tc>
          <w:tcPr>
            <w:tcW w:w="2800" w:type="dxa"/>
            <w:vAlign w:val="bottom"/>
            <w:gridSpan w:val="3"/>
            <w:shd w:val="clear" w:color="auto" w:fill="007DC6"/>
          </w:tcPr>
          <w:p>
            <w:pPr>
              <w:jc w:val="right"/>
              <w:ind w:right="861"/>
              <w:spacing w:after="0"/>
              <w:rPr>
                <w:sz w:val="20"/>
                <w:szCs w:val="20"/>
                <w:color w:val="auto"/>
              </w:rPr>
            </w:pPr>
            <w:r>
              <w:rPr>
                <w:rFonts w:ascii="Arial" w:cs="Arial" w:eastAsia="Arial" w:hAnsi="Arial"/>
                <w:sz w:val="20"/>
                <w:szCs w:val="20"/>
                <w:b w:val="1"/>
                <w:bCs w:val="1"/>
                <w:color w:val="FFFFFF"/>
              </w:rPr>
              <w:t>September 30,</w:t>
            </w:r>
          </w:p>
        </w:tc>
      </w:tr>
      <w:tr>
        <w:trPr>
          <w:trHeight w:val="240"/>
        </w:trPr>
        <w:tc>
          <w:tcPr>
            <w:tcW w:w="4460" w:type="dxa"/>
            <w:vAlign w:val="bottom"/>
            <w:shd w:val="clear" w:color="auto" w:fill="007DC6"/>
          </w:tcPr>
          <w:p>
            <w:pPr>
              <w:spacing w:after="0"/>
              <w:rPr>
                <w:sz w:val="20"/>
                <w:szCs w:val="20"/>
                <w:color w:val="auto"/>
              </w:rPr>
            </w:pPr>
            <w:r>
              <w:rPr>
                <w:rFonts w:ascii="Arial" w:cs="Arial" w:eastAsia="Arial" w:hAnsi="Arial"/>
                <w:sz w:val="20"/>
                <w:szCs w:val="20"/>
                <w:b w:val="1"/>
                <w:bCs w:val="1"/>
                <w:color w:val="FFFFFF"/>
              </w:rPr>
              <w:t>(in millions)</w:t>
            </w:r>
          </w:p>
        </w:tc>
        <w:tc>
          <w:tcPr>
            <w:tcW w:w="480" w:type="dxa"/>
            <w:vAlign w:val="bottom"/>
            <w:shd w:val="clear" w:color="auto" w:fill="007DC6"/>
          </w:tcPr>
          <w:p>
            <w:pPr>
              <w:spacing w:after="0"/>
              <w:rPr>
                <w:sz w:val="20"/>
                <w:szCs w:val="20"/>
                <w:color w:val="auto"/>
              </w:rPr>
            </w:pPr>
          </w:p>
        </w:tc>
        <w:tc>
          <w:tcPr>
            <w:tcW w:w="1240" w:type="dxa"/>
            <w:vAlign w:val="bottom"/>
            <w:shd w:val="clear" w:color="auto" w:fill="007DC6"/>
          </w:tcPr>
          <w:p>
            <w:pPr>
              <w:jc w:val="right"/>
              <w:ind w:right="421"/>
              <w:spacing w:after="0"/>
              <w:rPr>
                <w:sz w:val="20"/>
                <w:szCs w:val="20"/>
                <w:color w:val="auto"/>
              </w:rPr>
            </w:pPr>
            <w:r>
              <w:rPr>
                <w:rFonts w:ascii="Arial" w:cs="Arial" w:eastAsia="Arial" w:hAnsi="Arial"/>
                <w:sz w:val="20"/>
                <w:szCs w:val="20"/>
                <w:b w:val="1"/>
                <w:bCs w:val="1"/>
                <w:color w:val="FFFFFF"/>
              </w:rPr>
              <w:t>2026</w:t>
            </w:r>
          </w:p>
        </w:tc>
        <w:tc>
          <w:tcPr>
            <w:tcW w:w="380" w:type="dxa"/>
            <w:vAlign w:val="bottom"/>
            <w:shd w:val="clear" w:color="auto" w:fill="007DC6"/>
          </w:tcPr>
          <w:p>
            <w:pPr>
              <w:spacing w:after="0"/>
              <w:rPr>
                <w:sz w:val="20"/>
                <w:szCs w:val="20"/>
                <w:color w:val="auto"/>
              </w:rPr>
            </w:pPr>
          </w:p>
        </w:tc>
        <w:tc>
          <w:tcPr>
            <w:tcW w:w="1360" w:type="dxa"/>
            <w:vAlign w:val="bottom"/>
            <w:shd w:val="clear" w:color="auto" w:fill="007DC6"/>
          </w:tcPr>
          <w:p>
            <w:pPr>
              <w:jc w:val="right"/>
              <w:ind w:right="641"/>
              <w:spacing w:after="0"/>
              <w:rPr>
                <w:sz w:val="20"/>
                <w:szCs w:val="20"/>
                <w:color w:val="auto"/>
              </w:rPr>
            </w:pPr>
            <w:r>
              <w:rPr>
                <w:rFonts w:ascii="Arial" w:cs="Arial" w:eastAsia="Arial" w:hAnsi="Arial"/>
                <w:sz w:val="20"/>
                <w:szCs w:val="20"/>
                <w:b w:val="1"/>
                <w:bCs w:val="1"/>
                <w:color w:val="FFFFFF"/>
              </w:rPr>
              <w:t>2025</w:t>
            </w:r>
          </w:p>
        </w:tc>
        <w:tc>
          <w:tcPr>
            <w:tcW w:w="520" w:type="dxa"/>
            <w:vAlign w:val="bottom"/>
            <w:shd w:val="clear" w:color="auto" w:fill="007DC6"/>
          </w:tcPr>
          <w:p>
            <w:pPr>
              <w:spacing w:after="0"/>
              <w:rPr>
                <w:sz w:val="20"/>
                <w:szCs w:val="20"/>
                <w:color w:val="auto"/>
              </w:rPr>
            </w:pPr>
          </w:p>
        </w:tc>
        <w:tc>
          <w:tcPr>
            <w:tcW w:w="1200" w:type="dxa"/>
            <w:vAlign w:val="bottom"/>
            <w:shd w:val="clear" w:color="auto" w:fill="007DC6"/>
          </w:tcPr>
          <w:p>
            <w:pPr>
              <w:jc w:val="right"/>
              <w:ind w:right="401"/>
              <w:spacing w:after="0"/>
              <w:rPr>
                <w:sz w:val="20"/>
                <w:szCs w:val="20"/>
                <w:color w:val="auto"/>
              </w:rPr>
            </w:pPr>
            <w:r>
              <w:rPr>
                <w:rFonts w:ascii="Arial" w:cs="Arial" w:eastAsia="Arial" w:hAnsi="Arial"/>
                <w:sz w:val="20"/>
                <w:szCs w:val="20"/>
                <w:b w:val="1"/>
                <w:bCs w:val="1"/>
                <w:color w:val="FFFFFF"/>
              </w:rPr>
              <w:t>2026</w:t>
            </w:r>
          </w:p>
        </w:tc>
        <w:tc>
          <w:tcPr>
            <w:tcW w:w="400" w:type="dxa"/>
            <w:vAlign w:val="bottom"/>
            <w:shd w:val="clear" w:color="auto" w:fill="007DC6"/>
          </w:tcPr>
          <w:p>
            <w:pPr>
              <w:spacing w:after="0"/>
              <w:rPr>
                <w:sz w:val="20"/>
                <w:szCs w:val="20"/>
                <w:color w:val="auto"/>
              </w:rPr>
            </w:pPr>
          </w:p>
        </w:tc>
        <w:tc>
          <w:tcPr>
            <w:tcW w:w="1200" w:type="dxa"/>
            <w:vAlign w:val="bottom"/>
            <w:shd w:val="clear" w:color="auto" w:fill="007DC6"/>
          </w:tcPr>
          <w:p>
            <w:pPr>
              <w:jc w:val="right"/>
              <w:ind w:right="481"/>
              <w:spacing w:after="0"/>
              <w:rPr>
                <w:sz w:val="20"/>
                <w:szCs w:val="20"/>
                <w:color w:val="auto"/>
              </w:rPr>
            </w:pPr>
            <w:r>
              <w:rPr>
                <w:rFonts w:ascii="Arial" w:cs="Arial" w:eastAsia="Arial" w:hAnsi="Arial"/>
                <w:sz w:val="20"/>
                <w:szCs w:val="20"/>
                <w:b w:val="1"/>
                <w:bCs w:val="1"/>
                <w:color w:val="FFFFFF"/>
              </w:rPr>
              <w:t>2025</w:t>
            </w:r>
          </w:p>
        </w:tc>
      </w:tr>
      <w:tr>
        <w:trPr>
          <w:trHeight w:val="216"/>
        </w:trPr>
        <w:tc>
          <w:tcPr>
            <w:tcW w:w="4460" w:type="dxa"/>
            <w:vAlign w:val="bottom"/>
            <w:shd w:val="clear" w:color="auto" w:fill="CFF0FC"/>
          </w:tcPr>
          <w:p>
            <w:pPr>
              <w:spacing w:after="0" w:line="216" w:lineRule="exact"/>
              <w:rPr>
                <w:sz w:val="20"/>
                <w:szCs w:val="20"/>
                <w:color w:val="auto"/>
              </w:rPr>
            </w:pPr>
            <w:r>
              <w:rPr>
                <w:rFonts w:ascii="Arial" w:cs="Arial" w:eastAsia="Arial" w:hAnsi="Arial"/>
                <w:sz w:val="20"/>
                <w:szCs w:val="20"/>
                <w:b w:val="1"/>
                <w:bCs w:val="1"/>
                <w:color w:val="auto"/>
              </w:rPr>
              <w:t>Revenues</w:t>
            </w:r>
          </w:p>
        </w:tc>
        <w:tc>
          <w:tcPr>
            <w:tcW w:w="4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16"/>
        </w:trPr>
        <w:tc>
          <w:tcPr>
            <w:tcW w:w="4460" w:type="dxa"/>
            <w:vAlign w:val="bottom"/>
          </w:tcPr>
          <w:p>
            <w:pPr>
              <w:ind w:left="100"/>
              <w:spacing w:after="0" w:line="216" w:lineRule="exact"/>
              <w:rPr>
                <w:sz w:val="20"/>
                <w:szCs w:val="20"/>
                <w:color w:val="auto"/>
              </w:rPr>
            </w:pPr>
            <w:r>
              <w:rPr>
                <w:rFonts w:ascii="Arial" w:cs="Arial" w:eastAsia="Arial" w:hAnsi="Arial"/>
                <w:sz w:val="20"/>
                <w:szCs w:val="20"/>
                <w:color w:val="auto"/>
              </w:rPr>
              <w:t>Building Materials</w:t>
            </w: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4460" w:type="dxa"/>
            <w:vAlign w:val="bottom"/>
            <w:shd w:val="clear" w:color="auto" w:fill="CFF0FC"/>
          </w:tcPr>
          <w:p>
            <w:pPr>
              <w:ind w:left="180"/>
              <w:spacing w:after="0" w:line="216" w:lineRule="exact"/>
              <w:rPr>
                <w:sz w:val="20"/>
                <w:szCs w:val="20"/>
                <w:color w:val="auto"/>
              </w:rPr>
            </w:pPr>
            <w:r>
              <w:rPr>
                <w:rFonts w:ascii="Arial" w:cs="Arial" w:eastAsia="Arial" w:hAnsi="Arial"/>
                <w:sz w:val="20"/>
                <w:szCs w:val="20"/>
                <w:color w:val="auto"/>
              </w:rPr>
              <w:t>Aggregates</w:t>
            </w:r>
          </w:p>
        </w:tc>
        <w:tc>
          <w:tcPr>
            <w:tcW w:w="480" w:type="dxa"/>
            <w:vAlign w:val="bottom"/>
            <w:shd w:val="clear" w:color="auto" w:fill="CFF0FC"/>
          </w:tcPr>
          <w:p>
            <w:pPr>
              <w:jc w:val="right"/>
              <w:ind w:right="101"/>
              <w:spacing w:after="0" w:line="216" w:lineRule="exact"/>
              <w:rPr>
                <w:sz w:val="20"/>
                <w:szCs w:val="20"/>
                <w:color w:val="auto"/>
              </w:rPr>
            </w:pPr>
            <w:r>
              <w:rPr>
                <w:rFonts w:ascii="Arial" w:cs="Arial" w:eastAsia="Arial" w:hAnsi="Arial"/>
                <w:sz w:val="20"/>
                <w:szCs w:val="20"/>
                <w:color w:val="auto"/>
              </w:rPr>
              <w:t>$</w:t>
            </w:r>
          </w:p>
        </w:tc>
        <w:tc>
          <w:tcPr>
            <w:tcW w:w="1240" w:type="dxa"/>
            <w:vAlign w:val="bottom"/>
            <w:shd w:val="clear" w:color="auto" w:fill="CFF0FC"/>
          </w:tcPr>
          <w:p>
            <w:pPr>
              <w:jc w:val="right"/>
              <w:ind w:right="81"/>
              <w:spacing w:after="0" w:line="216" w:lineRule="exact"/>
              <w:rPr>
                <w:sz w:val="20"/>
                <w:szCs w:val="20"/>
                <w:color w:val="auto"/>
              </w:rPr>
            </w:pPr>
            <w:r>
              <w:rPr>
                <w:rFonts w:ascii="Arial" w:cs="Arial" w:eastAsia="Arial" w:hAnsi="Arial"/>
                <w:sz w:val="20"/>
                <w:szCs w:val="20"/>
                <w:color w:val="auto"/>
              </w:rPr>
              <w:t>1,662</w:t>
            </w:r>
          </w:p>
        </w:tc>
        <w:tc>
          <w:tcPr>
            <w:tcW w:w="380" w:type="dxa"/>
            <w:vAlign w:val="bottom"/>
            <w:shd w:val="clear" w:color="auto" w:fill="CFF0FC"/>
          </w:tcPr>
          <w:p>
            <w:pPr>
              <w:jc w:val="right"/>
              <w:ind w:right="81"/>
              <w:spacing w:after="0" w:line="216" w:lineRule="exact"/>
              <w:rPr>
                <w:sz w:val="20"/>
                <w:szCs w:val="20"/>
                <w:color w:val="auto"/>
              </w:rPr>
            </w:pPr>
            <w:r>
              <w:rPr>
                <w:rFonts w:ascii="Arial" w:cs="Arial" w:eastAsia="Arial" w:hAnsi="Arial"/>
                <w:sz w:val="20"/>
                <w:szCs w:val="20"/>
                <w:color w:val="auto"/>
              </w:rPr>
              <w:t>$</w:t>
            </w:r>
          </w:p>
        </w:tc>
        <w:tc>
          <w:tcPr>
            <w:tcW w:w="1360" w:type="dxa"/>
            <w:vAlign w:val="bottom"/>
            <w:shd w:val="clear" w:color="auto" w:fill="CFF0FC"/>
          </w:tcPr>
          <w:p>
            <w:pPr>
              <w:jc w:val="right"/>
              <w:ind w:right="181"/>
              <w:spacing w:after="0" w:line="216" w:lineRule="exact"/>
              <w:rPr>
                <w:sz w:val="20"/>
                <w:szCs w:val="20"/>
                <w:color w:val="auto"/>
              </w:rPr>
            </w:pPr>
            <w:r>
              <w:rPr>
                <w:rFonts w:ascii="Arial" w:cs="Arial" w:eastAsia="Arial" w:hAnsi="Arial"/>
                <w:sz w:val="20"/>
                <w:szCs w:val="20"/>
                <w:color w:val="auto"/>
              </w:rPr>
              <w:t>1,458</w:t>
            </w:r>
          </w:p>
        </w:tc>
        <w:tc>
          <w:tcPr>
            <w:tcW w:w="520" w:type="dxa"/>
            <w:vAlign w:val="bottom"/>
            <w:shd w:val="clear" w:color="auto" w:fill="CFF0FC"/>
          </w:tcPr>
          <w:p>
            <w:pPr>
              <w:jc w:val="right"/>
              <w:ind w:right="141"/>
              <w:spacing w:after="0" w:line="216" w:lineRule="exact"/>
              <w:rPr>
                <w:sz w:val="20"/>
                <w:szCs w:val="20"/>
                <w:color w:val="auto"/>
              </w:rPr>
            </w:pPr>
            <w:r>
              <w:rPr>
                <w:rFonts w:ascii="Arial" w:cs="Arial" w:eastAsia="Arial" w:hAnsi="Arial"/>
                <w:sz w:val="20"/>
                <w:szCs w:val="20"/>
                <w:color w:val="auto"/>
              </w:rPr>
              <w:t>$</w:t>
            </w:r>
          </w:p>
        </w:tc>
        <w:tc>
          <w:tcPr>
            <w:tcW w:w="1200" w:type="dxa"/>
            <w:vAlign w:val="bottom"/>
            <w:shd w:val="clear" w:color="auto" w:fill="CFF0FC"/>
          </w:tcPr>
          <w:p>
            <w:pPr>
              <w:jc w:val="right"/>
              <w:ind w:right="61"/>
              <w:spacing w:after="0" w:line="216" w:lineRule="exact"/>
              <w:rPr>
                <w:sz w:val="20"/>
                <w:szCs w:val="20"/>
                <w:color w:val="auto"/>
              </w:rPr>
            </w:pPr>
            <w:r>
              <w:rPr>
                <w:rFonts w:ascii="Arial" w:cs="Arial" w:eastAsia="Arial" w:hAnsi="Arial"/>
                <w:sz w:val="20"/>
                <w:szCs w:val="20"/>
                <w:color w:val="auto"/>
              </w:rPr>
              <w:t>4,337</w:t>
            </w:r>
          </w:p>
        </w:tc>
        <w:tc>
          <w:tcPr>
            <w:tcW w:w="400" w:type="dxa"/>
            <w:vAlign w:val="bottom"/>
            <w:shd w:val="clear" w:color="auto" w:fill="CFF0FC"/>
          </w:tcPr>
          <w:p>
            <w:pPr>
              <w:jc w:val="right"/>
              <w:ind w:right="81"/>
              <w:spacing w:after="0" w:line="216" w:lineRule="exact"/>
              <w:rPr>
                <w:sz w:val="20"/>
                <w:szCs w:val="20"/>
                <w:color w:val="auto"/>
              </w:rPr>
            </w:pPr>
            <w:r>
              <w:rPr>
                <w:rFonts w:ascii="Arial" w:cs="Arial" w:eastAsia="Arial" w:hAnsi="Arial"/>
                <w:sz w:val="20"/>
                <w:szCs w:val="20"/>
                <w:color w:val="auto"/>
              </w:rPr>
              <w:t>$</w:t>
            </w:r>
          </w:p>
        </w:tc>
        <w:tc>
          <w:tcPr>
            <w:tcW w:w="1200" w:type="dxa"/>
            <w:vAlign w:val="bottom"/>
            <w:shd w:val="clear" w:color="auto" w:fill="CFF0FC"/>
          </w:tcPr>
          <w:p>
            <w:pPr>
              <w:jc w:val="right"/>
              <w:ind w:right="21"/>
              <w:spacing w:after="0" w:line="216" w:lineRule="exact"/>
              <w:rPr>
                <w:sz w:val="20"/>
                <w:szCs w:val="20"/>
                <w:color w:val="auto"/>
              </w:rPr>
            </w:pPr>
            <w:r>
              <w:rPr>
                <w:rFonts w:ascii="Arial" w:cs="Arial" w:eastAsia="Arial" w:hAnsi="Arial"/>
                <w:sz w:val="20"/>
                <w:szCs w:val="20"/>
                <w:color w:val="auto"/>
              </w:rPr>
              <w:t>3,780</w:t>
            </w:r>
          </w:p>
        </w:tc>
      </w:tr>
      <w:tr>
        <w:trPr>
          <w:trHeight w:val="216"/>
        </w:trPr>
        <w:tc>
          <w:tcPr>
            <w:tcW w:w="4460" w:type="dxa"/>
            <w:vAlign w:val="bottom"/>
          </w:tcPr>
          <w:p>
            <w:pPr>
              <w:ind w:left="180"/>
              <w:spacing w:after="0" w:line="216" w:lineRule="exact"/>
              <w:rPr>
                <w:sz w:val="20"/>
                <w:szCs w:val="20"/>
                <w:color w:val="auto"/>
              </w:rPr>
            </w:pPr>
            <w:r>
              <w:rPr>
                <w:rFonts w:ascii="Arial" w:cs="Arial" w:eastAsia="Arial" w:hAnsi="Arial"/>
                <w:sz w:val="20"/>
                <w:szCs w:val="20"/>
                <w:color w:val="auto"/>
              </w:rPr>
              <w:t>Other Building Materials</w:t>
            </w:r>
          </w:p>
        </w:tc>
        <w:tc>
          <w:tcPr>
            <w:tcW w:w="480" w:type="dxa"/>
            <w:vAlign w:val="bottom"/>
          </w:tcPr>
          <w:p>
            <w:pPr>
              <w:spacing w:after="0"/>
              <w:rPr>
                <w:sz w:val="18"/>
                <w:szCs w:val="18"/>
                <w:color w:val="auto"/>
              </w:rPr>
            </w:pPr>
          </w:p>
        </w:tc>
        <w:tc>
          <w:tcPr>
            <w:tcW w:w="1240" w:type="dxa"/>
            <w:vAlign w:val="bottom"/>
          </w:tcPr>
          <w:p>
            <w:pPr>
              <w:jc w:val="right"/>
              <w:ind w:right="81"/>
              <w:spacing w:after="0" w:line="216" w:lineRule="exact"/>
              <w:rPr>
                <w:sz w:val="20"/>
                <w:szCs w:val="20"/>
                <w:color w:val="auto"/>
              </w:rPr>
            </w:pPr>
            <w:r>
              <w:rPr>
                <w:rFonts w:ascii="Arial" w:cs="Arial" w:eastAsia="Arial" w:hAnsi="Arial"/>
                <w:sz w:val="20"/>
                <w:szCs w:val="20"/>
                <w:color w:val="auto"/>
              </w:rPr>
              <w:t>399</w:t>
            </w:r>
          </w:p>
        </w:tc>
        <w:tc>
          <w:tcPr>
            <w:tcW w:w="380" w:type="dxa"/>
            <w:vAlign w:val="bottom"/>
          </w:tcPr>
          <w:p>
            <w:pPr>
              <w:spacing w:after="0"/>
              <w:rPr>
                <w:sz w:val="18"/>
                <w:szCs w:val="18"/>
                <w:color w:val="auto"/>
              </w:rPr>
            </w:pPr>
          </w:p>
        </w:tc>
        <w:tc>
          <w:tcPr>
            <w:tcW w:w="1360" w:type="dxa"/>
            <w:vAlign w:val="bottom"/>
          </w:tcPr>
          <w:p>
            <w:pPr>
              <w:jc w:val="right"/>
              <w:ind w:right="181"/>
              <w:spacing w:after="0" w:line="216" w:lineRule="exact"/>
              <w:rPr>
                <w:sz w:val="20"/>
                <w:szCs w:val="20"/>
                <w:color w:val="auto"/>
              </w:rPr>
            </w:pPr>
            <w:r>
              <w:rPr>
                <w:rFonts w:ascii="Arial" w:cs="Arial" w:eastAsia="Arial" w:hAnsi="Arial"/>
                <w:sz w:val="20"/>
                <w:szCs w:val="20"/>
                <w:color w:val="auto"/>
              </w:rPr>
              <w:t>351</w:t>
            </w:r>
          </w:p>
        </w:tc>
        <w:tc>
          <w:tcPr>
            <w:tcW w:w="520" w:type="dxa"/>
            <w:vAlign w:val="bottom"/>
          </w:tcPr>
          <w:p>
            <w:pPr>
              <w:spacing w:after="0"/>
              <w:rPr>
                <w:sz w:val="18"/>
                <w:szCs w:val="18"/>
                <w:color w:val="auto"/>
              </w:rPr>
            </w:pPr>
          </w:p>
        </w:tc>
        <w:tc>
          <w:tcPr>
            <w:tcW w:w="1200" w:type="dxa"/>
            <w:vAlign w:val="bottom"/>
          </w:tcPr>
          <w:p>
            <w:pPr>
              <w:jc w:val="right"/>
              <w:ind w:right="61"/>
              <w:spacing w:after="0" w:line="216" w:lineRule="exact"/>
              <w:rPr>
                <w:sz w:val="20"/>
                <w:szCs w:val="20"/>
                <w:color w:val="auto"/>
              </w:rPr>
            </w:pPr>
            <w:r>
              <w:rPr>
                <w:rFonts w:ascii="Arial" w:cs="Arial" w:eastAsia="Arial" w:hAnsi="Arial"/>
                <w:sz w:val="20"/>
                <w:szCs w:val="20"/>
                <w:color w:val="auto"/>
              </w:rPr>
              <w:t>819</w:t>
            </w:r>
          </w:p>
        </w:tc>
        <w:tc>
          <w:tcPr>
            <w:tcW w:w="400" w:type="dxa"/>
            <w:vAlign w:val="bottom"/>
          </w:tcPr>
          <w:p>
            <w:pPr>
              <w:spacing w:after="0"/>
              <w:rPr>
                <w:sz w:val="18"/>
                <w:szCs w:val="18"/>
                <w:color w:val="auto"/>
              </w:rPr>
            </w:pPr>
          </w:p>
        </w:tc>
        <w:tc>
          <w:tcPr>
            <w:tcW w:w="1200" w:type="dxa"/>
            <w:vAlign w:val="bottom"/>
          </w:tcPr>
          <w:p>
            <w:pPr>
              <w:jc w:val="right"/>
              <w:ind w:right="21"/>
              <w:spacing w:after="0" w:line="216" w:lineRule="exact"/>
              <w:rPr>
                <w:sz w:val="20"/>
                <w:szCs w:val="20"/>
                <w:color w:val="auto"/>
              </w:rPr>
            </w:pPr>
            <w:r>
              <w:rPr>
                <w:rFonts w:ascii="Arial" w:cs="Arial" w:eastAsia="Arial" w:hAnsi="Arial"/>
                <w:sz w:val="20"/>
                <w:szCs w:val="20"/>
                <w:color w:val="auto"/>
              </w:rPr>
              <w:t>744</w:t>
            </w:r>
          </w:p>
        </w:tc>
      </w:tr>
      <w:tr>
        <w:trPr>
          <w:trHeight w:val="216"/>
        </w:trPr>
        <w:tc>
          <w:tcPr>
            <w:tcW w:w="4460" w:type="dxa"/>
            <w:vAlign w:val="bottom"/>
            <w:tcBorders>
              <w:bottom w:val="single" w:sz="8" w:color="auto"/>
            </w:tcBorders>
            <w:shd w:val="clear" w:color="auto" w:fill="CFF0FC"/>
          </w:tcPr>
          <w:p>
            <w:pPr>
              <w:ind w:left="180"/>
              <w:spacing w:after="0" w:line="216" w:lineRule="exact"/>
              <w:rPr>
                <w:sz w:val="20"/>
                <w:szCs w:val="20"/>
                <w:color w:val="auto"/>
              </w:rPr>
            </w:pPr>
            <w:r>
              <w:rPr>
                <w:rFonts w:ascii="Arial" w:cs="Arial" w:eastAsia="Arial" w:hAnsi="Arial"/>
                <w:sz w:val="20"/>
                <w:szCs w:val="20"/>
                <w:color w:val="auto"/>
              </w:rPr>
              <w:t>Less: Interproduct sales</w:t>
            </w:r>
          </w:p>
        </w:tc>
        <w:tc>
          <w:tcPr>
            <w:tcW w:w="4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1"/>
              <w:spacing w:after="0" w:line="216" w:lineRule="exact"/>
              <w:rPr>
                <w:sz w:val="20"/>
                <w:szCs w:val="20"/>
                <w:color w:val="auto"/>
              </w:rPr>
            </w:pPr>
            <w:r>
              <w:rPr>
                <w:rFonts w:ascii="Arial" w:cs="Arial" w:eastAsia="Arial" w:hAnsi="Arial"/>
                <w:sz w:val="20"/>
                <w:szCs w:val="20"/>
                <w:color w:val="auto"/>
              </w:rPr>
              <w:t>(54)</w:t>
            </w:r>
          </w:p>
        </w:tc>
        <w:tc>
          <w:tcPr>
            <w:tcW w:w="38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101"/>
              <w:spacing w:after="0" w:line="216" w:lineRule="exact"/>
              <w:rPr>
                <w:sz w:val="20"/>
                <w:szCs w:val="20"/>
                <w:color w:val="auto"/>
              </w:rPr>
            </w:pPr>
            <w:r>
              <w:rPr>
                <w:rFonts w:ascii="Arial" w:cs="Arial" w:eastAsia="Arial" w:hAnsi="Arial"/>
                <w:sz w:val="20"/>
                <w:szCs w:val="20"/>
                <w:color w:val="auto"/>
              </w:rPr>
              <w:t>(94)</w:t>
            </w:r>
          </w:p>
        </w:tc>
        <w:tc>
          <w:tcPr>
            <w:tcW w:w="5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line="216" w:lineRule="exact"/>
              <w:rPr>
                <w:sz w:val="20"/>
                <w:szCs w:val="20"/>
                <w:color w:val="auto"/>
              </w:rPr>
            </w:pPr>
            <w:r>
              <w:rPr>
                <w:rFonts w:ascii="Arial" w:cs="Arial" w:eastAsia="Arial" w:hAnsi="Arial"/>
                <w:sz w:val="20"/>
                <w:szCs w:val="20"/>
                <w:color w:val="auto"/>
              </w:rPr>
              <w:t>(134)</w:t>
            </w:r>
          </w:p>
        </w:tc>
        <w:tc>
          <w:tcPr>
            <w:tcW w:w="4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line="216" w:lineRule="exact"/>
              <w:rPr>
                <w:sz w:val="20"/>
                <w:szCs w:val="20"/>
                <w:color w:val="auto"/>
              </w:rPr>
            </w:pPr>
            <w:r>
              <w:rPr>
                <w:rFonts w:ascii="Arial" w:cs="Arial" w:eastAsia="Arial" w:hAnsi="Arial"/>
                <w:sz w:val="20"/>
                <w:szCs w:val="20"/>
                <w:color w:val="auto"/>
              </w:rPr>
              <w:t>(216)</w:t>
            </w:r>
          </w:p>
        </w:tc>
      </w:tr>
      <w:tr>
        <w:trPr>
          <w:trHeight w:val="210"/>
        </w:trPr>
        <w:tc>
          <w:tcPr>
            <w:tcW w:w="4460" w:type="dxa"/>
            <w:vAlign w:val="bottom"/>
          </w:tcPr>
          <w:p>
            <w:pPr>
              <w:ind w:left="100"/>
              <w:spacing w:after="0" w:line="209" w:lineRule="exact"/>
              <w:rPr>
                <w:sz w:val="20"/>
                <w:szCs w:val="20"/>
                <w:color w:val="auto"/>
              </w:rPr>
            </w:pPr>
            <w:r>
              <w:rPr>
                <w:rFonts w:ascii="Arial" w:cs="Arial" w:eastAsia="Arial" w:hAnsi="Arial"/>
                <w:sz w:val="20"/>
                <w:szCs w:val="20"/>
                <w:color w:val="auto"/>
              </w:rPr>
              <w:t>Total Building Materials business</w:t>
            </w:r>
          </w:p>
        </w:tc>
        <w:tc>
          <w:tcPr>
            <w:tcW w:w="480" w:type="dxa"/>
            <w:vAlign w:val="bottom"/>
          </w:tcPr>
          <w:p>
            <w:pPr>
              <w:spacing w:after="0"/>
              <w:rPr>
                <w:sz w:val="18"/>
                <w:szCs w:val="18"/>
                <w:color w:val="auto"/>
              </w:rPr>
            </w:pPr>
          </w:p>
        </w:tc>
        <w:tc>
          <w:tcPr>
            <w:tcW w:w="1240" w:type="dxa"/>
            <w:vAlign w:val="bottom"/>
          </w:tcPr>
          <w:p>
            <w:pPr>
              <w:jc w:val="right"/>
              <w:ind w:right="81"/>
              <w:spacing w:after="0" w:line="209" w:lineRule="exact"/>
              <w:rPr>
                <w:sz w:val="20"/>
                <w:szCs w:val="20"/>
                <w:color w:val="auto"/>
              </w:rPr>
            </w:pPr>
            <w:r>
              <w:rPr>
                <w:rFonts w:ascii="Arial" w:cs="Arial" w:eastAsia="Arial" w:hAnsi="Arial"/>
                <w:sz w:val="20"/>
                <w:szCs w:val="20"/>
                <w:color w:val="auto"/>
              </w:rPr>
              <w:t>2,007</w:t>
            </w:r>
          </w:p>
        </w:tc>
        <w:tc>
          <w:tcPr>
            <w:tcW w:w="380" w:type="dxa"/>
            <w:vAlign w:val="bottom"/>
          </w:tcPr>
          <w:p>
            <w:pPr>
              <w:spacing w:after="0"/>
              <w:rPr>
                <w:sz w:val="18"/>
                <w:szCs w:val="18"/>
                <w:color w:val="auto"/>
              </w:rPr>
            </w:pPr>
          </w:p>
        </w:tc>
        <w:tc>
          <w:tcPr>
            <w:tcW w:w="1360" w:type="dxa"/>
            <w:vAlign w:val="bottom"/>
          </w:tcPr>
          <w:p>
            <w:pPr>
              <w:jc w:val="right"/>
              <w:ind w:right="181"/>
              <w:spacing w:after="0" w:line="209" w:lineRule="exact"/>
              <w:rPr>
                <w:sz w:val="20"/>
                <w:szCs w:val="20"/>
                <w:color w:val="auto"/>
              </w:rPr>
            </w:pPr>
            <w:r>
              <w:rPr>
                <w:rFonts w:ascii="Arial" w:cs="Arial" w:eastAsia="Arial" w:hAnsi="Arial"/>
                <w:sz w:val="20"/>
                <w:szCs w:val="20"/>
                <w:color w:val="auto"/>
              </w:rPr>
              <w:t>1,715</w:t>
            </w:r>
          </w:p>
        </w:tc>
        <w:tc>
          <w:tcPr>
            <w:tcW w:w="520" w:type="dxa"/>
            <w:vAlign w:val="bottom"/>
          </w:tcPr>
          <w:p>
            <w:pPr>
              <w:spacing w:after="0"/>
              <w:rPr>
                <w:sz w:val="18"/>
                <w:szCs w:val="18"/>
                <w:color w:val="auto"/>
              </w:rPr>
            </w:pPr>
          </w:p>
        </w:tc>
        <w:tc>
          <w:tcPr>
            <w:tcW w:w="1200" w:type="dxa"/>
            <w:vAlign w:val="bottom"/>
          </w:tcPr>
          <w:p>
            <w:pPr>
              <w:jc w:val="right"/>
              <w:ind w:right="61"/>
              <w:spacing w:after="0" w:line="209" w:lineRule="exact"/>
              <w:rPr>
                <w:sz w:val="20"/>
                <w:szCs w:val="20"/>
                <w:color w:val="auto"/>
              </w:rPr>
            </w:pPr>
            <w:r>
              <w:rPr>
                <w:rFonts w:ascii="Arial" w:cs="Arial" w:eastAsia="Arial" w:hAnsi="Arial"/>
                <w:sz w:val="20"/>
                <w:szCs w:val="20"/>
                <w:color w:val="auto"/>
              </w:rPr>
              <w:t>5,022</w:t>
            </w:r>
          </w:p>
        </w:tc>
        <w:tc>
          <w:tcPr>
            <w:tcW w:w="400" w:type="dxa"/>
            <w:vAlign w:val="bottom"/>
          </w:tcPr>
          <w:p>
            <w:pPr>
              <w:spacing w:after="0"/>
              <w:rPr>
                <w:sz w:val="18"/>
                <w:szCs w:val="18"/>
                <w:color w:val="auto"/>
              </w:rPr>
            </w:pPr>
          </w:p>
        </w:tc>
        <w:tc>
          <w:tcPr>
            <w:tcW w:w="1200" w:type="dxa"/>
            <w:vAlign w:val="bottom"/>
          </w:tcPr>
          <w:p>
            <w:pPr>
              <w:jc w:val="right"/>
              <w:ind w:right="21"/>
              <w:spacing w:after="0" w:line="209" w:lineRule="exact"/>
              <w:rPr>
                <w:sz w:val="20"/>
                <w:szCs w:val="20"/>
                <w:color w:val="auto"/>
              </w:rPr>
            </w:pPr>
            <w:r>
              <w:rPr>
                <w:rFonts w:ascii="Arial" w:cs="Arial" w:eastAsia="Arial" w:hAnsi="Arial"/>
                <w:sz w:val="20"/>
                <w:szCs w:val="20"/>
                <w:color w:val="auto"/>
              </w:rPr>
              <w:t>4,308</w:t>
            </w:r>
          </w:p>
        </w:tc>
      </w:tr>
      <w:tr>
        <w:trPr>
          <w:trHeight w:val="216"/>
        </w:trPr>
        <w:tc>
          <w:tcPr>
            <w:tcW w:w="4460" w:type="dxa"/>
            <w:vAlign w:val="bottom"/>
            <w:tcBorders>
              <w:bottom w:val="single" w:sz="8" w:color="auto"/>
            </w:tcBorders>
            <w:shd w:val="clear" w:color="auto" w:fill="CFF0FC"/>
          </w:tcPr>
          <w:p>
            <w:pPr>
              <w:ind w:left="100"/>
              <w:spacing w:after="0" w:line="216" w:lineRule="exact"/>
              <w:rPr>
                <w:sz w:val="20"/>
                <w:szCs w:val="20"/>
                <w:color w:val="auto"/>
              </w:rPr>
            </w:pPr>
            <w:r>
              <w:rPr>
                <w:rFonts w:ascii="Arial" w:cs="Arial" w:eastAsia="Arial" w:hAnsi="Arial"/>
                <w:sz w:val="20"/>
                <w:szCs w:val="20"/>
                <w:color w:val="auto"/>
              </w:rPr>
              <w:t>Specialties</w:t>
            </w:r>
          </w:p>
        </w:tc>
        <w:tc>
          <w:tcPr>
            <w:tcW w:w="4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81"/>
              <w:spacing w:after="0" w:line="216" w:lineRule="exact"/>
              <w:rPr>
                <w:sz w:val="20"/>
                <w:szCs w:val="20"/>
                <w:color w:val="auto"/>
              </w:rPr>
            </w:pPr>
            <w:r>
              <w:rPr>
                <w:rFonts w:ascii="Arial" w:cs="Arial" w:eastAsia="Arial" w:hAnsi="Arial"/>
                <w:sz w:val="20"/>
                <w:szCs w:val="20"/>
                <w:color w:val="auto"/>
              </w:rPr>
              <w:t>362</w:t>
            </w:r>
          </w:p>
        </w:tc>
        <w:tc>
          <w:tcPr>
            <w:tcW w:w="38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181"/>
              <w:spacing w:after="0" w:line="216" w:lineRule="exact"/>
              <w:rPr>
                <w:sz w:val="20"/>
                <w:szCs w:val="20"/>
                <w:color w:val="auto"/>
              </w:rPr>
            </w:pPr>
            <w:r>
              <w:rPr>
                <w:rFonts w:ascii="Arial" w:cs="Arial" w:eastAsia="Arial" w:hAnsi="Arial"/>
                <w:sz w:val="20"/>
                <w:szCs w:val="20"/>
                <w:color w:val="auto"/>
              </w:rPr>
              <w:t>131</w:t>
            </w:r>
          </w:p>
        </w:tc>
        <w:tc>
          <w:tcPr>
            <w:tcW w:w="5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61"/>
              <w:spacing w:after="0" w:line="216" w:lineRule="exact"/>
              <w:rPr>
                <w:sz w:val="20"/>
                <w:szCs w:val="20"/>
                <w:color w:val="auto"/>
              </w:rPr>
            </w:pPr>
            <w:r>
              <w:rPr>
                <w:rFonts w:ascii="Arial" w:cs="Arial" w:eastAsia="Arial" w:hAnsi="Arial"/>
                <w:sz w:val="20"/>
                <w:szCs w:val="20"/>
                <w:color w:val="auto"/>
              </w:rPr>
              <w:t>656</w:t>
            </w:r>
          </w:p>
        </w:tc>
        <w:tc>
          <w:tcPr>
            <w:tcW w:w="4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21"/>
              <w:spacing w:after="0" w:line="216" w:lineRule="exact"/>
              <w:rPr>
                <w:sz w:val="20"/>
                <w:szCs w:val="20"/>
                <w:color w:val="auto"/>
              </w:rPr>
            </w:pPr>
            <w:r>
              <w:rPr>
                <w:rFonts w:ascii="Arial" w:cs="Arial" w:eastAsia="Arial" w:hAnsi="Arial"/>
                <w:sz w:val="20"/>
                <w:szCs w:val="20"/>
                <w:color w:val="auto"/>
              </w:rPr>
              <w:t>309</w:t>
            </w:r>
          </w:p>
        </w:tc>
      </w:tr>
      <w:tr>
        <w:trPr>
          <w:trHeight w:val="209"/>
        </w:trPr>
        <w:tc>
          <w:tcPr>
            <w:tcW w:w="4460" w:type="dxa"/>
            <w:vAlign w:val="bottom"/>
            <w:tcBorders>
              <w:bottom w:val="single" w:sz="8" w:color="auto"/>
            </w:tcBorders>
          </w:tcPr>
          <w:p>
            <w:pPr>
              <w:spacing w:after="0" w:line="209" w:lineRule="exact"/>
              <w:rPr>
                <w:sz w:val="20"/>
                <w:szCs w:val="20"/>
                <w:color w:val="auto"/>
              </w:rPr>
            </w:pPr>
            <w:r>
              <w:rPr>
                <w:rFonts w:ascii="Arial" w:cs="Arial" w:eastAsia="Arial" w:hAnsi="Arial"/>
                <w:sz w:val="20"/>
                <w:szCs w:val="20"/>
                <w:color w:val="auto"/>
              </w:rPr>
              <w:t>Total</w:t>
            </w:r>
          </w:p>
        </w:tc>
        <w:tc>
          <w:tcPr>
            <w:tcW w:w="480" w:type="dxa"/>
            <w:vAlign w:val="bottom"/>
            <w:tcBorders>
              <w:bottom w:val="single" w:sz="8" w:color="auto"/>
            </w:tcBorders>
          </w:tcPr>
          <w:p>
            <w:pPr>
              <w:jc w:val="right"/>
              <w:ind w:right="101"/>
              <w:spacing w:after="0" w:line="209" w:lineRule="exact"/>
              <w:rPr>
                <w:sz w:val="20"/>
                <w:szCs w:val="20"/>
                <w:color w:val="auto"/>
              </w:rPr>
            </w:pPr>
            <w:r>
              <w:rPr>
                <w:rFonts w:ascii="Arial" w:cs="Arial" w:eastAsia="Arial" w:hAnsi="Arial"/>
                <w:sz w:val="20"/>
                <w:szCs w:val="20"/>
                <w:color w:val="auto"/>
              </w:rPr>
              <w:t>$</w:t>
            </w:r>
          </w:p>
        </w:tc>
        <w:tc>
          <w:tcPr>
            <w:tcW w:w="1240" w:type="dxa"/>
            <w:vAlign w:val="bottom"/>
            <w:tcBorders>
              <w:bottom w:val="single" w:sz="8" w:color="auto"/>
            </w:tcBorders>
          </w:tcPr>
          <w:p>
            <w:pPr>
              <w:jc w:val="right"/>
              <w:ind w:right="81"/>
              <w:spacing w:after="0" w:line="209" w:lineRule="exact"/>
              <w:rPr>
                <w:sz w:val="20"/>
                <w:szCs w:val="20"/>
                <w:color w:val="auto"/>
              </w:rPr>
            </w:pPr>
            <w:r>
              <w:rPr>
                <w:rFonts w:ascii="Arial" w:cs="Arial" w:eastAsia="Arial" w:hAnsi="Arial"/>
                <w:sz w:val="20"/>
                <w:szCs w:val="20"/>
                <w:color w:val="auto"/>
              </w:rPr>
              <w:t>2,369</w:t>
            </w:r>
          </w:p>
        </w:tc>
        <w:tc>
          <w:tcPr>
            <w:tcW w:w="380" w:type="dxa"/>
            <w:vAlign w:val="bottom"/>
            <w:tcBorders>
              <w:bottom w:val="single" w:sz="8" w:color="auto"/>
            </w:tcBorders>
          </w:tcPr>
          <w:p>
            <w:pPr>
              <w:jc w:val="right"/>
              <w:ind w:right="81"/>
              <w:spacing w:after="0" w:line="209" w:lineRule="exact"/>
              <w:rPr>
                <w:sz w:val="20"/>
                <w:szCs w:val="20"/>
                <w:color w:val="auto"/>
              </w:rPr>
            </w:pPr>
            <w:r>
              <w:rPr>
                <w:rFonts w:ascii="Arial" w:cs="Arial" w:eastAsia="Arial" w:hAnsi="Arial"/>
                <w:sz w:val="20"/>
                <w:szCs w:val="20"/>
                <w:color w:val="auto"/>
              </w:rPr>
              <w:t>$</w:t>
            </w:r>
          </w:p>
        </w:tc>
        <w:tc>
          <w:tcPr>
            <w:tcW w:w="1360" w:type="dxa"/>
            <w:vAlign w:val="bottom"/>
            <w:tcBorders>
              <w:bottom w:val="single" w:sz="8" w:color="auto"/>
            </w:tcBorders>
          </w:tcPr>
          <w:p>
            <w:pPr>
              <w:jc w:val="right"/>
              <w:ind w:right="181"/>
              <w:spacing w:after="0" w:line="209" w:lineRule="exact"/>
              <w:rPr>
                <w:sz w:val="20"/>
                <w:szCs w:val="20"/>
                <w:color w:val="auto"/>
              </w:rPr>
            </w:pPr>
            <w:r>
              <w:rPr>
                <w:rFonts w:ascii="Arial" w:cs="Arial" w:eastAsia="Arial" w:hAnsi="Arial"/>
                <w:sz w:val="20"/>
                <w:szCs w:val="20"/>
                <w:color w:val="auto"/>
              </w:rPr>
              <w:t>1,846</w:t>
            </w:r>
          </w:p>
        </w:tc>
        <w:tc>
          <w:tcPr>
            <w:tcW w:w="520" w:type="dxa"/>
            <w:vAlign w:val="bottom"/>
            <w:tcBorders>
              <w:bottom w:val="single" w:sz="8" w:color="auto"/>
            </w:tcBorders>
          </w:tcPr>
          <w:p>
            <w:pPr>
              <w:jc w:val="right"/>
              <w:ind w:right="141"/>
              <w:spacing w:after="0" w:line="209" w:lineRule="exact"/>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tcPr>
          <w:p>
            <w:pPr>
              <w:jc w:val="right"/>
              <w:ind w:right="61"/>
              <w:spacing w:after="0" w:line="209" w:lineRule="exact"/>
              <w:rPr>
                <w:sz w:val="20"/>
                <w:szCs w:val="20"/>
                <w:color w:val="auto"/>
              </w:rPr>
            </w:pPr>
            <w:r>
              <w:rPr>
                <w:rFonts w:ascii="Arial" w:cs="Arial" w:eastAsia="Arial" w:hAnsi="Arial"/>
                <w:sz w:val="20"/>
                <w:szCs w:val="20"/>
                <w:color w:val="auto"/>
              </w:rPr>
              <w:t>5,678</w:t>
            </w:r>
          </w:p>
        </w:tc>
        <w:tc>
          <w:tcPr>
            <w:tcW w:w="400" w:type="dxa"/>
            <w:vAlign w:val="bottom"/>
            <w:tcBorders>
              <w:bottom w:val="single" w:sz="8" w:color="auto"/>
            </w:tcBorders>
          </w:tcPr>
          <w:p>
            <w:pPr>
              <w:jc w:val="right"/>
              <w:ind w:right="81"/>
              <w:spacing w:after="0" w:line="209" w:lineRule="exact"/>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tcPr>
          <w:p>
            <w:pPr>
              <w:jc w:val="right"/>
              <w:ind w:right="21"/>
              <w:spacing w:after="0" w:line="209" w:lineRule="exact"/>
              <w:rPr>
                <w:sz w:val="20"/>
                <w:szCs w:val="20"/>
                <w:color w:val="auto"/>
              </w:rPr>
            </w:pPr>
            <w:r>
              <w:rPr>
                <w:rFonts w:ascii="Arial" w:cs="Arial" w:eastAsia="Arial" w:hAnsi="Arial"/>
                <w:sz w:val="20"/>
                <w:szCs w:val="20"/>
                <w:color w:val="auto"/>
              </w:rPr>
              <w:t>4,617</w:t>
            </w:r>
          </w:p>
        </w:tc>
      </w:tr>
      <w:tr>
        <w:trPr>
          <w:trHeight w:val="20"/>
        </w:trPr>
        <w:tc>
          <w:tcPr>
            <w:tcW w:w="4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7"/>
        </w:trPr>
        <w:tc>
          <w:tcPr>
            <w:tcW w:w="44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r>
      <w:tr>
        <w:trPr>
          <w:trHeight w:val="216"/>
        </w:trPr>
        <w:tc>
          <w:tcPr>
            <w:tcW w:w="4460" w:type="dxa"/>
            <w:vAlign w:val="bottom"/>
          </w:tcPr>
          <w:p>
            <w:pPr>
              <w:spacing w:after="0" w:line="216" w:lineRule="exact"/>
              <w:rPr>
                <w:sz w:val="20"/>
                <w:szCs w:val="20"/>
                <w:color w:val="auto"/>
              </w:rPr>
            </w:pPr>
            <w:r>
              <w:rPr>
                <w:rFonts w:ascii="Arial" w:cs="Arial" w:eastAsia="Arial" w:hAnsi="Arial"/>
                <w:sz w:val="20"/>
                <w:szCs w:val="20"/>
                <w:b w:val="1"/>
                <w:bCs w:val="1"/>
                <w:color w:val="auto"/>
              </w:rPr>
              <w:t>Gross profit (loss)</w:t>
            </w: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4460" w:type="dxa"/>
            <w:vAlign w:val="bottom"/>
            <w:shd w:val="clear" w:color="auto" w:fill="CFF0FC"/>
          </w:tcPr>
          <w:p>
            <w:pPr>
              <w:ind w:left="100"/>
              <w:spacing w:after="0" w:line="216" w:lineRule="exact"/>
              <w:rPr>
                <w:sz w:val="20"/>
                <w:szCs w:val="20"/>
                <w:color w:val="auto"/>
              </w:rPr>
            </w:pPr>
            <w:r>
              <w:rPr>
                <w:rFonts w:ascii="Arial" w:cs="Arial" w:eastAsia="Arial" w:hAnsi="Arial"/>
                <w:sz w:val="20"/>
                <w:szCs w:val="20"/>
                <w:color w:val="auto"/>
              </w:rPr>
              <w:t>Building Materials</w:t>
            </w:r>
          </w:p>
        </w:tc>
        <w:tc>
          <w:tcPr>
            <w:tcW w:w="4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16"/>
        </w:trPr>
        <w:tc>
          <w:tcPr>
            <w:tcW w:w="4460" w:type="dxa"/>
            <w:vAlign w:val="bottom"/>
          </w:tcPr>
          <w:p>
            <w:pPr>
              <w:ind w:left="180"/>
              <w:spacing w:after="0" w:line="216" w:lineRule="exact"/>
              <w:rPr>
                <w:sz w:val="20"/>
                <w:szCs w:val="20"/>
                <w:color w:val="auto"/>
              </w:rPr>
            </w:pPr>
            <w:r>
              <w:rPr>
                <w:rFonts w:ascii="Arial" w:cs="Arial" w:eastAsia="Arial" w:hAnsi="Arial"/>
                <w:sz w:val="20"/>
                <w:szCs w:val="20"/>
                <w:color w:val="auto"/>
              </w:rPr>
              <w:t>Aggregates</w:t>
            </w:r>
          </w:p>
        </w:tc>
        <w:tc>
          <w:tcPr>
            <w:tcW w:w="480" w:type="dxa"/>
            <w:vAlign w:val="bottom"/>
          </w:tcPr>
          <w:p>
            <w:pPr>
              <w:jc w:val="right"/>
              <w:ind w:right="101"/>
              <w:spacing w:after="0" w:line="216" w:lineRule="exact"/>
              <w:rPr>
                <w:sz w:val="20"/>
                <w:szCs w:val="20"/>
                <w:color w:val="auto"/>
              </w:rPr>
            </w:pPr>
            <w:r>
              <w:rPr>
                <w:rFonts w:ascii="Arial" w:cs="Arial" w:eastAsia="Arial" w:hAnsi="Arial"/>
                <w:sz w:val="20"/>
                <w:szCs w:val="20"/>
                <w:color w:val="auto"/>
              </w:rPr>
              <w:t>$</w:t>
            </w:r>
          </w:p>
        </w:tc>
        <w:tc>
          <w:tcPr>
            <w:tcW w:w="1240" w:type="dxa"/>
            <w:vAlign w:val="bottom"/>
          </w:tcPr>
          <w:p>
            <w:pPr>
              <w:jc w:val="right"/>
              <w:ind w:right="81"/>
              <w:spacing w:after="0" w:line="216" w:lineRule="exact"/>
              <w:rPr>
                <w:sz w:val="20"/>
                <w:szCs w:val="20"/>
                <w:color w:val="auto"/>
              </w:rPr>
            </w:pPr>
            <w:r>
              <w:rPr>
                <w:rFonts w:ascii="Arial" w:cs="Arial" w:eastAsia="Arial" w:hAnsi="Arial"/>
                <w:sz w:val="20"/>
                <w:szCs w:val="20"/>
                <w:color w:val="auto"/>
              </w:rPr>
              <w:t>512</w:t>
            </w:r>
          </w:p>
        </w:tc>
        <w:tc>
          <w:tcPr>
            <w:tcW w:w="380" w:type="dxa"/>
            <w:vAlign w:val="bottom"/>
          </w:tcPr>
          <w:p>
            <w:pPr>
              <w:jc w:val="right"/>
              <w:ind w:right="81"/>
              <w:spacing w:after="0" w:line="216" w:lineRule="exact"/>
              <w:rPr>
                <w:sz w:val="20"/>
                <w:szCs w:val="20"/>
                <w:color w:val="auto"/>
              </w:rPr>
            </w:pPr>
            <w:r>
              <w:rPr>
                <w:rFonts w:ascii="Arial" w:cs="Arial" w:eastAsia="Arial" w:hAnsi="Arial"/>
                <w:sz w:val="20"/>
                <w:szCs w:val="20"/>
                <w:color w:val="auto"/>
              </w:rPr>
              <w:t>$</w:t>
            </w:r>
          </w:p>
        </w:tc>
        <w:tc>
          <w:tcPr>
            <w:tcW w:w="1360" w:type="dxa"/>
            <w:vAlign w:val="bottom"/>
          </w:tcPr>
          <w:p>
            <w:pPr>
              <w:jc w:val="right"/>
              <w:ind w:right="181"/>
              <w:spacing w:after="0" w:line="216" w:lineRule="exact"/>
              <w:rPr>
                <w:sz w:val="20"/>
                <w:szCs w:val="20"/>
                <w:color w:val="auto"/>
              </w:rPr>
            </w:pPr>
            <w:r>
              <w:rPr>
                <w:rFonts w:ascii="Arial" w:cs="Arial" w:eastAsia="Arial" w:hAnsi="Arial"/>
                <w:sz w:val="20"/>
                <w:szCs w:val="20"/>
                <w:color w:val="auto"/>
              </w:rPr>
              <w:t>531</w:t>
            </w:r>
          </w:p>
        </w:tc>
        <w:tc>
          <w:tcPr>
            <w:tcW w:w="520" w:type="dxa"/>
            <w:vAlign w:val="bottom"/>
          </w:tcPr>
          <w:p>
            <w:pPr>
              <w:jc w:val="right"/>
              <w:ind w:right="141"/>
              <w:spacing w:after="0" w:line="216" w:lineRule="exact"/>
              <w:rPr>
                <w:sz w:val="20"/>
                <w:szCs w:val="20"/>
                <w:color w:val="auto"/>
              </w:rPr>
            </w:pPr>
            <w:r>
              <w:rPr>
                <w:rFonts w:ascii="Arial" w:cs="Arial" w:eastAsia="Arial" w:hAnsi="Arial"/>
                <w:sz w:val="20"/>
                <w:szCs w:val="20"/>
                <w:color w:val="auto"/>
              </w:rPr>
              <w:t>$</w:t>
            </w:r>
          </w:p>
        </w:tc>
        <w:tc>
          <w:tcPr>
            <w:tcW w:w="1200" w:type="dxa"/>
            <w:vAlign w:val="bottom"/>
          </w:tcPr>
          <w:p>
            <w:pPr>
              <w:jc w:val="right"/>
              <w:ind w:right="61"/>
              <w:spacing w:after="0" w:line="216" w:lineRule="exact"/>
              <w:rPr>
                <w:sz w:val="20"/>
                <w:szCs w:val="20"/>
                <w:color w:val="auto"/>
              </w:rPr>
            </w:pPr>
            <w:r>
              <w:rPr>
                <w:rFonts w:ascii="Arial" w:cs="Arial" w:eastAsia="Arial" w:hAnsi="Arial"/>
                <w:sz w:val="20"/>
                <w:szCs w:val="20"/>
                <w:color w:val="auto"/>
              </w:rPr>
              <w:t>1,217</w:t>
            </w:r>
          </w:p>
        </w:tc>
        <w:tc>
          <w:tcPr>
            <w:tcW w:w="400" w:type="dxa"/>
            <w:vAlign w:val="bottom"/>
          </w:tcPr>
          <w:p>
            <w:pPr>
              <w:jc w:val="right"/>
              <w:ind w:right="81"/>
              <w:spacing w:after="0" w:line="216" w:lineRule="exact"/>
              <w:rPr>
                <w:sz w:val="20"/>
                <w:szCs w:val="20"/>
                <w:color w:val="auto"/>
              </w:rPr>
            </w:pPr>
            <w:r>
              <w:rPr>
                <w:rFonts w:ascii="Arial" w:cs="Arial" w:eastAsia="Arial" w:hAnsi="Arial"/>
                <w:sz w:val="20"/>
                <w:szCs w:val="20"/>
                <w:color w:val="auto"/>
              </w:rPr>
              <w:t>$</w:t>
            </w:r>
          </w:p>
        </w:tc>
        <w:tc>
          <w:tcPr>
            <w:tcW w:w="1200" w:type="dxa"/>
            <w:vAlign w:val="bottom"/>
          </w:tcPr>
          <w:p>
            <w:pPr>
              <w:jc w:val="right"/>
              <w:ind w:right="21"/>
              <w:spacing w:after="0" w:line="216" w:lineRule="exact"/>
              <w:rPr>
                <w:sz w:val="20"/>
                <w:szCs w:val="20"/>
                <w:color w:val="auto"/>
              </w:rPr>
            </w:pPr>
            <w:r>
              <w:rPr>
                <w:rFonts w:ascii="Arial" w:cs="Arial" w:eastAsia="Arial" w:hAnsi="Arial"/>
                <w:sz w:val="20"/>
                <w:szCs w:val="20"/>
                <w:color w:val="auto"/>
              </w:rPr>
              <w:t>1,257</w:t>
            </w:r>
          </w:p>
        </w:tc>
      </w:tr>
      <w:tr>
        <w:trPr>
          <w:trHeight w:val="216"/>
        </w:trPr>
        <w:tc>
          <w:tcPr>
            <w:tcW w:w="4460" w:type="dxa"/>
            <w:vAlign w:val="bottom"/>
            <w:tcBorders>
              <w:bottom w:val="single" w:sz="8" w:color="auto"/>
            </w:tcBorders>
            <w:shd w:val="clear" w:color="auto" w:fill="CFF0FC"/>
          </w:tcPr>
          <w:p>
            <w:pPr>
              <w:ind w:left="180"/>
              <w:spacing w:after="0" w:line="216" w:lineRule="exact"/>
              <w:rPr>
                <w:sz w:val="20"/>
                <w:szCs w:val="20"/>
                <w:color w:val="auto"/>
              </w:rPr>
            </w:pPr>
            <w:r>
              <w:rPr>
                <w:rFonts w:ascii="Arial" w:cs="Arial" w:eastAsia="Arial" w:hAnsi="Arial"/>
                <w:sz w:val="20"/>
                <w:szCs w:val="20"/>
                <w:color w:val="auto"/>
              </w:rPr>
              <w:t>Other Building Materials</w:t>
            </w:r>
          </w:p>
        </w:tc>
        <w:tc>
          <w:tcPr>
            <w:tcW w:w="4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81"/>
              <w:spacing w:after="0" w:line="216" w:lineRule="exact"/>
              <w:rPr>
                <w:sz w:val="20"/>
                <w:szCs w:val="20"/>
                <w:color w:val="auto"/>
              </w:rPr>
            </w:pPr>
            <w:r>
              <w:rPr>
                <w:rFonts w:ascii="Arial" w:cs="Arial" w:eastAsia="Arial" w:hAnsi="Arial"/>
                <w:sz w:val="20"/>
                <w:szCs w:val="20"/>
                <w:color w:val="auto"/>
              </w:rPr>
              <w:t>63</w:t>
            </w:r>
          </w:p>
        </w:tc>
        <w:tc>
          <w:tcPr>
            <w:tcW w:w="38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181"/>
              <w:spacing w:after="0" w:line="216" w:lineRule="exact"/>
              <w:rPr>
                <w:sz w:val="20"/>
                <w:szCs w:val="20"/>
                <w:color w:val="auto"/>
              </w:rPr>
            </w:pPr>
            <w:r>
              <w:rPr>
                <w:rFonts w:ascii="Arial" w:cs="Arial" w:eastAsia="Arial" w:hAnsi="Arial"/>
                <w:sz w:val="20"/>
                <w:szCs w:val="20"/>
                <w:color w:val="auto"/>
              </w:rPr>
              <w:t>54</w:t>
            </w:r>
          </w:p>
        </w:tc>
        <w:tc>
          <w:tcPr>
            <w:tcW w:w="5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61"/>
              <w:spacing w:after="0" w:line="216" w:lineRule="exact"/>
              <w:rPr>
                <w:sz w:val="20"/>
                <w:szCs w:val="20"/>
                <w:color w:val="auto"/>
              </w:rPr>
            </w:pPr>
            <w:r>
              <w:rPr>
                <w:rFonts w:ascii="Arial" w:cs="Arial" w:eastAsia="Arial" w:hAnsi="Arial"/>
                <w:sz w:val="20"/>
                <w:szCs w:val="20"/>
                <w:color w:val="auto"/>
              </w:rPr>
              <w:t>82</w:t>
            </w:r>
          </w:p>
        </w:tc>
        <w:tc>
          <w:tcPr>
            <w:tcW w:w="4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21"/>
              <w:spacing w:after="0" w:line="216" w:lineRule="exact"/>
              <w:rPr>
                <w:sz w:val="20"/>
                <w:szCs w:val="20"/>
                <w:color w:val="auto"/>
              </w:rPr>
            </w:pPr>
            <w:r>
              <w:rPr>
                <w:rFonts w:ascii="Arial" w:cs="Arial" w:eastAsia="Arial" w:hAnsi="Arial"/>
                <w:sz w:val="20"/>
                <w:szCs w:val="20"/>
                <w:color w:val="auto"/>
              </w:rPr>
              <w:t>75</w:t>
            </w:r>
          </w:p>
        </w:tc>
      </w:tr>
      <w:tr>
        <w:trPr>
          <w:trHeight w:val="209"/>
        </w:trPr>
        <w:tc>
          <w:tcPr>
            <w:tcW w:w="4460" w:type="dxa"/>
            <w:vAlign w:val="bottom"/>
          </w:tcPr>
          <w:p>
            <w:pPr>
              <w:ind w:left="100"/>
              <w:spacing w:after="0" w:line="209" w:lineRule="exact"/>
              <w:rPr>
                <w:sz w:val="20"/>
                <w:szCs w:val="20"/>
                <w:color w:val="auto"/>
              </w:rPr>
            </w:pPr>
            <w:r>
              <w:rPr>
                <w:rFonts w:ascii="Arial" w:cs="Arial" w:eastAsia="Arial" w:hAnsi="Arial"/>
                <w:sz w:val="20"/>
                <w:szCs w:val="20"/>
                <w:color w:val="auto"/>
              </w:rPr>
              <w:t>Total Building Materials business</w:t>
            </w:r>
          </w:p>
        </w:tc>
        <w:tc>
          <w:tcPr>
            <w:tcW w:w="480" w:type="dxa"/>
            <w:vAlign w:val="bottom"/>
          </w:tcPr>
          <w:p>
            <w:pPr>
              <w:spacing w:after="0"/>
              <w:rPr>
                <w:sz w:val="18"/>
                <w:szCs w:val="18"/>
                <w:color w:val="auto"/>
              </w:rPr>
            </w:pPr>
          </w:p>
        </w:tc>
        <w:tc>
          <w:tcPr>
            <w:tcW w:w="1240" w:type="dxa"/>
            <w:vAlign w:val="bottom"/>
          </w:tcPr>
          <w:p>
            <w:pPr>
              <w:jc w:val="right"/>
              <w:ind w:right="81"/>
              <w:spacing w:after="0" w:line="209" w:lineRule="exact"/>
              <w:rPr>
                <w:sz w:val="20"/>
                <w:szCs w:val="20"/>
                <w:color w:val="auto"/>
              </w:rPr>
            </w:pPr>
            <w:r>
              <w:rPr>
                <w:rFonts w:ascii="Arial" w:cs="Arial" w:eastAsia="Arial" w:hAnsi="Arial"/>
                <w:sz w:val="20"/>
                <w:szCs w:val="20"/>
                <w:color w:val="auto"/>
              </w:rPr>
              <w:t>575</w:t>
            </w:r>
          </w:p>
        </w:tc>
        <w:tc>
          <w:tcPr>
            <w:tcW w:w="380" w:type="dxa"/>
            <w:vAlign w:val="bottom"/>
          </w:tcPr>
          <w:p>
            <w:pPr>
              <w:spacing w:after="0"/>
              <w:rPr>
                <w:sz w:val="18"/>
                <w:szCs w:val="18"/>
                <w:color w:val="auto"/>
              </w:rPr>
            </w:pPr>
          </w:p>
        </w:tc>
        <w:tc>
          <w:tcPr>
            <w:tcW w:w="1360" w:type="dxa"/>
            <w:vAlign w:val="bottom"/>
          </w:tcPr>
          <w:p>
            <w:pPr>
              <w:jc w:val="right"/>
              <w:ind w:right="181"/>
              <w:spacing w:after="0" w:line="209" w:lineRule="exact"/>
              <w:rPr>
                <w:sz w:val="20"/>
                <w:szCs w:val="20"/>
                <w:color w:val="auto"/>
              </w:rPr>
            </w:pPr>
            <w:r>
              <w:rPr>
                <w:rFonts w:ascii="Arial" w:cs="Arial" w:eastAsia="Arial" w:hAnsi="Arial"/>
                <w:sz w:val="20"/>
                <w:szCs w:val="20"/>
                <w:color w:val="auto"/>
              </w:rPr>
              <w:t>585</w:t>
            </w:r>
          </w:p>
        </w:tc>
        <w:tc>
          <w:tcPr>
            <w:tcW w:w="520" w:type="dxa"/>
            <w:vAlign w:val="bottom"/>
          </w:tcPr>
          <w:p>
            <w:pPr>
              <w:spacing w:after="0"/>
              <w:rPr>
                <w:sz w:val="18"/>
                <w:szCs w:val="18"/>
                <w:color w:val="auto"/>
              </w:rPr>
            </w:pPr>
          </w:p>
        </w:tc>
        <w:tc>
          <w:tcPr>
            <w:tcW w:w="1200" w:type="dxa"/>
            <w:vAlign w:val="bottom"/>
          </w:tcPr>
          <w:p>
            <w:pPr>
              <w:jc w:val="right"/>
              <w:ind w:right="61"/>
              <w:spacing w:after="0" w:line="209" w:lineRule="exact"/>
              <w:rPr>
                <w:sz w:val="20"/>
                <w:szCs w:val="20"/>
                <w:color w:val="auto"/>
              </w:rPr>
            </w:pPr>
            <w:r>
              <w:rPr>
                <w:rFonts w:ascii="Arial" w:cs="Arial" w:eastAsia="Arial" w:hAnsi="Arial"/>
                <w:sz w:val="20"/>
                <w:szCs w:val="20"/>
                <w:color w:val="auto"/>
              </w:rPr>
              <w:t>1,299</w:t>
            </w:r>
          </w:p>
        </w:tc>
        <w:tc>
          <w:tcPr>
            <w:tcW w:w="400" w:type="dxa"/>
            <w:vAlign w:val="bottom"/>
          </w:tcPr>
          <w:p>
            <w:pPr>
              <w:spacing w:after="0"/>
              <w:rPr>
                <w:sz w:val="18"/>
                <w:szCs w:val="18"/>
                <w:color w:val="auto"/>
              </w:rPr>
            </w:pPr>
          </w:p>
        </w:tc>
        <w:tc>
          <w:tcPr>
            <w:tcW w:w="1200" w:type="dxa"/>
            <w:vAlign w:val="bottom"/>
          </w:tcPr>
          <w:p>
            <w:pPr>
              <w:jc w:val="right"/>
              <w:ind w:right="21"/>
              <w:spacing w:after="0" w:line="209" w:lineRule="exact"/>
              <w:rPr>
                <w:sz w:val="20"/>
                <w:szCs w:val="20"/>
                <w:color w:val="auto"/>
              </w:rPr>
            </w:pPr>
            <w:r>
              <w:rPr>
                <w:rFonts w:ascii="Arial" w:cs="Arial" w:eastAsia="Arial" w:hAnsi="Arial"/>
                <w:sz w:val="20"/>
                <w:szCs w:val="20"/>
                <w:color w:val="auto"/>
              </w:rPr>
              <w:t>1,332</w:t>
            </w:r>
          </w:p>
        </w:tc>
      </w:tr>
      <w:tr>
        <w:trPr>
          <w:trHeight w:val="216"/>
        </w:trPr>
        <w:tc>
          <w:tcPr>
            <w:tcW w:w="4460" w:type="dxa"/>
            <w:vAlign w:val="bottom"/>
            <w:shd w:val="clear" w:color="auto" w:fill="CFF0FC"/>
          </w:tcPr>
          <w:p>
            <w:pPr>
              <w:ind w:left="100"/>
              <w:spacing w:after="0" w:line="216" w:lineRule="exact"/>
              <w:rPr>
                <w:sz w:val="20"/>
                <w:szCs w:val="20"/>
                <w:color w:val="auto"/>
              </w:rPr>
            </w:pPr>
            <w:r>
              <w:rPr>
                <w:rFonts w:ascii="Arial" w:cs="Arial" w:eastAsia="Arial" w:hAnsi="Arial"/>
                <w:sz w:val="20"/>
                <w:szCs w:val="20"/>
                <w:color w:val="auto"/>
              </w:rPr>
              <w:t>Specialties</w:t>
            </w:r>
          </w:p>
        </w:tc>
        <w:tc>
          <w:tcPr>
            <w:tcW w:w="48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81"/>
              <w:spacing w:after="0" w:line="216" w:lineRule="exact"/>
              <w:rPr>
                <w:sz w:val="20"/>
                <w:szCs w:val="20"/>
                <w:color w:val="auto"/>
              </w:rPr>
            </w:pPr>
            <w:r>
              <w:rPr>
                <w:rFonts w:ascii="Arial" w:cs="Arial" w:eastAsia="Arial" w:hAnsi="Arial"/>
                <w:sz w:val="20"/>
                <w:szCs w:val="20"/>
                <w:color w:val="auto"/>
              </w:rPr>
              <w:t>88</w:t>
            </w:r>
          </w:p>
        </w:tc>
        <w:tc>
          <w:tcPr>
            <w:tcW w:w="38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181"/>
              <w:spacing w:after="0" w:line="216" w:lineRule="exact"/>
              <w:rPr>
                <w:sz w:val="20"/>
                <w:szCs w:val="20"/>
                <w:color w:val="auto"/>
              </w:rPr>
            </w:pPr>
            <w:r>
              <w:rPr>
                <w:rFonts w:ascii="Arial" w:cs="Arial" w:eastAsia="Arial" w:hAnsi="Arial"/>
                <w:sz w:val="20"/>
                <w:szCs w:val="20"/>
                <w:color w:val="auto"/>
              </w:rPr>
              <w:t>34</w:t>
            </w:r>
          </w:p>
        </w:tc>
        <w:tc>
          <w:tcPr>
            <w:tcW w:w="5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61"/>
              <w:spacing w:after="0" w:line="216" w:lineRule="exact"/>
              <w:rPr>
                <w:sz w:val="20"/>
                <w:szCs w:val="20"/>
                <w:color w:val="auto"/>
              </w:rPr>
            </w:pPr>
            <w:r>
              <w:rPr>
                <w:rFonts w:ascii="Arial" w:cs="Arial" w:eastAsia="Arial" w:hAnsi="Arial"/>
                <w:sz w:val="20"/>
                <w:szCs w:val="20"/>
                <w:color w:val="auto"/>
              </w:rPr>
              <w:t>182</w:t>
            </w:r>
          </w:p>
        </w:tc>
        <w:tc>
          <w:tcPr>
            <w:tcW w:w="40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21"/>
              <w:spacing w:after="0" w:line="216" w:lineRule="exact"/>
              <w:rPr>
                <w:sz w:val="20"/>
                <w:szCs w:val="20"/>
                <w:color w:val="auto"/>
              </w:rPr>
            </w:pPr>
            <w:r>
              <w:rPr>
                <w:rFonts w:ascii="Arial" w:cs="Arial" w:eastAsia="Arial" w:hAnsi="Arial"/>
                <w:sz w:val="20"/>
                <w:szCs w:val="20"/>
                <w:color w:val="auto"/>
              </w:rPr>
              <w:t>108</w:t>
            </w:r>
          </w:p>
        </w:tc>
      </w:tr>
      <w:tr>
        <w:trPr>
          <w:trHeight w:val="216"/>
        </w:trPr>
        <w:tc>
          <w:tcPr>
            <w:tcW w:w="4460" w:type="dxa"/>
            <w:vAlign w:val="bottom"/>
            <w:tcBorders>
              <w:bottom w:val="single" w:sz="8" w:color="auto"/>
            </w:tcBorders>
          </w:tcPr>
          <w:p>
            <w:pPr>
              <w:ind w:left="100"/>
              <w:spacing w:after="0" w:line="216" w:lineRule="exact"/>
              <w:rPr>
                <w:sz w:val="20"/>
                <w:szCs w:val="20"/>
                <w:color w:val="auto"/>
              </w:rPr>
            </w:pPr>
            <w:r>
              <w:rPr>
                <w:rFonts w:ascii="Arial" w:cs="Arial" w:eastAsia="Arial" w:hAnsi="Arial"/>
                <w:sz w:val="20"/>
                <w:szCs w:val="20"/>
                <w:color w:val="auto"/>
              </w:rPr>
              <w:t>Corporate</w:t>
            </w:r>
          </w:p>
        </w:tc>
        <w:tc>
          <w:tcPr>
            <w:tcW w:w="4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
              <w:spacing w:after="0" w:line="216" w:lineRule="exact"/>
              <w:rPr>
                <w:sz w:val="20"/>
                <w:szCs w:val="20"/>
                <w:color w:val="auto"/>
              </w:rPr>
            </w:pPr>
            <w:r>
              <w:rPr>
                <w:rFonts w:ascii="Arial" w:cs="Arial" w:eastAsia="Arial" w:hAnsi="Arial"/>
                <w:sz w:val="20"/>
                <w:szCs w:val="20"/>
                <w:color w:val="auto"/>
              </w:rPr>
              <w:t>(12)</w:t>
            </w:r>
          </w:p>
        </w:tc>
        <w:tc>
          <w:tcPr>
            <w:tcW w:w="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1"/>
              <w:spacing w:after="0" w:line="216" w:lineRule="exact"/>
              <w:rPr>
                <w:sz w:val="20"/>
                <w:szCs w:val="20"/>
                <w:color w:val="auto"/>
              </w:rPr>
            </w:pPr>
            <w:r>
              <w:rPr>
                <w:rFonts w:ascii="Arial" w:cs="Arial" w:eastAsia="Arial" w:hAnsi="Arial"/>
                <w:sz w:val="20"/>
                <w:szCs w:val="20"/>
                <w:color w:val="auto"/>
              </w:rPr>
              <w:t>(8)</w:t>
            </w:r>
          </w:p>
        </w:tc>
        <w:tc>
          <w:tcPr>
            <w:tcW w:w="5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(25)</w:t>
            </w: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(18)</w:t>
            </w:r>
          </w:p>
        </w:tc>
      </w:tr>
      <w:tr>
        <w:trPr>
          <w:trHeight w:val="250"/>
        </w:trPr>
        <w:tc>
          <w:tcPr>
            <w:tcW w:w="4460" w:type="dxa"/>
            <w:vAlign w:val="bottom"/>
            <w:tcBorders>
              <w:bottom w:val="single" w:sz="8" w:color="auto"/>
            </w:tcBorders>
            <w:shd w:val="clear" w:color="auto" w:fill="CFF0FC"/>
          </w:tcPr>
          <w:p>
            <w:pPr>
              <w:spacing w:after="0" w:line="209" w:lineRule="exact"/>
              <w:rPr>
                <w:sz w:val="20"/>
                <w:szCs w:val="20"/>
                <w:color w:val="auto"/>
              </w:rPr>
            </w:pPr>
            <w:r>
              <w:rPr>
                <w:rFonts w:ascii="Arial" w:cs="Arial" w:eastAsia="Arial" w:hAnsi="Arial"/>
                <w:sz w:val="20"/>
                <w:szCs w:val="20"/>
                <w:color w:val="auto"/>
              </w:rPr>
              <w:t>Total</w:t>
            </w:r>
          </w:p>
        </w:tc>
        <w:tc>
          <w:tcPr>
            <w:tcW w:w="480" w:type="dxa"/>
            <w:vAlign w:val="bottom"/>
            <w:tcBorders>
              <w:bottom w:val="single" w:sz="8" w:color="auto"/>
            </w:tcBorders>
            <w:shd w:val="clear" w:color="auto" w:fill="CFF0FC"/>
          </w:tcPr>
          <w:p>
            <w:pPr>
              <w:jc w:val="right"/>
              <w:ind w:right="101"/>
              <w:spacing w:after="0" w:line="209" w:lineRule="exact"/>
              <w:rPr>
                <w:sz w:val="20"/>
                <w:szCs w:val="20"/>
                <w:color w:val="auto"/>
              </w:rPr>
            </w:pPr>
            <w:r>
              <w:rPr>
                <w:rFonts w:ascii="Arial" w:cs="Arial" w:eastAsia="Arial" w:hAnsi="Arial"/>
                <w:sz w:val="20"/>
                <w:szCs w:val="20"/>
                <w:color w:val="auto"/>
              </w:rPr>
              <w:t>$</w:t>
            </w:r>
          </w:p>
        </w:tc>
        <w:tc>
          <w:tcPr>
            <w:tcW w:w="1240" w:type="dxa"/>
            <w:vAlign w:val="bottom"/>
            <w:tcBorders>
              <w:bottom w:val="single" w:sz="8" w:color="auto"/>
            </w:tcBorders>
            <w:shd w:val="clear" w:color="auto" w:fill="CFF0FC"/>
          </w:tcPr>
          <w:p>
            <w:pPr>
              <w:jc w:val="right"/>
              <w:ind w:right="81"/>
              <w:spacing w:after="0" w:line="209" w:lineRule="exact"/>
              <w:rPr>
                <w:sz w:val="20"/>
                <w:szCs w:val="20"/>
                <w:color w:val="auto"/>
              </w:rPr>
            </w:pPr>
            <w:r>
              <w:rPr>
                <w:rFonts w:ascii="Arial" w:cs="Arial" w:eastAsia="Arial" w:hAnsi="Arial"/>
                <w:sz w:val="20"/>
                <w:szCs w:val="20"/>
                <w:color w:val="auto"/>
              </w:rPr>
              <w:t>651</w:t>
            </w:r>
          </w:p>
        </w:tc>
        <w:tc>
          <w:tcPr>
            <w:tcW w:w="380" w:type="dxa"/>
            <w:vAlign w:val="bottom"/>
            <w:tcBorders>
              <w:bottom w:val="single" w:sz="8" w:color="auto"/>
            </w:tcBorders>
            <w:shd w:val="clear" w:color="auto" w:fill="CFF0FC"/>
          </w:tcPr>
          <w:p>
            <w:pPr>
              <w:jc w:val="right"/>
              <w:ind w:right="81"/>
              <w:spacing w:after="0" w:line="209" w:lineRule="exact"/>
              <w:rPr>
                <w:sz w:val="20"/>
                <w:szCs w:val="20"/>
                <w:color w:val="auto"/>
              </w:rPr>
            </w:pPr>
            <w:r>
              <w:rPr>
                <w:rFonts w:ascii="Arial" w:cs="Arial" w:eastAsia="Arial" w:hAnsi="Arial"/>
                <w:sz w:val="20"/>
                <w:szCs w:val="20"/>
                <w:color w:val="auto"/>
              </w:rPr>
              <w:t>$</w:t>
            </w:r>
          </w:p>
        </w:tc>
        <w:tc>
          <w:tcPr>
            <w:tcW w:w="1360" w:type="dxa"/>
            <w:vAlign w:val="bottom"/>
            <w:tcBorders>
              <w:bottom w:val="single" w:sz="8" w:color="auto"/>
            </w:tcBorders>
            <w:shd w:val="clear" w:color="auto" w:fill="CFF0FC"/>
          </w:tcPr>
          <w:p>
            <w:pPr>
              <w:jc w:val="right"/>
              <w:ind w:right="181"/>
              <w:spacing w:after="0" w:line="209" w:lineRule="exact"/>
              <w:rPr>
                <w:sz w:val="20"/>
                <w:szCs w:val="20"/>
                <w:color w:val="auto"/>
              </w:rPr>
            </w:pPr>
            <w:r>
              <w:rPr>
                <w:rFonts w:ascii="Arial" w:cs="Arial" w:eastAsia="Arial" w:hAnsi="Arial"/>
                <w:sz w:val="20"/>
                <w:szCs w:val="20"/>
                <w:color w:val="auto"/>
              </w:rPr>
              <w:t>611</w:t>
            </w:r>
          </w:p>
        </w:tc>
        <w:tc>
          <w:tcPr>
            <w:tcW w:w="520" w:type="dxa"/>
            <w:vAlign w:val="bottom"/>
            <w:tcBorders>
              <w:bottom w:val="single" w:sz="8" w:color="auto"/>
            </w:tcBorders>
            <w:shd w:val="clear" w:color="auto" w:fill="CFF0FC"/>
          </w:tcPr>
          <w:p>
            <w:pPr>
              <w:jc w:val="right"/>
              <w:ind w:right="141"/>
              <w:spacing w:after="0" w:line="209" w:lineRule="exact"/>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shd w:val="clear" w:color="auto" w:fill="CFF0FC"/>
          </w:tcPr>
          <w:p>
            <w:pPr>
              <w:jc w:val="right"/>
              <w:ind w:right="61"/>
              <w:spacing w:after="0" w:line="209" w:lineRule="exact"/>
              <w:rPr>
                <w:sz w:val="20"/>
                <w:szCs w:val="20"/>
                <w:color w:val="auto"/>
              </w:rPr>
            </w:pPr>
            <w:r>
              <w:rPr>
                <w:rFonts w:ascii="Arial" w:cs="Arial" w:eastAsia="Arial" w:hAnsi="Arial"/>
                <w:sz w:val="20"/>
                <w:szCs w:val="20"/>
                <w:color w:val="auto"/>
              </w:rPr>
              <w:t>1,456</w:t>
            </w:r>
          </w:p>
        </w:tc>
        <w:tc>
          <w:tcPr>
            <w:tcW w:w="400" w:type="dxa"/>
            <w:vAlign w:val="bottom"/>
            <w:tcBorders>
              <w:bottom w:val="single" w:sz="8" w:color="auto"/>
            </w:tcBorders>
            <w:shd w:val="clear" w:color="auto" w:fill="CFF0FC"/>
          </w:tcPr>
          <w:p>
            <w:pPr>
              <w:jc w:val="right"/>
              <w:ind w:right="81"/>
              <w:spacing w:after="0" w:line="209" w:lineRule="exact"/>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shd w:val="clear" w:color="auto" w:fill="CFF0FC"/>
          </w:tcPr>
          <w:p>
            <w:pPr>
              <w:jc w:val="right"/>
              <w:ind w:right="21"/>
              <w:spacing w:after="0" w:line="209" w:lineRule="exact"/>
              <w:rPr>
                <w:sz w:val="20"/>
                <w:szCs w:val="20"/>
                <w:color w:val="auto"/>
              </w:rPr>
            </w:pPr>
            <w:r>
              <w:rPr>
                <w:rFonts w:ascii="Arial" w:cs="Arial" w:eastAsia="Arial" w:hAnsi="Arial"/>
                <w:sz w:val="20"/>
                <w:szCs w:val="20"/>
                <w:color w:val="auto"/>
              </w:rPr>
              <w:t>1,422</w:t>
            </w:r>
          </w:p>
        </w:tc>
      </w:tr>
      <w:tr>
        <w:trPr>
          <w:trHeight w:val="197"/>
        </w:trPr>
        <w:tc>
          <w:tcPr>
            <w:tcW w:w="4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6"/>
        </w:trPr>
        <w:tc>
          <w:tcPr>
            <w:tcW w:w="4460" w:type="dxa"/>
            <w:vAlign w:val="bottom"/>
            <w:shd w:val="clear" w:color="auto" w:fill="CFF0FC"/>
          </w:tcPr>
          <w:p>
            <w:pPr>
              <w:spacing w:after="0" w:line="216" w:lineRule="exact"/>
              <w:rPr>
                <w:sz w:val="20"/>
                <w:szCs w:val="20"/>
                <w:color w:val="auto"/>
              </w:rPr>
            </w:pPr>
            <w:r>
              <w:rPr>
                <w:rFonts w:ascii="Arial" w:cs="Arial" w:eastAsia="Arial" w:hAnsi="Arial"/>
                <w:sz w:val="20"/>
                <w:szCs w:val="20"/>
                <w:b w:val="1"/>
                <w:bCs w:val="1"/>
                <w:color w:val="auto"/>
              </w:rPr>
              <w:t>Depreciation, Depletion and Amortization*</w:t>
            </w:r>
          </w:p>
        </w:tc>
        <w:tc>
          <w:tcPr>
            <w:tcW w:w="4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16"/>
        </w:trPr>
        <w:tc>
          <w:tcPr>
            <w:tcW w:w="4460" w:type="dxa"/>
            <w:vAlign w:val="bottom"/>
          </w:tcPr>
          <w:p>
            <w:pPr>
              <w:ind w:left="100"/>
              <w:spacing w:after="0" w:line="216" w:lineRule="exact"/>
              <w:rPr>
                <w:sz w:val="20"/>
                <w:szCs w:val="20"/>
                <w:color w:val="auto"/>
              </w:rPr>
            </w:pPr>
            <w:r>
              <w:rPr>
                <w:rFonts w:ascii="Arial" w:cs="Arial" w:eastAsia="Arial" w:hAnsi="Arial"/>
                <w:sz w:val="20"/>
                <w:szCs w:val="20"/>
                <w:color w:val="auto"/>
              </w:rPr>
              <w:t>Building Materials</w:t>
            </w: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4460" w:type="dxa"/>
            <w:vAlign w:val="bottom"/>
            <w:shd w:val="clear" w:color="auto" w:fill="CFF0FC"/>
          </w:tcPr>
          <w:p>
            <w:pPr>
              <w:ind w:left="180"/>
              <w:spacing w:after="0" w:line="216" w:lineRule="exact"/>
              <w:rPr>
                <w:sz w:val="20"/>
                <w:szCs w:val="20"/>
                <w:color w:val="auto"/>
              </w:rPr>
            </w:pPr>
            <w:r>
              <w:rPr>
                <w:rFonts w:ascii="Arial" w:cs="Arial" w:eastAsia="Arial" w:hAnsi="Arial"/>
                <w:sz w:val="20"/>
                <w:szCs w:val="20"/>
                <w:color w:val="auto"/>
              </w:rPr>
              <w:t>Aggregates</w:t>
            </w:r>
          </w:p>
        </w:tc>
        <w:tc>
          <w:tcPr>
            <w:tcW w:w="480" w:type="dxa"/>
            <w:vAlign w:val="bottom"/>
            <w:shd w:val="clear" w:color="auto" w:fill="CFF0FC"/>
          </w:tcPr>
          <w:p>
            <w:pPr>
              <w:jc w:val="right"/>
              <w:ind w:right="101"/>
              <w:spacing w:after="0" w:line="216" w:lineRule="exact"/>
              <w:rPr>
                <w:sz w:val="20"/>
                <w:szCs w:val="20"/>
                <w:color w:val="auto"/>
              </w:rPr>
            </w:pPr>
            <w:r>
              <w:rPr>
                <w:rFonts w:ascii="Arial" w:cs="Arial" w:eastAsia="Arial" w:hAnsi="Arial"/>
                <w:sz w:val="20"/>
                <w:szCs w:val="20"/>
                <w:color w:val="auto"/>
              </w:rPr>
              <w:t>$</w:t>
            </w:r>
          </w:p>
        </w:tc>
        <w:tc>
          <w:tcPr>
            <w:tcW w:w="1240" w:type="dxa"/>
            <w:vAlign w:val="bottom"/>
            <w:shd w:val="clear" w:color="auto" w:fill="CFF0FC"/>
          </w:tcPr>
          <w:p>
            <w:pPr>
              <w:jc w:val="right"/>
              <w:ind w:right="81"/>
              <w:spacing w:after="0" w:line="216" w:lineRule="exact"/>
              <w:rPr>
                <w:sz w:val="20"/>
                <w:szCs w:val="20"/>
                <w:color w:val="auto"/>
              </w:rPr>
            </w:pPr>
            <w:r>
              <w:rPr>
                <w:rFonts w:ascii="Arial" w:cs="Arial" w:eastAsia="Arial" w:hAnsi="Arial"/>
                <w:sz w:val="20"/>
                <w:szCs w:val="20"/>
                <w:color w:val="auto"/>
              </w:rPr>
              <w:t>179</w:t>
            </w:r>
          </w:p>
        </w:tc>
        <w:tc>
          <w:tcPr>
            <w:tcW w:w="380" w:type="dxa"/>
            <w:vAlign w:val="bottom"/>
            <w:shd w:val="clear" w:color="auto" w:fill="CFF0FC"/>
          </w:tcPr>
          <w:p>
            <w:pPr>
              <w:jc w:val="right"/>
              <w:ind w:right="81"/>
              <w:spacing w:after="0" w:line="216" w:lineRule="exact"/>
              <w:rPr>
                <w:sz w:val="20"/>
                <w:szCs w:val="20"/>
                <w:color w:val="auto"/>
              </w:rPr>
            </w:pPr>
            <w:r>
              <w:rPr>
                <w:rFonts w:ascii="Arial" w:cs="Arial" w:eastAsia="Arial" w:hAnsi="Arial"/>
                <w:sz w:val="20"/>
                <w:szCs w:val="20"/>
                <w:color w:val="auto"/>
              </w:rPr>
              <w:t>$</w:t>
            </w:r>
          </w:p>
        </w:tc>
        <w:tc>
          <w:tcPr>
            <w:tcW w:w="1360" w:type="dxa"/>
            <w:vAlign w:val="bottom"/>
            <w:shd w:val="clear" w:color="auto" w:fill="CFF0FC"/>
          </w:tcPr>
          <w:p>
            <w:pPr>
              <w:jc w:val="right"/>
              <w:ind w:right="181"/>
              <w:spacing w:after="0" w:line="216" w:lineRule="exact"/>
              <w:rPr>
                <w:sz w:val="20"/>
                <w:szCs w:val="20"/>
                <w:color w:val="auto"/>
              </w:rPr>
            </w:pPr>
            <w:r>
              <w:rPr>
                <w:rFonts w:ascii="Arial" w:cs="Arial" w:eastAsia="Arial" w:hAnsi="Arial"/>
                <w:sz w:val="20"/>
                <w:szCs w:val="20"/>
                <w:color w:val="auto"/>
              </w:rPr>
              <w:t>124</w:t>
            </w:r>
          </w:p>
        </w:tc>
        <w:tc>
          <w:tcPr>
            <w:tcW w:w="520" w:type="dxa"/>
            <w:vAlign w:val="bottom"/>
            <w:shd w:val="clear" w:color="auto" w:fill="CFF0FC"/>
          </w:tcPr>
          <w:p>
            <w:pPr>
              <w:jc w:val="right"/>
              <w:ind w:right="141"/>
              <w:spacing w:after="0" w:line="216" w:lineRule="exact"/>
              <w:rPr>
                <w:sz w:val="20"/>
                <w:szCs w:val="20"/>
                <w:color w:val="auto"/>
              </w:rPr>
            </w:pPr>
            <w:r>
              <w:rPr>
                <w:rFonts w:ascii="Arial" w:cs="Arial" w:eastAsia="Arial" w:hAnsi="Arial"/>
                <w:sz w:val="20"/>
                <w:szCs w:val="20"/>
                <w:color w:val="auto"/>
              </w:rPr>
              <w:t>$</w:t>
            </w:r>
          </w:p>
        </w:tc>
        <w:tc>
          <w:tcPr>
            <w:tcW w:w="1200" w:type="dxa"/>
            <w:vAlign w:val="bottom"/>
            <w:shd w:val="clear" w:color="auto" w:fill="CFF0FC"/>
          </w:tcPr>
          <w:p>
            <w:pPr>
              <w:jc w:val="right"/>
              <w:ind w:right="61"/>
              <w:spacing w:after="0" w:line="216" w:lineRule="exact"/>
              <w:rPr>
                <w:sz w:val="20"/>
                <w:szCs w:val="20"/>
                <w:color w:val="auto"/>
              </w:rPr>
            </w:pPr>
            <w:r>
              <w:rPr>
                <w:rFonts w:ascii="Arial" w:cs="Arial" w:eastAsia="Arial" w:hAnsi="Arial"/>
                <w:sz w:val="20"/>
                <w:szCs w:val="20"/>
                <w:color w:val="auto"/>
              </w:rPr>
              <w:t>477</w:t>
            </w:r>
          </w:p>
        </w:tc>
        <w:tc>
          <w:tcPr>
            <w:tcW w:w="400" w:type="dxa"/>
            <w:vAlign w:val="bottom"/>
            <w:shd w:val="clear" w:color="auto" w:fill="CFF0FC"/>
          </w:tcPr>
          <w:p>
            <w:pPr>
              <w:jc w:val="right"/>
              <w:ind w:right="81"/>
              <w:spacing w:after="0" w:line="216" w:lineRule="exact"/>
              <w:rPr>
                <w:sz w:val="20"/>
                <w:szCs w:val="20"/>
                <w:color w:val="auto"/>
              </w:rPr>
            </w:pPr>
            <w:r>
              <w:rPr>
                <w:rFonts w:ascii="Arial" w:cs="Arial" w:eastAsia="Arial" w:hAnsi="Arial"/>
                <w:sz w:val="20"/>
                <w:szCs w:val="20"/>
                <w:color w:val="auto"/>
              </w:rPr>
              <w:t>$</w:t>
            </w:r>
          </w:p>
        </w:tc>
        <w:tc>
          <w:tcPr>
            <w:tcW w:w="1200" w:type="dxa"/>
            <w:vAlign w:val="bottom"/>
            <w:shd w:val="clear" w:color="auto" w:fill="CFF0FC"/>
          </w:tcPr>
          <w:p>
            <w:pPr>
              <w:jc w:val="right"/>
              <w:ind w:right="21"/>
              <w:spacing w:after="0" w:line="216" w:lineRule="exact"/>
              <w:rPr>
                <w:sz w:val="20"/>
                <w:szCs w:val="20"/>
                <w:color w:val="auto"/>
              </w:rPr>
            </w:pPr>
            <w:r>
              <w:rPr>
                <w:rFonts w:ascii="Arial" w:cs="Arial" w:eastAsia="Arial" w:hAnsi="Arial"/>
                <w:sz w:val="20"/>
                <w:szCs w:val="20"/>
                <w:color w:val="auto"/>
              </w:rPr>
              <w:t>361</w:t>
            </w:r>
          </w:p>
        </w:tc>
      </w:tr>
      <w:tr>
        <w:trPr>
          <w:trHeight w:val="216"/>
        </w:trPr>
        <w:tc>
          <w:tcPr>
            <w:tcW w:w="4460" w:type="dxa"/>
            <w:vAlign w:val="bottom"/>
            <w:tcBorders>
              <w:bottom w:val="single" w:sz="8" w:color="auto"/>
            </w:tcBorders>
          </w:tcPr>
          <w:p>
            <w:pPr>
              <w:ind w:left="180"/>
              <w:spacing w:after="0" w:line="216" w:lineRule="exact"/>
              <w:rPr>
                <w:sz w:val="20"/>
                <w:szCs w:val="20"/>
                <w:color w:val="auto"/>
              </w:rPr>
            </w:pPr>
            <w:r>
              <w:rPr>
                <w:rFonts w:ascii="Arial" w:cs="Arial" w:eastAsia="Arial" w:hAnsi="Arial"/>
                <w:sz w:val="20"/>
                <w:szCs w:val="20"/>
                <w:color w:val="auto"/>
              </w:rPr>
              <w:t>Other Building Materials</w:t>
            </w:r>
          </w:p>
        </w:tc>
        <w:tc>
          <w:tcPr>
            <w:tcW w:w="4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81"/>
              <w:spacing w:after="0" w:line="216" w:lineRule="exact"/>
              <w:rPr>
                <w:sz w:val="20"/>
                <w:szCs w:val="20"/>
                <w:color w:val="auto"/>
              </w:rPr>
            </w:pPr>
            <w:r>
              <w:rPr>
                <w:rFonts w:ascii="Arial" w:cs="Arial" w:eastAsia="Arial" w:hAnsi="Arial"/>
                <w:sz w:val="20"/>
                <w:szCs w:val="20"/>
                <w:color w:val="auto"/>
              </w:rPr>
              <w:t>14</w:t>
            </w:r>
          </w:p>
        </w:tc>
        <w:tc>
          <w:tcPr>
            <w:tcW w:w="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81"/>
              <w:spacing w:after="0" w:line="216" w:lineRule="exact"/>
              <w:rPr>
                <w:sz w:val="20"/>
                <w:szCs w:val="20"/>
                <w:color w:val="auto"/>
              </w:rPr>
            </w:pPr>
            <w:r>
              <w:rPr>
                <w:rFonts w:ascii="Arial" w:cs="Arial" w:eastAsia="Arial" w:hAnsi="Arial"/>
                <w:sz w:val="20"/>
                <w:szCs w:val="20"/>
                <w:color w:val="auto"/>
              </w:rPr>
              <w:t>10</w:t>
            </w:r>
          </w:p>
        </w:tc>
        <w:tc>
          <w:tcPr>
            <w:tcW w:w="5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1"/>
              <w:spacing w:after="0" w:line="216" w:lineRule="exact"/>
              <w:rPr>
                <w:sz w:val="20"/>
                <w:szCs w:val="20"/>
                <w:color w:val="auto"/>
              </w:rPr>
            </w:pPr>
            <w:r>
              <w:rPr>
                <w:rFonts w:ascii="Arial" w:cs="Arial" w:eastAsia="Arial" w:hAnsi="Arial"/>
                <w:sz w:val="20"/>
                <w:szCs w:val="20"/>
                <w:color w:val="auto"/>
              </w:rPr>
              <w:t>38</w:t>
            </w: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1"/>
              <w:spacing w:after="0" w:line="216" w:lineRule="exact"/>
              <w:rPr>
                <w:sz w:val="20"/>
                <w:szCs w:val="20"/>
                <w:color w:val="auto"/>
              </w:rPr>
            </w:pPr>
            <w:r>
              <w:rPr>
                <w:rFonts w:ascii="Arial" w:cs="Arial" w:eastAsia="Arial" w:hAnsi="Arial"/>
                <w:sz w:val="20"/>
                <w:szCs w:val="20"/>
                <w:color w:val="auto"/>
              </w:rPr>
              <w:t>30</w:t>
            </w:r>
          </w:p>
        </w:tc>
      </w:tr>
      <w:tr>
        <w:trPr>
          <w:trHeight w:val="210"/>
        </w:trPr>
        <w:tc>
          <w:tcPr>
            <w:tcW w:w="4460" w:type="dxa"/>
            <w:vAlign w:val="bottom"/>
            <w:shd w:val="clear" w:color="auto" w:fill="CFF0FC"/>
          </w:tcPr>
          <w:p>
            <w:pPr>
              <w:ind w:left="100"/>
              <w:spacing w:after="0" w:line="209" w:lineRule="exact"/>
              <w:rPr>
                <w:sz w:val="20"/>
                <w:szCs w:val="20"/>
                <w:color w:val="auto"/>
              </w:rPr>
            </w:pPr>
            <w:r>
              <w:rPr>
                <w:rFonts w:ascii="Arial" w:cs="Arial" w:eastAsia="Arial" w:hAnsi="Arial"/>
                <w:sz w:val="20"/>
                <w:szCs w:val="20"/>
                <w:color w:val="auto"/>
              </w:rPr>
              <w:t>Total Building Materials business</w:t>
            </w:r>
          </w:p>
        </w:tc>
        <w:tc>
          <w:tcPr>
            <w:tcW w:w="48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81"/>
              <w:spacing w:after="0" w:line="209" w:lineRule="exact"/>
              <w:rPr>
                <w:sz w:val="20"/>
                <w:szCs w:val="20"/>
                <w:color w:val="auto"/>
              </w:rPr>
            </w:pPr>
            <w:r>
              <w:rPr>
                <w:rFonts w:ascii="Arial" w:cs="Arial" w:eastAsia="Arial" w:hAnsi="Arial"/>
                <w:sz w:val="20"/>
                <w:szCs w:val="20"/>
                <w:color w:val="auto"/>
              </w:rPr>
              <w:t>193</w:t>
            </w:r>
          </w:p>
        </w:tc>
        <w:tc>
          <w:tcPr>
            <w:tcW w:w="38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181"/>
              <w:spacing w:after="0" w:line="209" w:lineRule="exact"/>
              <w:rPr>
                <w:sz w:val="20"/>
                <w:szCs w:val="20"/>
                <w:color w:val="auto"/>
              </w:rPr>
            </w:pPr>
            <w:r>
              <w:rPr>
                <w:rFonts w:ascii="Arial" w:cs="Arial" w:eastAsia="Arial" w:hAnsi="Arial"/>
                <w:sz w:val="20"/>
                <w:szCs w:val="20"/>
                <w:color w:val="auto"/>
              </w:rPr>
              <w:t>134</w:t>
            </w:r>
          </w:p>
        </w:tc>
        <w:tc>
          <w:tcPr>
            <w:tcW w:w="5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61"/>
              <w:spacing w:after="0" w:line="209" w:lineRule="exact"/>
              <w:rPr>
                <w:sz w:val="20"/>
                <w:szCs w:val="20"/>
                <w:color w:val="auto"/>
              </w:rPr>
            </w:pPr>
            <w:r>
              <w:rPr>
                <w:rFonts w:ascii="Arial" w:cs="Arial" w:eastAsia="Arial" w:hAnsi="Arial"/>
                <w:sz w:val="20"/>
                <w:szCs w:val="20"/>
                <w:color w:val="auto"/>
              </w:rPr>
              <w:t>515</w:t>
            </w:r>
          </w:p>
        </w:tc>
        <w:tc>
          <w:tcPr>
            <w:tcW w:w="40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21"/>
              <w:spacing w:after="0" w:line="209" w:lineRule="exact"/>
              <w:rPr>
                <w:sz w:val="20"/>
                <w:szCs w:val="20"/>
                <w:color w:val="auto"/>
              </w:rPr>
            </w:pPr>
            <w:r>
              <w:rPr>
                <w:rFonts w:ascii="Arial" w:cs="Arial" w:eastAsia="Arial" w:hAnsi="Arial"/>
                <w:sz w:val="20"/>
                <w:szCs w:val="20"/>
                <w:color w:val="auto"/>
              </w:rPr>
              <w:t>391</w:t>
            </w:r>
          </w:p>
        </w:tc>
      </w:tr>
      <w:tr>
        <w:trPr>
          <w:trHeight w:val="216"/>
        </w:trPr>
        <w:tc>
          <w:tcPr>
            <w:tcW w:w="4460" w:type="dxa"/>
            <w:vAlign w:val="bottom"/>
          </w:tcPr>
          <w:p>
            <w:pPr>
              <w:ind w:left="100"/>
              <w:spacing w:after="0" w:line="216" w:lineRule="exact"/>
              <w:rPr>
                <w:sz w:val="20"/>
                <w:szCs w:val="20"/>
                <w:color w:val="auto"/>
              </w:rPr>
            </w:pPr>
            <w:r>
              <w:rPr>
                <w:rFonts w:ascii="Arial" w:cs="Arial" w:eastAsia="Arial" w:hAnsi="Arial"/>
                <w:sz w:val="20"/>
                <w:szCs w:val="20"/>
                <w:color w:val="auto"/>
              </w:rPr>
              <w:t>Specialties</w:t>
            </w:r>
          </w:p>
        </w:tc>
        <w:tc>
          <w:tcPr>
            <w:tcW w:w="480" w:type="dxa"/>
            <w:vAlign w:val="bottom"/>
          </w:tcPr>
          <w:p>
            <w:pPr>
              <w:spacing w:after="0"/>
              <w:rPr>
                <w:sz w:val="18"/>
                <w:szCs w:val="18"/>
                <w:color w:val="auto"/>
              </w:rPr>
            </w:pPr>
          </w:p>
        </w:tc>
        <w:tc>
          <w:tcPr>
            <w:tcW w:w="1240" w:type="dxa"/>
            <w:vAlign w:val="bottom"/>
          </w:tcPr>
          <w:p>
            <w:pPr>
              <w:jc w:val="right"/>
              <w:ind w:right="81"/>
              <w:spacing w:after="0" w:line="216" w:lineRule="exact"/>
              <w:rPr>
                <w:sz w:val="20"/>
                <w:szCs w:val="20"/>
                <w:color w:val="auto"/>
              </w:rPr>
            </w:pPr>
            <w:r>
              <w:rPr>
                <w:rFonts w:ascii="Arial" w:cs="Arial" w:eastAsia="Arial" w:hAnsi="Arial"/>
                <w:sz w:val="20"/>
                <w:szCs w:val="20"/>
                <w:color w:val="auto"/>
              </w:rPr>
              <w:t>37</w:t>
            </w:r>
          </w:p>
        </w:tc>
        <w:tc>
          <w:tcPr>
            <w:tcW w:w="380" w:type="dxa"/>
            <w:vAlign w:val="bottom"/>
          </w:tcPr>
          <w:p>
            <w:pPr>
              <w:spacing w:after="0"/>
              <w:rPr>
                <w:sz w:val="18"/>
                <w:szCs w:val="18"/>
                <w:color w:val="auto"/>
              </w:rPr>
            </w:pPr>
          </w:p>
        </w:tc>
        <w:tc>
          <w:tcPr>
            <w:tcW w:w="1360" w:type="dxa"/>
            <w:vAlign w:val="bottom"/>
          </w:tcPr>
          <w:p>
            <w:pPr>
              <w:jc w:val="right"/>
              <w:ind w:right="181"/>
              <w:spacing w:after="0" w:line="216" w:lineRule="exact"/>
              <w:rPr>
                <w:sz w:val="20"/>
                <w:szCs w:val="20"/>
                <w:color w:val="auto"/>
              </w:rPr>
            </w:pPr>
            <w:r>
              <w:rPr>
                <w:rFonts w:ascii="Arial" w:cs="Arial" w:eastAsia="Arial" w:hAnsi="Arial"/>
                <w:sz w:val="20"/>
                <w:szCs w:val="20"/>
                <w:color w:val="auto"/>
              </w:rPr>
              <w:t>8</w:t>
            </w:r>
          </w:p>
        </w:tc>
        <w:tc>
          <w:tcPr>
            <w:tcW w:w="520" w:type="dxa"/>
            <w:vAlign w:val="bottom"/>
          </w:tcPr>
          <w:p>
            <w:pPr>
              <w:spacing w:after="0"/>
              <w:rPr>
                <w:sz w:val="18"/>
                <w:szCs w:val="18"/>
                <w:color w:val="auto"/>
              </w:rPr>
            </w:pPr>
          </w:p>
        </w:tc>
        <w:tc>
          <w:tcPr>
            <w:tcW w:w="1200" w:type="dxa"/>
            <w:vAlign w:val="bottom"/>
          </w:tcPr>
          <w:p>
            <w:pPr>
              <w:jc w:val="right"/>
              <w:ind w:right="61"/>
              <w:spacing w:after="0" w:line="216" w:lineRule="exact"/>
              <w:rPr>
                <w:sz w:val="20"/>
                <w:szCs w:val="20"/>
                <w:color w:val="auto"/>
              </w:rPr>
            </w:pPr>
            <w:r>
              <w:rPr>
                <w:rFonts w:ascii="Arial" w:cs="Arial" w:eastAsia="Arial" w:hAnsi="Arial"/>
                <w:sz w:val="20"/>
                <w:szCs w:val="20"/>
                <w:color w:val="auto"/>
              </w:rPr>
              <w:t>59</w:t>
            </w:r>
          </w:p>
        </w:tc>
        <w:tc>
          <w:tcPr>
            <w:tcW w:w="400" w:type="dxa"/>
            <w:vAlign w:val="bottom"/>
          </w:tcPr>
          <w:p>
            <w:pPr>
              <w:spacing w:after="0"/>
              <w:rPr>
                <w:sz w:val="18"/>
                <w:szCs w:val="18"/>
                <w:color w:val="auto"/>
              </w:rPr>
            </w:pPr>
          </w:p>
        </w:tc>
        <w:tc>
          <w:tcPr>
            <w:tcW w:w="1200" w:type="dxa"/>
            <w:vAlign w:val="bottom"/>
          </w:tcPr>
          <w:p>
            <w:pPr>
              <w:jc w:val="right"/>
              <w:ind w:right="21"/>
              <w:spacing w:after="0" w:line="216" w:lineRule="exact"/>
              <w:rPr>
                <w:sz w:val="20"/>
                <w:szCs w:val="20"/>
                <w:color w:val="auto"/>
              </w:rPr>
            </w:pPr>
            <w:r>
              <w:rPr>
                <w:rFonts w:ascii="Arial" w:cs="Arial" w:eastAsia="Arial" w:hAnsi="Arial"/>
                <w:sz w:val="20"/>
                <w:szCs w:val="20"/>
                <w:color w:val="auto"/>
              </w:rPr>
              <w:t>18</w:t>
            </w:r>
          </w:p>
        </w:tc>
      </w:tr>
      <w:tr>
        <w:trPr>
          <w:trHeight w:val="216"/>
        </w:trPr>
        <w:tc>
          <w:tcPr>
            <w:tcW w:w="4460" w:type="dxa"/>
            <w:vAlign w:val="bottom"/>
            <w:tcBorders>
              <w:bottom w:val="single" w:sz="8" w:color="auto"/>
            </w:tcBorders>
            <w:shd w:val="clear" w:color="auto" w:fill="CFF0FC"/>
          </w:tcPr>
          <w:p>
            <w:pPr>
              <w:ind w:left="100"/>
              <w:spacing w:after="0" w:line="216" w:lineRule="exact"/>
              <w:rPr>
                <w:sz w:val="20"/>
                <w:szCs w:val="20"/>
                <w:color w:val="auto"/>
              </w:rPr>
            </w:pPr>
            <w:r>
              <w:rPr>
                <w:rFonts w:ascii="Arial" w:cs="Arial" w:eastAsia="Arial" w:hAnsi="Arial"/>
                <w:sz w:val="20"/>
                <w:szCs w:val="20"/>
                <w:color w:val="auto"/>
              </w:rPr>
              <w:t>Corporate</w:t>
            </w:r>
          </w:p>
        </w:tc>
        <w:tc>
          <w:tcPr>
            <w:tcW w:w="4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81"/>
              <w:spacing w:after="0" w:line="216" w:lineRule="exact"/>
              <w:rPr>
                <w:sz w:val="20"/>
                <w:szCs w:val="20"/>
                <w:color w:val="auto"/>
              </w:rPr>
            </w:pPr>
            <w:r>
              <w:rPr>
                <w:rFonts w:ascii="Arial" w:cs="Arial" w:eastAsia="Arial" w:hAnsi="Arial"/>
                <w:sz w:val="20"/>
                <w:szCs w:val="20"/>
                <w:color w:val="auto"/>
              </w:rPr>
              <w:t>1</w:t>
            </w:r>
          </w:p>
        </w:tc>
        <w:tc>
          <w:tcPr>
            <w:tcW w:w="38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181"/>
              <w:spacing w:after="0" w:line="216" w:lineRule="exact"/>
              <w:rPr>
                <w:sz w:val="20"/>
                <w:szCs w:val="20"/>
                <w:color w:val="auto"/>
              </w:rPr>
            </w:pPr>
            <w:r>
              <w:rPr>
                <w:rFonts w:ascii="Arial" w:cs="Arial" w:eastAsia="Arial" w:hAnsi="Arial"/>
                <w:sz w:val="20"/>
                <w:szCs w:val="20"/>
                <w:color w:val="auto"/>
              </w:rPr>
              <w:t>1</w:t>
            </w:r>
          </w:p>
        </w:tc>
        <w:tc>
          <w:tcPr>
            <w:tcW w:w="5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61"/>
              <w:spacing w:after="0" w:line="216" w:lineRule="exact"/>
              <w:rPr>
                <w:sz w:val="20"/>
                <w:szCs w:val="20"/>
                <w:color w:val="auto"/>
              </w:rPr>
            </w:pPr>
            <w:r>
              <w:rPr>
                <w:rFonts w:ascii="Arial" w:cs="Arial" w:eastAsia="Arial" w:hAnsi="Arial"/>
                <w:sz w:val="20"/>
                <w:szCs w:val="20"/>
                <w:color w:val="auto"/>
              </w:rPr>
              <w:t>3</w:t>
            </w:r>
          </w:p>
        </w:tc>
        <w:tc>
          <w:tcPr>
            <w:tcW w:w="4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21"/>
              <w:spacing w:after="0" w:line="216" w:lineRule="exact"/>
              <w:rPr>
                <w:sz w:val="20"/>
                <w:szCs w:val="20"/>
                <w:color w:val="auto"/>
              </w:rPr>
            </w:pPr>
            <w:r>
              <w:rPr>
                <w:rFonts w:ascii="Arial" w:cs="Arial" w:eastAsia="Arial" w:hAnsi="Arial"/>
                <w:sz w:val="20"/>
                <w:szCs w:val="20"/>
                <w:color w:val="auto"/>
              </w:rPr>
              <w:t>3</w:t>
            </w:r>
          </w:p>
        </w:tc>
      </w:tr>
      <w:tr>
        <w:trPr>
          <w:trHeight w:val="209"/>
        </w:trPr>
        <w:tc>
          <w:tcPr>
            <w:tcW w:w="4460" w:type="dxa"/>
            <w:vAlign w:val="bottom"/>
            <w:tcBorders>
              <w:bottom w:val="single" w:sz="8" w:color="auto"/>
            </w:tcBorders>
          </w:tcPr>
          <w:p>
            <w:pPr>
              <w:spacing w:after="0" w:line="209" w:lineRule="exact"/>
              <w:rPr>
                <w:sz w:val="20"/>
                <w:szCs w:val="20"/>
                <w:color w:val="auto"/>
              </w:rPr>
            </w:pPr>
            <w:r>
              <w:rPr>
                <w:rFonts w:ascii="Arial" w:cs="Arial" w:eastAsia="Arial" w:hAnsi="Arial"/>
                <w:sz w:val="20"/>
                <w:szCs w:val="20"/>
                <w:color w:val="auto"/>
              </w:rPr>
              <w:t>Total</w:t>
            </w:r>
          </w:p>
        </w:tc>
        <w:tc>
          <w:tcPr>
            <w:tcW w:w="480" w:type="dxa"/>
            <w:vAlign w:val="bottom"/>
            <w:tcBorders>
              <w:bottom w:val="single" w:sz="8" w:color="auto"/>
            </w:tcBorders>
          </w:tcPr>
          <w:p>
            <w:pPr>
              <w:jc w:val="right"/>
              <w:ind w:right="101"/>
              <w:spacing w:after="0" w:line="209" w:lineRule="exact"/>
              <w:rPr>
                <w:sz w:val="20"/>
                <w:szCs w:val="20"/>
                <w:color w:val="auto"/>
              </w:rPr>
            </w:pPr>
            <w:r>
              <w:rPr>
                <w:rFonts w:ascii="Arial" w:cs="Arial" w:eastAsia="Arial" w:hAnsi="Arial"/>
                <w:sz w:val="20"/>
                <w:szCs w:val="20"/>
                <w:color w:val="auto"/>
              </w:rPr>
              <w:t>$</w:t>
            </w:r>
          </w:p>
        </w:tc>
        <w:tc>
          <w:tcPr>
            <w:tcW w:w="1240" w:type="dxa"/>
            <w:vAlign w:val="bottom"/>
            <w:tcBorders>
              <w:bottom w:val="single" w:sz="8" w:color="auto"/>
            </w:tcBorders>
          </w:tcPr>
          <w:p>
            <w:pPr>
              <w:jc w:val="right"/>
              <w:ind w:right="81"/>
              <w:spacing w:after="0" w:line="209" w:lineRule="exact"/>
              <w:rPr>
                <w:sz w:val="20"/>
                <w:szCs w:val="20"/>
                <w:color w:val="auto"/>
              </w:rPr>
            </w:pPr>
            <w:r>
              <w:rPr>
                <w:rFonts w:ascii="Arial" w:cs="Arial" w:eastAsia="Arial" w:hAnsi="Arial"/>
                <w:sz w:val="20"/>
                <w:szCs w:val="20"/>
                <w:color w:val="auto"/>
              </w:rPr>
              <w:t>231</w:t>
            </w:r>
          </w:p>
        </w:tc>
        <w:tc>
          <w:tcPr>
            <w:tcW w:w="380" w:type="dxa"/>
            <w:vAlign w:val="bottom"/>
            <w:tcBorders>
              <w:bottom w:val="single" w:sz="8" w:color="auto"/>
            </w:tcBorders>
          </w:tcPr>
          <w:p>
            <w:pPr>
              <w:jc w:val="right"/>
              <w:ind w:right="81"/>
              <w:spacing w:after="0" w:line="209" w:lineRule="exact"/>
              <w:rPr>
                <w:sz w:val="20"/>
                <w:szCs w:val="20"/>
                <w:color w:val="auto"/>
              </w:rPr>
            </w:pPr>
            <w:r>
              <w:rPr>
                <w:rFonts w:ascii="Arial" w:cs="Arial" w:eastAsia="Arial" w:hAnsi="Arial"/>
                <w:sz w:val="20"/>
                <w:szCs w:val="20"/>
                <w:color w:val="auto"/>
              </w:rPr>
              <w:t>$</w:t>
            </w:r>
          </w:p>
        </w:tc>
        <w:tc>
          <w:tcPr>
            <w:tcW w:w="1360" w:type="dxa"/>
            <w:vAlign w:val="bottom"/>
            <w:tcBorders>
              <w:bottom w:val="single" w:sz="8" w:color="auto"/>
            </w:tcBorders>
          </w:tcPr>
          <w:p>
            <w:pPr>
              <w:jc w:val="right"/>
              <w:ind w:right="181"/>
              <w:spacing w:after="0" w:line="209" w:lineRule="exact"/>
              <w:rPr>
                <w:sz w:val="20"/>
                <w:szCs w:val="20"/>
                <w:color w:val="auto"/>
              </w:rPr>
            </w:pPr>
            <w:r>
              <w:rPr>
                <w:rFonts w:ascii="Arial" w:cs="Arial" w:eastAsia="Arial" w:hAnsi="Arial"/>
                <w:sz w:val="20"/>
                <w:szCs w:val="20"/>
                <w:color w:val="auto"/>
              </w:rPr>
              <w:t>143</w:t>
            </w:r>
          </w:p>
        </w:tc>
        <w:tc>
          <w:tcPr>
            <w:tcW w:w="520" w:type="dxa"/>
            <w:vAlign w:val="bottom"/>
            <w:tcBorders>
              <w:bottom w:val="single" w:sz="8" w:color="auto"/>
            </w:tcBorders>
          </w:tcPr>
          <w:p>
            <w:pPr>
              <w:jc w:val="right"/>
              <w:ind w:right="141"/>
              <w:spacing w:after="0" w:line="209" w:lineRule="exact"/>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tcPr>
          <w:p>
            <w:pPr>
              <w:jc w:val="right"/>
              <w:ind w:right="61"/>
              <w:spacing w:after="0" w:line="209" w:lineRule="exact"/>
              <w:rPr>
                <w:sz w:val="20"/>
                <w:szCs w:val="20"/>
                <w:color w:val="auto"/>
              </w:rPr>
            </w:pPr>
            <w:r>
              <w:rPr>
                <w:rFonts w:ascii="Arial" w:cs="Arial" w:eastAsia="Arial" w:hAnsi="Arial"/>
                <w:sz w:val="20"/>
                <w:szCs w:val="20"/>
                <w:color w:val="auto"/>
              </w:rPr>
              <w:t>577</w:t>
            </w:r>
          </w:p>
        </w:tc>
        <w:tc>
          <w:tcPr>
            <w:tcW w:w="400" w:type="dxa"/>
            <w:vAlign w:val="bottom"/>
            <w:tcBorders>
              <w:bottom w:val="single" w:sz="8" w:color="auto"/>
            </w:tcBorders>
          </w:tcPr>
          <w:p>
            <w:pPr>
              <w:jc w:val="right"/>
              <w:ind w:right="81"/>
              <w:spacing w:after="0" w:line="209" w:lineRule="exact"/>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tcPr>
          <w:p>
            <w:pPr>
              <w:jc w:val="right"/>
              <w:ind w:right="21"/>
              <w:spacing w:after="0" w:line="209" w:lineRule="exact"/>
              <w:rPr>
                <w:sz w:val="20"/>
                <w:szCs w:val="20"/>
                <w:color w:val="auto"/>
              </w:rPr>
            </w:pPr>
            <w:r>
              <w:rPr>
                <w:rFonts w:ascii="Arial" w:cs="Arial" w:eastAsia="Arial" w:hAnsi="Arial"/>
                <w:sz w:val="20"/>
                <w:szCs w:val="20"/>
                <w:color w:val="auto"/>
              </w:rPr>
              <w:t>412</w:t>
            </w:r>
          </w:p>
        </w:tc>
      </w:tr>
      <w:tr>
        <w:trPr>
          <w:trHeight w:val="20"/>
        </w:trPr>
        <w:tc>
          <w:tcPr>
            <w:tcW w:w="4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-3839845</wp:posOffset>
            </wp:positionV>
            <wp:extent cx="42005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200525" cy="8255"/>
                    </a:xfrm>
                    <a:prstGeom prst="rect">
                      <a:avLst/>
                    </a:prstGeom>
                    <a:noFill/>
                  </pic:spPr>
                </pic:pic>
              </a:graphicData>
            </a:graphic>
          </wp:anchor>
        </w:drawing>
      </w:r>
    </w:p>
    <w:p>
      <w:pPr>
        <w:spacing w:after="0" w:line="53" w:lineRule="exact"/>
        <w:rPr>
          <w:sz w:val="20"/>
          <w:szCs w:val="20"/>
          <w:color w:val="auto"/>
        </w:rPr>
      </w:pPr>
    </w:p>
    <w:p>
      <w:pPr>
        <w:ind w:left="160" w:right="1100" w:hanging="152"/>
        <w:spacing w:after="0" w:line="257" w:lineRule="auto"/>
        <w:tabs>
          <w:tab w:leader="none" w:pos="142" w:val="left"/>
        </w:tabs>
        <w:numPr>
          <w:ilvl w:val="0"/>
          <w:numId w:val="8"/>
        </w:numPr>
        <w:rPr>
          <w:rFonts w:ascii="Arial" w:cs="Arial" w:eastAsia="Arial" w:hAnsi="Arial"/>
          <w:sz w:val="20"/>
          <w:szCs w:val="20"/>
          <w:i w:val="1"/>
          <w:iCs w:val="1"/>
          <w:color w:val="auto"/>
        </w:rPr>
      </w:pPr>
      <w:r>
        <w:rPr>
          <w:rFonts w:ascii="Arial" w:cs="Arial" w:eastAsia="Arial" w:hAnsi="Arial"/>
          <w:sz w:val="20"/>
          <w:szCs w:val="20"/>
          <w:i w:val="1"/>
          <w:iCs w:val="1"/>
          <w:color w:val="auto"/>
        </w:rPr>
        <w:t>Depreciation, depletion and amortization reflects the expense included in Cost of revenues and does not represent total depreciation, depletion and amortization.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4" w:name="page15"/>
    <w:bookmarkEnd w:id="14"/>
    <w:p>
      <w:pPr>
        <w:spacing w:after="0"/>
        <w:rPr>
          <w:sz w:val="20"/>
          <w:szCs w:val="20"/>
          <w:color w:val="auto"/>
        </w:rPr>
      </w:pPr>
      <w:r>
        <w:rPr>
          <w:rFonts w:ascii="Arial" w:cs="Arial" w:eastAsia="Arial" w:hAnsi="Arial"/>
          <w:sz w:val="22"/>
          <w:szCs w:val="22"/>
          <w:color w:val="auto"/>
        </w:rPr>
        <w:t>Appendix</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MARTIN MARIETTA MATERIALS,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Balance Sheet Data</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shd w:val="clear" w:color="auto" w:fill="007DC6"/>
          </w:tcPr>
          <w:p>
            <w:pPr>
              <w:spacing w:after="0"/>
              <w:rPr>
                <w:sz w:val="19"/>
                <w:szCs w:val="19"/>
                <w:color w:val="auto"/>
              </w:rPr>
            </w:pPr>
          </w:p>
        </w:tc>
        <w:tc>
          <w:tcPr>
            <w:tcW w:w="2660" w:type="dxa"/>
            <w:vAlign w:val="bottom"/>
            <w:shd w:val="clear" w:color="auto" w:fill="007DC6"/>
          </w:tcPr>
          <w:p>
            <w:pPr>
              <w:spacing w:after="0"/>
              <w:rPr>
                <w:sz w:val="19"/>
                <w:szCs w:val="19"/>
                <w:color w:val="auto"/>
              </w:rPr>
            </w:pPr>
          </w:p>
        </w:tc>
        <w:tc>
          <w:tcPr>
            <w:tcW w:w="1700" w:type="dxa"/>
            <w:vAlign w:val="bottom"/>
            <w:shd w:val="clear" w:color="auto" w:fill="007DC6"/>
          </w:tcPr>
          <w:p>
            <w:pPr>
              <w:jc w:val="center"/>
              <w:ind w:right="161"/>
              <w:spacing w:after="0"/>
              <w:rPr>
                <w:sz w:val="20"/>
                <w:szCs w:val="20"/>
                <w:color w:val="auto"/>
              </w:rPr>
            </w:pPr>
            <w:r>
              <w:rPr>
                <w:rFonts w:ascii="Arial" w:cs="Arial" w:eastAsia="Arial" w:hAnsi="Arial"/>
                <w:sz w:val="20"/>
                <w:szCs w:val="20"/>
                <w:b w:val="1"/>
                <w:bCs w:val="1"/>
                <w:color w:val="FFFFFF"/>
                <w:w w:val="99"/>
              </w:rPr>
              <w:t>September 30,</w:t>
            </w:r>
          </w:p>
        </w:tc>
        <w:tc>
          <w:tcPr>
            <w:tcW w:w="320" w:type="dxa"/>
            <w:vAlign w:val="bottom"/>
            <w:shd w:val="clear" w:color="auto" w:fill="007DC6"/>
          </w:tcPr>
          <w:p>
            <w:pPr>
              <w:spacing w:after="0"/>
              <w:rPr>
                <w:sz w:val="19"/>
                <w:szCs w:val="19"/>
                <w:color w:val="auto"/>
              </w:rPr>
            </w:pPr>
          </w:p>
        </w:tc>
        <w:tc>
          <w:tcPr>
            <w:tcW w:w="1820" w:type="dxa"/>
            <w:vAlign w:val="bottom"/>
            <w:shd w:val="clear" w:color="auto" w:fill="007DC6"/>
          </w:tcPr>
          <w:p>
            <w:pPr>
              <w:jc w:val="center"/>
              <w:ind w:right="361"/>
              <w:spacing w:after="0"/>
              <w:rPr>
                <w:sz w:val="20"/>
                <w:szCs w:val="20"/>
                <w:color w:val="auto"/>
              </w:rPr>
            </w:pPr>
            <w:r>
              <w:rPr>
                <w:rFonts w:ascii="Arial" w:cs="Arial" w:eastAsia="Arial" w:hAnsi="Arial"/>
                <w:sz w:val="20"/>
                <w:szCs w:val="20"/>
                <w:b w:val="1"/>
                <w:bCs w:val="1"/>
                <w:color w:val="FFFFFF"/>
                <w:w w:val="98"/>
              </w:rPr>
              <w:t>December 31,</w:t>
            </w:r>
          </w:p>
        </w:tc>
      </w:tr>
      <w:tr>
        <w:trPr>
          <w:trHeight w:val="229"/>
        </w:trPr>
        <w:tc>
          <w:tcPr>
            <w:tcW w:w="4740" w:type="dxa"/>
            <w:vAlign w:val="bottom"/>
            <w:shd w:val="clear" w:color="auto" w:fill="007DC6"/>
          </w:tcPr>
          <w:p>
            <w:pPr>
              <w:spacing w:after="0"/>
              <w:rPr>
                <w:sz w:val="19"/>
                <w:szCs w:val="19"/>
                <w:color w:val="auto"/>
              </w:rPr>
            </w:pPr>
          </w:p>
        </w:tc>
        <w:tc>
          <w:tcPr>
            <w:tcW w:w="2660" w:type="dxa"/>
            <w:vAlign w:val="bottom"/>
            <w:shd w:val="clear" w:color="auto" w:fill="007DC6"/>
          </w:tcPr>
          <w:p>
            <w:pPr>
              <w:spacing w:after="0"/>
              <w:rPr>
                <w:sz w:val="19"/>
                <w:szCs w:val="19"/>
                <w:color w:val="auto"/>
              </w:rPr>
            </w:pPr>
          </w:p>
        </w:tc>
        <w:tc>
          <w:tcPr>
            <w:tcW w:w="1700" w:type="dxa"/>
            <w:vAlign w:val="bottom"/>
            <w:shd w:val="clear" w:color="auto" w:fill="007DC6"/>
          </w:tcPr>
          <w:p>
            <w:pPr>
              <w:jc w:val="center"/>
              <w:ind w:right="161"/>
              <w:spacing w:after="0"/>
              <w:rPr>
                <w:sz w:val="20"/>
                <w:szCs w:val="20"/>
                <w:color w:val="auto"/>
              </w:rPr>
            </w:pPr>
            <w:r>
              <w:rPr>
                <w:rFonts w:ascii="Arial" w:cs="Arial" w:eastAsia="Arial" w:hAnsi="Arial"/>
                <w:sz w:val="20"/>
                <w:szCs w:val="20"/>
                <w:b w:val="1"/>
                <w:bCs w:val="1"/>
                <w:color w:val="FFFFFF"/>
                <w:w w:val="98"/>
              </w:rPr>
              <w:t>2026</w:t>
            </w:r>
          </w:p>
        </w:tc>
        <w:tc>
          <w:tcPr>
            <w:tcW w:w="320" w:type="dxa"/>
            <w:vAlign w:val="bottom"/>
            <w:shd w:val="clear" w:color="auto" w:fill="007DC6"/>
          </w:tcPr>
          <w:p>
            <w:pPr>
              <w:spacing w:after="0"/>
              <w:rPr>
                <w:sz w:val="19"/>
                <w:szCs w:val="19"/>
                <w:color w:val="auto"/>
              </w:rPr>
            </w:pPr>
          </w:p>
        </w:tc>
        <w:tc>
          <w:tcPr>
            <w:tcW w:w="1820" w:type="dxa"/>
            <w:vAlign w:val="bottom"/>
            <w:shd w:val="clear" w:color="auto" w:fill="007DC6"/>
          </w:tcPr>
          <w:p>
            <w:pPr>
              <w:jc w:val="center"/>
              <w:ind w:right="361"/>
              <w:spacing w:after="0"/>
              <w:rPr>
                <w:sz w:val="20"/>
                <w:szCs w:val="20"/>
                <w:color w:val="auto"/>
              </w:rPr>
            </w:pPr>
            <w:r>
              <w:rPr>
                <w:rFonts w:ascii="Arial" w:cs="Arial" w:eastAsia="Arial" w:hAnsi="Arial"/>
                <w:sz w:val="20"/>
                <w:szCs w:val="20"/>
                <w:b w:val="1"/>
                <w:bCs w:val="1"/>
                <w:color w:val="FFFFFF"/>
                <w:w w:val="98"/>
              </w:rPr>
              <w:t>2025</w:t>
            </w:r>
          </w:p>
        </w:tc>
      </w:tr>
      <w:tr>
        <w:trPr>
          <w:trHeight w:val="240"/>
        </w:trPr>
        <w:tc>
          <w:tcPr>
            <w:tcW w:w="4740" w:type="dxa"/>
            <w:vAlign w:val="bottom"/>
            <w:shd w:val="clear" w:color="auto" w:fill="007DC6"/>
          </w:tcPr>
          <w:p>
            <w:pPr>
              <w:spacing w:after="0"/>
              <w:rPr>
                <w:sz w:val="20"/>
                <w:szCs w:val="20"/>
                <w:color w:val="auto"/>
              </w:rPr>
            </w:pPr>
            <w:r>
              <w:rPr>
                <w:rFonts w:ascii="Arial" w:cs="Arial" w:eastAsia="Arial" w:hAnsi="Arial"/>
                <w:sz w:val="20"/>
                <w:szCs w:val="20"/>
                <w:b w:val="1"/>
                <w:bCs w:val="1"/>
                <w:color w:val="FFFFFF"/>
              </w:rPr>
              <w:t>(in millions)</w:t>
            </w:r>
          </w:p>
        </w:tc>
        <w:tc>
          <w:tcPr>
            <w:tcW w:w="2660" w:type="dxa"/>
            <w:vAlign w:val="bottom"/>
            <w:shd w:val="clear" w:color="auto" w:fill="007DC6"/>
          </w:tcPr>
          <w:p>
            <w:pPr>
              <w:spacing w:after="0"/>
              <w:rPr>
                <w:sz w:val="20"/>
                <w:szCs w:val="20"/>
                <w:color w:val="auto"/>
              </w:rPr>
            </w:pPr>
          </w:p>
        </w:tc>
        <w:tc>
          <w:tcPr>
            <w:tcW w:w="1700" w:type="dxa"/>
            <w:vAlign w:val="bottom"/>
            <w:shd w:val="clear" w:color="auto" w:fill="007DC6"/>
          </w:tcPr>
          <w:p>
            <w:pPr>
              <w:jc w:val="center"/>
              <w:ind w:right="161"/>
              <w:spacing w:after="0"/>
              <w:rPr>
                <w:sz w:val="20"/>
                <w:szCs w:val="20"/>
                <w:color w:val="auto"/>
              </w:rPr>
            </w:pPr>
            <w:r>
              <w:rPr>
                <w:rFonts w:ascii="Arial" w:cs="Arial" w:eastAsia="Arial" w:hAnsi="Arial"/>
                <w:sz w:val="20"/>
                <w:szCs w:val="20"/>
                <w:b w:val="1"/>
                <w:bCs w:val="1"/>
                <w:color w:val="FFFFFF"/>
                <w:w w:val="98"/>
              </w:rPr>
              <w:t>Unaudited</w:t>
            </w:r>
          </w:p>
        </w:tc>
        <w:tc>
          <w:tcPr>
            <w:tcW w:w="320" w:type="dxa"/>
            <w:vAlign w:val="bottom"/>
            <w:shd w:val="clear" w:color="auto" w:fill="007DC6"/>
          </w:tcPr>
          <w:p>
            <w:pPr>
              <w:spacing w:after="0"/>
              <w:rPr>
                <w:sz w:val="20"/>
                <w:szCs w:val="20"/>
                <w:color w:val="auto"/>
              </w:rPr>
            </w:pPr>
          </w:p>
        </w:tc>
        <w:tc>
          <w:tcPr>
            <w:tcW w:w="1820" w:type="dxa"/>
            <w:vAlign w:val="bottom"/>
            <w:shd w:val="clear" w:color="auto" w:fill="007DC6"/>
          </w:tcPr>
          <w:p>
            <w:pPr>
              <w:jc w:val="center"/>
              <w:ind w:right="361"/>
              <w:spacing w:after="0"/>
              <w:rPr>
                <w:sz w:val="20"/>
                <w:szCs w:val="20"/>
                <w:color w:val="auto"/>
              </w:rPr>
            </w:pPr>
            <w:r>
              <w:rPr>
                <w:rFonts w:ascii="Arial" w:cs="Arial" w:eastAsia="Arial" w:hAnsi="Arial"/>
                <w:sz w:val="20"/>
                <w:szCs w:val="20"/>
                <w:b w:val="1"/>
                <w:bCs w:val="1"/>
                <w:color w:val="FFFFFF"/>
                <w:w w:val="96"/>
              </w:rPr>
              <w:t>Audited</w:t>
            </w:r>
          </w:p>
        </w:tc>
      </w:tr>
      <w:tr>
        <w:trPr>
          <w:trHeight w:val="216"/>
        </w:trPr>
        <w:tc>
          <w:tcPr>
            <w:tcW w:w="4740" w:type="dxa"/>
            <w:vAlign w:val="bottom"/>
            <w:tcBorders>
              <w:bottom w:val="single" w:sz="8" w:color="auto"/>
            </w:tcBorders>
            <w:shd w:val="clear" w:color="auto" w:fill="CFF0FC"/>
          </w:tcPr>
          <w:p>
            <w:pPr>
              <w:spacing w:after="0" w:line="216" w:lineRule="exact"/>
              <w:rPr>
                <w:sz w:val="20"/>
                <w:szCs w:val="20"/>
                <w:color w:val="auto"/>
              </w:rPr>
            </w:pPr>
            <w:r>
              <w:rPr>
                <w:rFonts w:ascii="Arial" w:cs="Arial" w:eastAsia="Arial" w:hAnsi="Arial"/>
                <w:sz w:val="20"/>
                <w:szCs w:val="20"/>
                <w:b w:val="1"/>
                <w:bCs w:val="1"/>
                <w:color w:val="auto"/>
              </w:rPr>
              <w:t>Assets</w:t>
            </w:r>
          </w:p>
        </w:tc>
        <w:tc>
          <w:tcPr>
            <w:tcW w:w="2660" w:type="dxa"/>
            <w:vAlign w:val="bottom"/>
            <w:tcBorders>
              <w:bottom w:val="single" w:sz="8" w:color="auto"/>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820" w:type="dxa"/>
            <w:vAlign w:val="bottom"/>
            <w:tcBorders>
              <w:bottom w:val="single" w:sz="8" w:color="auto"/>
            </w:tcBorders>
            <w:shd w:val="clear" w:color="auto" w:fill="CFF0FC"/>
          </w:tcPr>
          <w:p>
            <w:pPr>
              <w:spacing w:after="0"/>
              <w:rPr>
                <w:sz w:val="18"/>
                <w:szCs w:val="18"/>
                <w:color w:val="auto"/>
              </w:rPr>
            </w:pPr>
          </w:p>
        </w:tc>
      </w:tr>
      <w:tr>
        <w:trPr>
          <w:trHeight w:val="210"/>
        </w:trPr>
        <w:tc>
          <w:tcPr>
            <w:tcW w:w="4740" w:type="dxa"/>
            <w:vAlign w:val="bottom"/>
          </w:tcPr>
          <w:p>
            <w:pPr>
              <w:spacing w:after="0" w:line="209" w:lineRule="exact"/>
              <w:rPr>
                <w:sz w:val="20"/>
                <w:szCs w:val="20"/>
                <w:color w:val="auto"/>
              </w:rPr>
            </w:pPr>
            <w:r>
              <w:rPr>
                <w:rFonts w:ascii="Arial" w:cs="Arial" w:eastAsia="Arial" w:hAnsi="Arial"/>
                <w:sz w:val="20"/>
                <w:szCs w:val="20"/>
                <w:color w:val="auto"/>
              </w:rPr>
              <w:t>Cash and cash equivalents</w:t>
            </w:r>
          </w:p>
        </w:tc>
        <w:tc>
          <w:tcPr>
            <w:tcW w:w="2660" w:type="dxa"/>
            <w:vAlign w:val="bottom"/>
          </w:tcPr>
          <w:p>
            <w:pPr>
              <w:jc w:val="right"/>
              <w:spacing w:after="0" w:line="209" w:lineRule="exact"/>
              <w:rPr>
                <w:sz w:val="20"/>
                <w:szCs w:val="20"/>
                <w:color w:val="auto"/>
              </w:rPr>
            </w:pPr>
            <w:r>
              <w:rPr>
                <w:rFonts w:ascii="Arial" w:cs="Arial" w:eastAsia="Arial" w:hAnsi="Arial"/>
                <w:sz w:val="20"/>
                <w:szCs w:val="20"/>
                <w:color w:val="auto"/>
              </w:rPr>
              <w:t>$</w:t>
            </w:r>
          </w:p>
        </w:tc>
        <w:tc>
          <w:tcPr>
            <w:tcW w:w="1700" w:type="dxa"/>
            <w:vAlign w:val="bottom"/>
          </w:tcPr>
          <w:p>
            <w:pPr>
              <w:jc w:val="right"/>
              <w:ind w:right="41"/>
              <w:spacing w:after="0" w:line="209" w:lineRule="exact"/>
              <w:rPr>
                <w:sz w:val="20"/>
                <w:szCs w:val="20"/>
                <w:color w:val="auto"/>
              </w:rPr>
            </w:pPr>
            <w:r>
              <w:rPr>
                <w:rFonts w:ascii="Arial" w:cs="Arial" w:eastAsia="Arial" w:hAnsi="Arial"/>
                <w:sz w:val="20"/>
                <w:szCs w:val="20"/>
                <w:color w:val="auto"/>
              </w:rPr>
              <w:t>140</w:t>
            </w:r>
          </w:p>
        </w:tc>
        <w:tc>
          <w:tcPr>
            <w:tcW w:w="320" w:type="dxa"/>
            <w:vAlign w:val="bottom"/>
          </w:tcPr>
          <w:p>
            <w:pPr>
              <w:jc w:val="right"/>
              <w:spacing w:after="0" w:line="209" w:lineRule="exact"/>
              <w:rPr>
                <w:sz w:val="20"/>
                <w:szCs w:val="20"/>
                <w:color w:val="auto"/>
              </w:rPr>
            </w:pPr>
            <w:r>
              <w:rPr>
                <w:rFonts w:ascii="Arial" w:cs="Arial" w:eastAsia="Arial" w:hAnsi="Arial"/>
                <w:sz w:val="20"/>
                <w:szCs w:val="20"/>
                <w:color w:val="auto"/>
              </w:rPr>
              <w:t>$</w:t>
            </w:r>
          </w:p>
        </w:tc>
        <w:tc>
          <w:tcPr>
            <w:tcW w:w="1820" w:type="dxa"/>
            <w:vAlign w:val="bottom"/>
          </w:tcPr>
          <w:p>
            <w:pPr>
              <w:jc w:val="right"/>
              <w:ind w:right="201"/>
              <w:spacing w:after="0" w:line="209" w:lineRule="exact"/>
              <w:rPr>
                <w:sz w:val="20"/>
                <w:szCs w:val="20"/>
                <w:color w:val="auto"/>
              </w:rPr>
            </w:pPr>
            <w:r>
              <w:rPr>
                <w:rFonts w:ascii="Arial" w:cs="Arial" w:eastAsia="Arial" w:hAnsi="Arial"/>
                <w:sz w:val="20"/>
                <w:szCs w:val="20"/>
                <w:color w:val="auto"/>
              </w:rPr>
              <w:t>67</w:t>
            </w:r>
          </w:p>
        </w:tc>
      </w:tr>
      <w:tr>
        <w:trPr>
          <w:trHeight w:val="216"/>
        </w:trPr>
        <w:tc>
          <w:tcPr>
            <w:tcW w:w="474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Restricted cash</w:t>
            </w:r>
          </w:p>
        </w:tc>
        <w:tc>
          <w:tcPr>
            <w:tcW w:w="2660" w:type="dxa"/>
            <w:vAlign w:val="bottom"/>
            <w:shd w:val="clear" w:color="auto" w:fill="CFF0FC"/>
          </w:tcPr>
          <w:p>
            <w:pPr>
              <w:spacing w:after="0"/>
              <w:rPr>
                <w:sz w:val="18"/>
                <w:szCs w:val="18"/>
                <w:color w:val="auto"/>
              </w:rPr>
            </w:pPr>
          </w:p>
        </w:tc>
        <w:tc>
          <w:tcPr>
            <w:tcW w:w="1700" w:type="dxa"/>
            <w:vAlign w:val="bottom"/>
            <w:shd w:val="clear" w:color="auto" w:fill="CFF0FC"/>
          </w:tcPr>
          <w:p>
            <w:pPr>
              <w:jc w:val="right"/>
              <w:ind w:right="41"/>
              <w:spacing w:after="0" w:line="216" w:lineRule="exact"/>
              <w:rPr>
                <w:sz w:val="20"/>
                <w:szCs w:val="20"/>
                <w:color w:val="auto"/>
              </w:rPr>
            </w:pPr>
            <w:r>
              <w:rPr>
                <w:rFonts w:ascii="Arial" w:cs="Arial" w:eastAsia="Arial" w:hAnsi="Arial"/>
                <w:sz w:val="20"/>
                <w:szCs w:val="20"/>
                <w:color w:val="auto"/>
              </w:rPr>
              <w:t>12</w:t>
            </w:r>
          </w:p>
        </w:tc>
        <w:tc>
          <w:tcPr>
            <w:tcW w:w="320" w:type="dxa"/>
            <w:vAlign w:val="bottom"/>
            <w:shd w:val="clear" w:color="auto" w:fill="CFF0FC"/>
          </w:tcPr>
          <w:p>
            <w:pPr>
              <w:spacing w:after="0"/>
              <w:rPr>
                <w:sz w:val="18"/>
                <w:szCs w:val="18"/>
                <w:color w:val="auto"/>
              </w:rPr>
            </w:pPr>
          </w:p>
        </w:tc>
        <w:tc>
          <w:tcPr>
            <w:tcW w:w="1820" w:type="dxa"/>
            <w:vAlign w:val="bottom"/>
            <w:shd w:val="clear" w:color="auto" w:fill="CFF0FC"/>
          </w:tcPr>
          <w:p>
            <w:pPr>
              <w:jc w:val="right"/>
              <w:ind w:right="201"/>
              <w:spacing w:after="0" w:line="216" w:lineRule="exact"/>
              <w:rPr>
                <w:sz w:val="20"/>
                <w:szCs w:val="20"/>
                <w:color w:val="auto"/>
              </w:rPr>
            </w:pPr>
            <w:r>
              <w:rPr>
                <w:rFonts w:ascii="Arial" w:cs="Arial" w:eastAsia="Arial" w:hAnsi="Arial"/>
                <w:sz w:val="20"/>
                <w:szCs w:val="20"/>
                <w:color w:val="auto"/>
              </w:rPr>
              <w:t>—</w:t>
            </w:r>
          </w:p>
        </w:tc>
      </w:tr>
      <w:tr>
        <w:trPr>
          <w:trHeight w:val="216"/>
        </w:trPr>
        <w:tc>
          <w:tcPr>
            <w:tcW w:w="4740" w:type="dxa"/>
            <w:vAlign w:val="bottom"/>
          </w:tcPr>
          <w:p>
            <w:pPr>
              <w:spacing w:after="0" w:line="216" w:lineRule="exact"/>
              <w:rPr>
                <w:sz w:val="20"/>
                <w:szCs w:val="20"/>
                <w:color w:val="auto"/>
              </w:rPr>
            </w:pPr>
            <w:r>
              <w:rPr>
                <w:rFonts w:ascii="Arial" w:cs="Arial" w:eastAsia="Arial" w:hAnsi="Arial"/>
                <w:sz w:val="20"/>
                <w:szCs w:val="20"/>
                <w:color w:val="auto"/>
              </w:rPr>
              <w:t>Accounts receivable, net</w:t>
            </w:r>
          </w:p>
        </w:tc>
        <w:tc>
          <w:tcPr>
            <w:tcW w:w="2660" w:type="dxa"/>
            <w:vAlign w:val="bottom"/>
          </w:tcPr>
          <w:p>
            <w:pPr>
              <w:spacing w:after="0"/>
              <w:rPr>
                <w:sz w:val="18"/>
                <w:szCs w:val="18"/>
                <w:color w:val="auto"/>
              </w:rPr>
            </w:pPr>
          </w:p>
        </w:tc>
        <w:tc>
          <w:tcPr>
            <w:tcW w:w="1700" w:type="dxa"/>
            <w:vAlign w:val="bottom"/>
          </w:tcPr>
          <w:p>
            <w:pPr>
              <w:jc w:val="right"/>
              <w:ind w:right="41"/>
              <w:spacing w:after="0" w:line="216" w:lineRule="exact"/>
              <w:rPr>
                <w:sz w:val="20"/>
                <w:szCs w:val="20"/>
                <w:color w:val="auto"/>
              </w:rPr>
            </w:pPr>
            <w:r>
              <w:rPr>
                <w:rFonts w:ascii="Arial" w:cs="Arial" w:eastAsia="Arial" w:hAnsi="Arial"/>
                <w:sz w:val="20"/>
                <w:szCs w:val="20"/>
                <w:color w:val="auto"/>
              </w:rPr>
              <w:t>1,302</w:t>
            </w:r>
          </w:p>
        </w:tc>
        <w:tc>
          <w:tcPr>
            <w:tcW w:w="320" w:type="dxa"/>
            <w:vAlign w:val="bottom"/>
          </w:tcPr>
          <w:p>
            <w:pPr>
              <w:spacing w:after="0"/>
              <w:rPr>
                <w:sz w:val="18"/>
                <w:szCs w:val="18"/>
                <w:color w:val="auto"/>
              </w:rPr>
            </w:pPr>
          </w:p>
        </w:tc>
        <w:tc>
          <w:tcPr>
            <w:tcW w:w="1820" w:type="dxa"/>
            <w:vAlign w:val="bottom"/>
          </w:tcPr>
          <w:p>
            <w:pPr>
              <w:jc w:val="right"/>
              <w:ind w:right="201"/>
              <w:spacing w:after="0" w:line="216" w:lineRule="exact"/>
              <w:rPr>
                <w:sz w:val="20"/>
                <w:szCs w:val="20"/>
                <w:color w:val="auto"/>
              </w:rPr>
            </w:pPr>
            <w:r>
              <w:rPr>
                <w:rFonts w:ascii="Arial" w:cs="Arial" w:eastAsia="Arial" w:hAnsi="Arial"/>
                <w:sz w:val="20"/>
                <w:szCs w:val="20"/>
                <w:color w:val="auto"/>
              </w:rPr>
              <w:t>723</w:t>
            </w:r>
          </w:p>
        </w:tc>
      </w:tr>
      <w:tr>
        <w:trPr>
          <w:trHeight w:val="216"/>
        </w:trPr>
        <w:tc>
          <w:tcPr>
            <w:tcW w:w="474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Inventories, net</w:t>
            </w:r>
          </w:p>
        </w:tc>
        <w:tc>
          <w:tcPr>
            <w:tcW w:w="2660" w:type="dxa"/>
            <w:vAlign w:val="bottom"/>
            <w:shd w:val="clear" w:color="auto" w:fill="CFF0FC"/>
          </w:tcPr>
          <w:p>
            <w:pPr>
              <w:spacing w:after="0"/>
              <w:rPr>
                <w:sz w:val="18"/>
                <w:szCs w:val="18"/>
                <w:color w:val="auto"/>
              </w:rPr>
            </w:pPr>
          </w:p>
        </w:tc>
        <w:tc>
          <w:tcPr>
            <w:tcW w:w="1700" w:type="dxa"/>
            <w:vAlign w:val="bottom"/>
            <w:shd w:val="clear" w:color="auto" w:fill="CFF0FC"/>
          </w:tcPr>
          <w:p>
            <w:pPr>
              <w:jc w:val="right"/>
              <w:ind w:right="41"/>
              <w:spacing w:after="0" w:line="216" w:lineRule="exact"/>
              <w:rPr>
                <w:sz w:val="20"/>
                <w:szCs w:val="20"/>
                <w:color w:val="auto"/>
              </w:rPr>
            </w:pPr>
            <w:r>
              <w:rPr>
                <w:rFonts w:ascii="Arial" w:cs="Arial" w:eastAsia="Arial" w:hAnsi="Arial"/>
                <w:sz w:val="20"/>
                <w:szCs w:val="20"/>
                <w:color w:val="auto"/>
              </w:rPr>
              <w:t>1,243</w:t>
            </w:r>
          </w:p>
        </w:tc>
        <w:tc>
          <w:tcPr>
            <w:tcW w:w="320" w:type="dxa"/>
            <w:vAlign w:val="bottom"/>
            <w:shd w:val="clear" w:color="auto" w:fill="CFF0FC"/>
          </w:tcPr>
          <w:p>
            <w:pPr>
              <w:spacing w:after="0"/>
              <w:rPr>
                <w:sz w:val="18"/>
                <w:szCs w:val="18"/>
                <w:color w:val="auto"/>
              </w:rPr>
            </w:pPr>
          </w:p>
        </w:tc>
        <w:tc>
          <w:tcPr>
            <w:tcW w:w="1820" w:type="dxa"/>
            <w:vAlign w:val="bottom"/>
            <w:shd w:val="clear" w:color="auto" w:fill="CFF0FC"/>
          </w:tcPr>
          <w:p>
            <w:pPr>
              <w:jc w:val="right"/>
              <w:ind w:right="201"/>
              <w:spacing w:after="0" w:line="216" w:lineRule="exact"/>
              <w:rPr>
                <w:sz w:val="20"/>
                <w:szCs w:val="20"/>
                <w:color w:val="auto"/>
              </w:rPr>
            </w:pPr>
            <w:r>
              <w:rPr>
                <w:rFonts w:ascii="Arial" w:cs="Arial" w:eastAsia="Arial" w:hAnsi="Arial"/>
                <w:sz w:val="20"/>
                <w:szCs w:val="20"/>
                <w:color w:val="auto"/>
              </w:rPr>
              <w:t>1,078</w:t>
            </w:r>
          </w:p>
        </w:tc>
      </w:tr>
      <w:tr>
        <w:trPr>
          <w:trHeight w:val="216"/>
        </w:trPr>
        <w:tc>
          <w:tcPr>
            <w:tcW w:w="4740" w:type="dxa"/>
            <w:vAlign w:val="bottom"/>
          </w:tcPr>
          <w:p>
            <w:pPr>
              <w:spacing w:after="0" w:line="216" w:lineRule="exact"/>
              <w:rPr>
                <w:sz w:val="20"/>
                <w:szCs w:val="20"/>
                <w:color w:val="auto"/>
              </w:rPr>
            </w:pPr>
            <w:r>
              <w:rPr>
                <w:rFonts w:ascii="Arial" w:cs="Arial" w:eastAsia="Arial" w:hAnsi="Arial"/>
                <w:sz w:val="20"/>
                <w:szCs w:val="20"/>
                <w:color w:val="auto"/>
              </w:rPr>
              <w:t>Other current assets</w:t>
            </w:r>
          </w:p>
        </w:tc>
        <w:tc>
          <w:tcPr>
            <w:tcW w:w="2660" w:type="dxa"/>
            <w:vAlign w:val="bottom"/>
          </w:tcPr>
          <w:p>
            <w:pPr>
              <w:spacing w:after="0"/>
              <w:rPr>
                <w:sz w:val="18"/>
                <w:szCs w:val="18"/>
                <w:color w:val="auto"/>
              </w:rPr>
            </w:pPr>
          </w:p>
        </w:tc>
        <w:tc>
          <w:tcPr>
            <w:tcW w:w="1700" w:type="dxa"/>
            <w:vAlign w:val="bottom"/>
          </w:tcPr>
          <w:p>
            <w:pPr>
              <w:jc w:val="right"/>
              <w:ind w:right="41"/>
              <w:spacing w:after="0" w:line="216" w:lineRule="exact"/>
              <w:rPr>
                <w:sz w:val="20"/>
                <w:szCs w:val="20"/>
                <w:color w:val="auto"/>
              </w:rPr>
            </w:pPr>
            <w:r>
              <w:rPr>
                <w:rFonts w:ascii="Arial" w:cs="Arial" w:eastAsia="Arial" w:hAnsi="Arial"/>
                <w:sz w:val="20"/>
                <w:szCs w:val="20"/>
                <w:color w:val="auto"/>
              </w:rPr>
              <w:t>116</w:t>
            </w:r>
          </w:p>
        </w:tc>
        <w:tc>
          <w:tcPr>
            <w:tcW w:w="320" w:type="dxa"/>
            <w:vAlign w:val="bottom"/>
          </w:tcPr>
          <w:p>
            <w:pPr>
              <w:spacing w:after="0"/>
              <w:rPr>
                <w:sz w:val="18"/>
                <w:szCs w:val="18"/>
                <w:color w:val="auto"/>
              </w:rPr>
            </w:pPr>
          </w:p>
        </w:tc>
        <w:tc>
          <w:tcPr>
            <w:tcW w:w="1820" w:type="dxa"/>
            <w:vAlign w:val="bottom"/>
          </w:tcPr>
          <w:p>
            <w:pPr>
              <w:jc w:val="right"/>
              <w:ind w:right="201"/>
              <w:spacing w:after="0" w:line="216" w:lineRule="exact"/>
              <w:rPr>
                <w:sz w:val="20"/>
                <w:szCs w:val="20"/>
                <w:color w:val="auto"/>
              </w:rPr>
            </w:pPr>
            <w:r>
              <w:rPr>
                <w:rFonts w:ascii="Arial" w:cs="Arial" w:eastAsia="Arial" w:hAnsi="Arial"/>
                <w:sz w:val="20"/>
                <w:szCs w:val="20"/>
                <w:color w:val="auto"/>
              </w:rPr>
              <w:t>95</w:t>
            </w:r>
          </w:p>
        </w:tc>
      </w:tr>
      <w:tr>
        <w:trPr>
          <w:trHeight w:val="216"/>
        </w:trPr>
        <w:tc>
          <w:tcPr>
            <w:tcW w:w="474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Current assets held for sale</w:t>
            </w:r>
          </w:p>
        </w:tc>
        <w:tc>
          <w:tcPr>
            <w:tcW w:w="2660" w:type="dxa"/>
            <w:vAlign w:val="bottom"/>
            <w:shd w:val="clear" w:color="auto" w:fill="CFF0FC"/>
          </w:tcPr>
          <w:p>
            <w:pPr>
              <w:spacing w:after="0"/>
              <w:rPr>
                <w:sz w:val="18"/>
                <w:szCs w:val="18"/>
                <w:color w:val="auto"/>
              </w:rPr>
            </w:pPr>
          </w:p>
        </w:tc>
        <w:tc>
          <w:tcPr>
            <w:tcW w:w="1700" w:type="dxa"/>
            <w:vAlign w:val="bottom"/>
            <w:shd w:val="clear" w:color="auto" w:fill="CFF0FC"/>
          </w:tcPr>
          <w:p>
            <w:pPr>
              <w:jc w:val="right"/>
              <w:ind w:right="41"/>
              <w:spacing w:after="0" w:line="216" w:lineRule="exact"/>
              <w:rPr>
                <w:sz w:val="20"/>
                <w:szCs w:val="20"/>
                <w:color w:val="auto"/>
              </w:rPr>
            </w:pPr>
            <w:r>
              <w:rPr>
                <w:rFonts w:ascii="Arial" w:cs="Arial" w:eastAsia="Arial" w:hAnsi="Arial"/>
                <w:sz w:val="20"/>
                <w:szCs w:val="20"/>
                <w:color w:val="auto"/>
              </w:rPr>
              <w:t>3</w:t>
            </w:r>
          </w:p>
        </w:tc>
        <w:tc>
          <w:tcPr>
            <w:tcW w:w="320" w:type="dxa"/>
            <w:vAlign w:val="bottom"/>
            <w:shd w:val="clear" w:color="auto" w:fill="CFF0FC"/>
          </w:tcPr>
          <w:p>
            <w:pPr>
              <w:spacing w:after="0"/>
              <w:rPr>
                <w:sz w:val="18"/>
                <w:szCs w:val="18"/>
                <w:color w:val="auto"/>
              </w:rPr>
            </w:pPr>
          </w:p>
        </w:tc>
        <w:tc>
          <w:tcPr>
            <w:tcW w:w="1820" w:type="dxa"/>
            <w:vAlign w:val="bottom"/>
            <w:shd w:val="clear" w:color="auto" w:fill="CFF0FC"/>
          </w:tcPr>
          <w:p>
            <w:pPr>
              <w:jc w:val="right"/>
              <w:ind w:right="201"/>
              <w:spacing w:after="0" w:line="216" w:lineRule="exact"/>
              <w:rPr>
                <w:sz w:val="20"/>
                <w:szCs w:val="20"/>
                <w:color w:val="auto"/>
              </w:rPr>
            </w:pPr>
            <w:r>
              <w:rPr>
                <w:rFonts w:ascii="Arial" w:cs="Arial" w:eastAsia="Arial" w:hAnsi="Arial"/>
                <w:sz w:val="20"/>
                <w:szCs w:val="20"/>
                <w:color w:val="auto"/>
              </w:rPr>
              <w:t>1,230</w:t>
            </w:r>
          </w:p>
        </w:tc>
      </w:tr>
      <w:tr>
        <w:trPr>
          <w:trHeight w:val="216"/>
        </w:trPr>
        <w:tc>
          <w:tcPr>
            <w:tcW w:w="4740" w:type="dxa"/>
            <w:vAlign w:val="bottom"/>
          </w:tcPr>
          <w:p>
            <w:pPr>
              <w:spacing w:after="0" w:line="216" w:lineRule="exact"/>
              <w:rPr>
                <w:sz w:val="20"/>
                <w:szCs w:val="20"/>
                <w:color w:val="auto"/>
              </w:rPr>
            </w:pPr>
            <w:r>
              <w:rPr>
                <w:rFonts w:ascii="Arial" w:cs="Arial" w:eastAsia="Arial" w:hAnsi="Arial"/>
                <w:sz w:val="20"/>
                <w:szCs w:val="20"/>
                <w:color w:val="auto"/>
              </w:rPr>
              <w:t>Property, plant and equipment, net</w:t>
            </w:r>
          </w:p>
        </w:tc>
        <w:tc>
          <w:tcPr>
            <w:tcW w:w="2660" w:type="dxa"/>
            <w:vAlign w:val="bottom"/>
          </w:tcPr>
          <w:p>
            <w:pPr>
              <w:spacing w:after="0"/>
              <w:rPr>
                <w:sz w:val="18"/>
                <w:szCs w:val="18"/>
                <w:color w:val="auto"/>
              </w:rPr>
            </w:pPr>
          </w:p>
        </w:tc>
        <w:tc>
          <w:tcPr>
            <w:tcW w:w="1700" w:type="dxa"/>
            <w:vAlign w:val="bottom"/>
          </w:tcPr>
          <w:p>
            <w:pPr>
              <w:jc w:val="right"/>
              <w:ind w:right="41"/>
              <w:spacing w:after="0" w:line="216" w:lineRule="exact"/>
              <w:rPr>
                <w:sz w:val="20"/>
                <w:szCs w:val="20"/>
                <w:color w:val="auto"/>
              </w:rPr>
            </w:pPr>
            <w:r>
              <w:rPr>
                <w:rFonts w:ascii="Arial" w:cs="Arial" w:eastAsia="Arial" w:hAnsi="Arial"/>
                <w:sz w:val="20"/>
                <w:szCs w:val="20"/>
                <w:color w:val="auto"/>
              </w:rPr>
              <w:t>18,072</w:t>
            </w:r>
          </w:p>
        </w:tc>
        <w:tc>
          <w:tcPr>
            <w:tcW w:w="320" w:type="dxa"/>
            <w:vAlign w:val="bottom"/>
          </w:tcPr>
          <w:p>
            <w:pPr>
              <w:spacing w:after="0"/>
              <w:rPr>
                <w:sz w:val="18"/>
                <w:szCs w:val="18"/>
                <w:color w:val="auto"/>
              </w:rPr>
            </w:pPr>
          </w:p>
        </w:tc>
        <w:tc>
          <w:tcPr>
            <w:tcW w:w="1820" w:type="dxa"/>
            <w:vAlign w:val="bottom"/>
          </w:tcPr>
          <w:p>
            <w:pPr>
              <w:jc w:val="right"/>
              <w:ind w:right="201"/>
              <w:spacing w:after="0" w:line="216" w:lineRule="exact"/>
              <w:rPr>
                <w:sz w:val="20"/>
                <w:szCs w:val="20"/>
                <w:color w:val="auto"/>
              </w:rPr>
            </w:pPr>
            <w:r>
              <w:rPr>
                <w:rFonts w:ascii="Arial" w:cs="Arial" w:eastAsia="Arial" w:hAnsi="Arial"/>
                <w:sz w:val="20"/>
                <w:szCs w:val="20"/>
                <w:color w:val="auto"/>
              </w:rPr>
              <w:t>10,290</w:t>
            </w:r>
          </w:p>
        </w:tc>
      </w:tr>
      <w:tr>
        <w:trPr>
          <w:trHeight w:val="216"/>
        </w:trPr>
        <w:tc>
          <w:tcPr>
            <w:tcW w:w="474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Intangible assets, net</w:t>
            </w:r>
          </w:p>
        </w:tc>
        <w:tc>
          <w:tcPr>
            <w:tcW w:w="2660" w:type="dxa"/>
            <w:vAlign w:val="bottom"/>
            <w:shd w:val="clear" w:color="auto" w:fill="CFF0FC"/>
          </w:tcPr>
          <w:p>
            <w:pPr>
              <w:spacing w:after="0"/>
              <w:rPr>
                <w:sz w:val="18"/>
                <w:szCs w:val="18"/>
                <w:color w:val="auto"/>
              </w:rPr>
            </w:pPr>
          </w:p>
        </w:tc>
        <w:tc>
          <w:tcPr>
            <w:tcW w:w="1700" w:type="dxa"/>
            <w:vAlign w:val="bottom"/>
            <w:shd w:val="clear" w:color="auto" w:fill="CFF0FC"/>
          </w:tcPr>
          <w:p>
            <w:pPr>
              <w:jc w:val="right"/>
              <w:ind w:right="41"/>
              <w:spacing w:after="0" w:line="216" w:lineRule="exact"/>
              <w:rPr>
                <w:sz w:val="20"/>
                <w:szCs w:val="20"/>
                <w:color w:val="auto"/>
              </w:rPr>
            </w:pPr>
            <w:r>
              <w:rPr>
                <w:rFonts w:ascii="Arial" w:cs="Arial" w:eastAsia="Arial" w:hAnsi="Arial"/>
                <w:sz w:val="20"/>
                <w:szCs w:val="20"/>
                <w:color w:val="auto"/>
              </w:rPr>
              <w:t>14,912</w:t>
            </w:r>
          </w:p>
        </w:tc>
        <w:tc>
          <w:tcPr>
            <w:tcW w:w="320" w:type="dxa"/>
            <w:vAlign w:val="bottom"/>
            <w:shd w:val="clear" w:color="auto" w:fill="CFF0FC"/>
          </w:tcPr>
          <w:p>
            <w:pPr>
              <w:spacing w:after="0"/>
              <w:rPr>
                <w:sz w:val="18"/>
                <w:szCs w:val="18"/>
                <w:color w:val="auto"/>
              </w:rPr>
            </w:pPr>
          </w:p>
        </w:tc>
        <w:tc>
          <w:tcPr>
            <w:tcW w:w="1820" w:type="dxa"/>
            <w:vAlign w:val="bottom"/>
            <w:shd w:val="clear" w:color="auto" w:fill="CFF0FC"/>
          </w:tcPr>
          <w:p>
            <w:pPr>
              <w:jc w:val="right"/>
              <w:ind w:right="201"/>
              <w:spacing w:after="0" w:line="216" w:lineRule="exact"/>
              <w:rPr>
                <w:sz w:val="20"/>
                <w:szCs w:val="20"/>
                <w:color w:val="auto"/>
              </w:rPr>
            </w:pPr>
            <w:r>
              <w:rPr>
                <w:rFonts w:ascii="Arial" w:cs="Arial" w:eastAsia="Arial" w:hAnsi="Arial"/>
                <w:sz w:val="20"/>
                <w:szCs w:val="20"/>
                <w:color w:val="auto"/>
              </w:rPr>
              <w:t>4,073</w:t>
            </w:r>
          </w:p>
        </w:tc>
      </w:tr>
      <w:tr>
        <w:trPr>
          <w:trHeight w:val="216"/>
        </w:trPr>
        <w:tc>
          <w:tcPr>
            <w:tcW w:w="4740" w:type="dxa"/>
            <w:vAlign w:val="bottom"/>
          </w:tcPr>
          <w:p>
            <w:pPr>
              <w:spacing w:after="0" w:line="216" w:lineRule="exact"/>
              <w:rPr>
                <w:sz w:val="20"/>
                <w:szCs w:val="20"/>
                <w:color w:val="auto"/>
              </w:rPr>
            </w:pPr>
            <w:r>
              <w:rPr>
                <w:rFonts w:ascii="Arial" w:cs="Arial" w:eastAsia="Arial" w:hAnsi="Arial"/>
                <w:sz w:val="20"/>
                <w:szCs w:val="20"/>
                <w:color w:val="auto"/>
              </w:rPr>
              <w:t>Operating lease right-of-use assets, net</w:t>
            </w:r>
          </w:p>
        </w:tc>
        <w:tc>
          <w:tcPr>
            <w:tcW w:w="2660" w:type="dxa"/>
            <w:vAlign w:val="bottom"/>
          </w:tcPr>
          <w:p>
            <w:pPr>
              <w:spacing w:after="0"/>
              <w:rPr>
                <w:sz w:val="18"/>
                <w:szCs w:val="18"/>
                <w:color w:val="auto"/>
              </w:rPr>
            </w:pPr>
          </w:p>
        </w:tc>
        <w:tc>
          <w:tcPr>
            <w:tcW w:w="1700" w:type="dxa"/>
            <w:vAlign w:val="bottom"/>
          </w:tcPr>
          <w:p>
            <w:pPr>
              <w:jc w:val="right"/>
              <w:ind w:right="41"/>
              <w:spacing w:after="0" w:line="216" w:lineRule="exact"/>
              <w:rPr>
                <w:sz w:val="20"/>
                <w:szCs w:val="20"/>
                <w:color w:val="auto"/>
              </w:rPr>
            </w:pPr>
            <w:r>
              <w:rPr>
                <w:rFonts w:ascii="Arial" w:cs="Arial" w:eastAsia="Arial" w:hAnsi="Arial"/>
                <w:sz w:val="20"/>
                <w:szCs w:val="20"/>
                <w:color w:val="auto"/>
              </w:rPr>
              <w:t>412</w:t>
            </w:r>
          </w:p>
        </w:tc>
        <w:tc>
          <w:tcPr>
            <w:tcW w:w="320" w:type="dxa"/>
            <w:vAlign w:val="bottom"/>
          </w:tcPr>
          <w:p>
            <w:pPr>
              <w:spacing w:after="0"/>
              <w:rPr>
                <w:sz w:val="18"/>
                <w:szCs w:val="18"/>
                <w:color w:val="auto"/>
              </w:rPr>
            </w:pPr>
          </w:p>
        </w:tc>
        <w:tc>
          <w:tcPr>
            <w:tcW w:w="1820" w:type="dxa"/>
            <w:vAlign w:val="bottom"/>
          </w:tcPr>
          <w:p>
            <w:pPr>
              <w:jc w:val="right"/>
              <w:ind w:right="201"/>
              <w:spacing w:after="0" w:line="216" w:lineRule="exact"/>
              <w:rPr>
                <w:sz w:val="20"/>
                <w:szCs w:val="20"/>
                <w:color w:val="auto"/>
              </w:rPr>
            </w:pPr>
            <w:r>
              <w:rPr>
                <w:rFonts w:ascii="Arial" w:cs="Arial" w:eastAsia="Arial" w:hAnsi="Arial"/>
                <w:sz w:val="20"/>
                <w:szCs w:val="20"/>
                <w:color w:val="auto"/>
              </w:rPr>
              <w:t>367</w:t>
            </w:r>
          </w:p>
        </w:tc>
      </w:tr>
      <w:tr>
        <w:trPr>
          <w:trHeight w:val="216"/>
        </w:trPr>
        <w:tc>
          <w:tcPr>
            <w:tcW w:w="4740" w:type="dxa"/>
            <w:vAlign w:val="bottom"/>
            <w:tcBorders>
              <w:bottom w:val="single" w:sz="8" w:color="auto"/>
            </w:tcBorders>
            <w:shd w:val="clear" w:color="auto" w:fill="CFF0FC"/>
          </w:tcPr>
          <w:p>
            <w:pPr>
              <w:spacing w:after="0" w:line="216" w:lineRule="exact"/>
              <w:rPr>
                <w:sz w:val="20"/>
                <w:szCs w:val="20"/>
                <w:color w:val="auto"/>
              </w:rPr>
            </w:pPr>
            <w:r>
              <w:rPr>
                <w:rFonts w:ascii="Arial" w:cs="Arial" w:eastAsia="Arial" w:hAnsi="Arial"/>
                <w:sz w:val="20"/>
                <w:szCs w:val="20"/>
                <w:color w:val="auto"/>
              </w:rPr>
              <w:t>Other noncurrent assets</w:t>
            </w:r>
          </w:p>
        </w:tc>
        <w:tc>
          <w:tcPr>
            <w:tcW w:w="2660" w:type="dxa"/>
            <w:vAlign w:val="bottom"/>
            <w:tcBorders>
              <w:bottom w:val="single" w:sz="8" w:color="auto"/>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ind w:right="41"/>
              <w:spacing w:after="0" w:line="216" w:lineRule="exact"/>
              <w:rPr>
                <w:sz w:val="20"/>
                <w:szCs w:val="20"/>
                <w:color w:val="auto"/>
              </w:rPr>
            </w:pPr>
            <w:r>
              <w:rPr>
                <w:rFonts w:ascii="Arial" w:cs="Arial" w:eastAsia="Arial" w:hAnsi="Arial"/>
                <w:sz w:val="20"/>
                <w:szCs w:val="20"/>
                <w:color w:val="auto"/>
              </w:rPr>
              <w:t>873</w:t>
            </w:r>
          </w:p>
        </w:tc>
        <w:tc>
          <w:tcPr>
            <w:tcW w:w="320" w:type="dxa"/>
            <w:vAlign w:val="bottom"/>
            <w:tcBorders>
              <w:bottom w:val="single" w:sz="8" w:color="auto"/>
            </w:tcBorders>
            <w:shd w:val="clear" w:color="auto" w:fill="CFF0FC"/>
          </w:tcPr>
          <w:p>
            <w:pPr>
              <w:spacing w:after="0"/>
              <w:rPr>
                <w:sz w:val="18"/>
                <w:szCs w:val="18"/>
                <w:color w:val="auto"/>
              </w:rPr>
            </w:pPr>
          </w:p>
        </w:tc>
        <w:tc>
          <w:tcPr>
            <w:tcW w:w="1820" w:type="dxa"/>
            <w:vAlign w:val="bottom"/>
            <w:tcBorders>
              <w:bottom w:val="single" w:sz="8" w:color="auto"/>
            </w:tcBorders>
            <w:shd w:val="clear" w:color="auto" w:fill="CFF0FC"/>
          </w:tcPr>
          <w:p>
            <w:pPr>
              <w:jc w:val="right"/>
              <w:ind w:right="201"/>
              <w:spacing w:after="0" w:line="216" w:lineRule="exact"/>
              <w:rPr>
                <w:sz w:val="20"/>
                <w:szCs w:val="20"/>
                <w:color w:val="auto"/>
              </w:rPr>
            </w:pPr>
            <w:r>
              <w:rPr>
                <w:rFonts w:ascii="Arial" w:cs="Arial" w:eastAsia="Arial" w:hAnsi="Arial"/>
                <w:sz w:val="20"/>
                <w:szCs w:val="20"/>
                <w:color w:val="auto"/>
              </w:rPr>
              <w:t>788</w:t>
            </w:r>
          </w:p>
        </w:tc>
      </w:tr>
      <w:tr>
        <w:trPr>
          <w:trHeight w:val="210"/>
        </w:trPr>
        <w:tc>
          <w:tcPr>
            <w:tcW w:w="4740" w:type="dxa"/>
            <w:vAlign w:val="bottom"/>
            <w:tcBorders>
              <w:bottom w:val="single" w:sz="8" w:color="auto"/>
            </w:tcBorders>
          </w:tcPr>
          <w:p>
            <w:pPr>
              <w:spacing w:after="0" w:line="209" w:lineRule="exact"/>
              <w:rPr>
                <w:sz w:val="20"/>
                <w:szCs w:val="20"/>
                <w:color w:val="auto"/>
              </w:rPr>
            </w:pPr>
            <w:r>
              <w:rPr>
                <w:rFonts w:ascii="Arial" w:cs="Arial" w:eastAsia="Arial" w:hAnsi="Arial"/>
                <w:sz w:val="20"/>
                <w:szCs w:val="20"/>
                <w:b w:val="1"/>
                <w:bCs w:val="1"/>
                <w:color w:val="auto"/>
              </w:rPr>
              <w:t>Total Assets</w:t>
            </w:r>
          </w:p>
        </w:tc>
        <w:tc>
          <w:tcPr>
            <w:tcW w:w="266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w:t>
            </w:r>
          </w:p>
        </w:tc>
        <w:tc>
          <w:tcPr>
            <w:tcW w:w="1700" w:type="dxa"/>
            <w:vAlign w:val="bottom"/>
            <w:tcBorders>
              <w:bottom w:val="single" w:sz="8" w:color="auto"/>
            </w:tcBorders>
          </w:tcPr>
          <w:p>
            <w:pPr>
              <w:jc w:val="right"/>
              <w:ind w:right="41"/>
              <w:spacing w:after="0" w:line="209" w:lineRule="exact"/>
              <w:rPr>
                <w:sz w:val="20"/>
                <w:szCs w:val="20"/>
                <w:color w:val="auto"/>
              </w:rPr>
            </w:pPr>
            <w:r>
              <w:rPr>
                <w:rFonts w:ascii="Arial" w:cs="Arial" w:eastAsia="Arial" w:hAnsi="Arial"/>
                <w:sz w:val="20"/>
                <w:szCs w:val="20"/>
                <w:color w:val="auto"/>
              </w:rPr>
              <w:t>37,085</w:t>
            </w:r>
          </w:p>
        </w:tc>
        <w:tc>
          <w:tcPr>
            <w:tcW w:w="32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w:t>
            </w:r>
          </w:p>
        </w:tc>
        <w:tc>
          <w:tcPr>
            <w:tcW w:w="1820" w:type="dxa"/>
            <w:vAlign w:val="bottom"/>
            <w:tcBorders>
              <w:bottom w:val="single" w:sz="8" w:color="auto"/>
            </w:tcBorders>
          </w:tcPr>
          <w:p>
            <w:pPr>
              <w:jc w:val="right"/>
              <w:ind w:right="201"/>
              <w:spacing w:after="0" w:line="209" w:lineRule="exact"/>
              <w:rPr>
                <w:sz w:val="20"/>
                <w:szCs w:val="20"/>
                <w:color w:val="auto"/>
              </w:rPr>
            </w:pPr>
            <w:r>
              <w:rPr>
                <w:rFonts w:ascii="Arial" w:cs="Arial" w:eastAsia="Arial" w:hAnsi="Arial"/>
                <w:sz w:val="20"/>
                <w:szCs w:val="20"/>
                <w:color w:val="auto"/>
              </w:rPr>
              <w:t>18,711</w:t>
            </w:r>
          </w:p>
        </w:tc>
      </w:tr>
      <w:tr>
        <w:trPr>
          <w:trHeight w:val="20"/>
        </w:trPr>
        <w:tc>
          <w:tcPr>
            <w:tcW w:w="474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197"/>
        </w:trPr>
        <w:tc>
          <w:tcPr>
            <w:tcW w:w="4740" w:type="dxa"/>
            <w:vAlign w:val="bottom"/>
            <w:shd w:val="clear" w:color="auto" w:fill="CFF0FC"/>
          </w:tcPr>
          <w:p>
            <w:pPr>
              <w:spacing w:after="0"/>
              <w:rPr>
                <w:sz w:val="17"/>
                <w:szCs w:val="17"/>
                <w:color w:val="auto"/>
              </w:rPr>
            </w:pPr>
          </w:p>
        </w:tc>
        <w:tc>
          <w:tcPr>
            <w:tcW w:w="2660" w:type="dxa"/>
            <w:vAlign w:val="bottom"/>
            <w:shd w:val="clear" w:color="auto" w:fill="CFF0FC"/>
          </w:tcPr>
          <w:p>
            <w:pPr>
              <w:spacing w:after="0"/>
              <w:rPr>
                <w:sz w:val="17"/>
                <w:szCs w:val="17"/>
                <w:color w:val="auto"/>
              </w:rPr>
            </w:pPr>
          </w:p>
        </w:tc>
        <w:tc>
          <w:tcPr>
            <w:tcW w:w="17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820" w:type="dxa"/>
            <w:vAlign w:val="bottom"/>
            <w:shd w:val="clear" w:color="auto" w:fill="CFF0FC"/>
          </w:tcPr>
          <w:p>
            <w:pPr>
              <w:spacing w:after="0"/>
              <w:rPr>
                <w:sz w:val="17"/>
                <w:szCs w:val="17"/>
                <w:color w:val="auto"/>
              </w:rPr>
            </w:pPr>
          </w:p>
        </w:tc>
      </w:tr>
      <w:tr>
        <w:trPr>
          <w:trHeight w:val="216"/>
        </w:trPr>
        <w:tc>
          <w:tcPr>
            <w:tcW w:w="4740" w:type="dxa"/>
            <w:vAlign w:val="bottom"/>
            <w:tcBorders>
              <w:bottom w:val="single" w:sz="8" w:color="auto"/>
            </w:tcBorders>
          </w:tcPr>
          <w:p>
            <w:pPr>
              <w:spacing w:after="0" w:line="216" w:lineRule="exact"/>
              <w:rPr>
                <w:sz w:val="20"/>
                <w:szCs w:val="20"/>
                <w:color w:val="auto"/>
              </w:rPr>
            </w:pPr>
            <w:r>
              <w:rPr>
                <w:rFonts w:ascii="Arial" w:cs="Arial" w:eastAsia="Arial" w:hAnsi="Arial"/>
                <w:sz w:val="20"/>
                <w:szCs w:val="20"/>
                <w:b w:val="1"/>
                <w:bCs w:val="1"/>
                <w:color w:val="auto"/>
              </w:rPr>
              <w:t>Liabilities and Equity</w:t>
            </w:r>
          </w:p>
        </w:tc>
        <w:tc>
          <w:tcPr>
            <w:tcW w:w="26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r>
      <w:tr>
        <w:trPr>
          <w:trHeight w:val="209"/>
        </w:trPr>
        <w:tc>
          <w:tcPr>
            <w:tcW w:w="4740" w:type="dxa"/>
            <w:vAlign w:val="bottom"/>
            <w:shd w:val="clear" w:color="auto" w:fill="CFF0FC"/>
          </w:tcPr>
          <w:p>
            <w:pPr>
              <w:spacing w:after="0" w:line="209" w:lineRule="exact"/>
              <w:rPr>
                <w:sz w:val="20"/>
                <w:szCs w:val="20"/>
                <w:color w:val="auto"/>
              </w:rPr>
            </w:pPr>
            <w:r>
              <w:rPr>
                <w:rFonts w:ascii="Arial" w:cs="Arial" w:eastAsia="Arial" w:hAnsi="Arial"/>
                <w:sz w:val="20"/>
                <w:szCs w:val="20"/>
                <w:color w:val="auto"/>
              </w:rPr>
              <w:t>Current maturities of long-term debt</w:t>
            </w:r>
          </w:p>
        </w:tc>
        <w:tc>
          <w:tcPr>
            <w:tcW w:w="2660" w:type="dxa"/>
            <w:vAlign w:val="bottom"/>
            <w:shd w:val="clear" w:color="auto" w:fill="CFF0FC"/>
          </w:tcPr>
          <w:p>
            <w:pPr>
              <w:jc w:val="right"/>
              <w:spacing w:after="0" w:line="209" w:lineRule="exact"/>
              <w:rPr>
                <w:sz w:val="20"/>
                <w:szCs w:val="20"/>
                <w:color w:val="auto"/>
              </w:rPr>
            </w:pPr>
            <w:r>
              <w:rPr>
                <w:rFonts w:ascii="Arial" w:cs="Arial" w:eastAsia="Arial" w:hAnsi="Arial"/>
                <w:sz w:val="20"/>
                <w:szCs w:val="20"/>
                <w:color w:val="auto"/>
              </w:rPr>
              <w:t>$</w:t>
            </w:r>
          </w:p>
        </w:tc>
        <w:tc>
          <w:tcPr>
            <w:tcW w:w="1700" w:type="dxa"/>
            <w:vAlign w:val="bottom"/>
            <w:shd w:val="clear" w:color="auto" w:fill="CFF0FC"/>
          </w:tcPr>
          <w:p>
            <w:pPr>
              <w:jc w:val="right"/>
              <w:ind w:right="41"/>
              <w:spacing w:after="0" w:line="209" w:lineRule="exact"/>
              <w:rPr>
                <w:sz w:val="20"/>
                <w:szCs w:val="20"/>
                <w:color w:val="auto"/>
              </w:rPr>
            </w:pPr>
            <w:r>
              <w:rPr>
                <w:rFonts w:ascii="Arial" w:cs="Arial" w:eastAsia="Arial" w:hAnsi="Arial"/>
                <w:sz w:val="20"/>
                <w:szCs w:val="20"/>
                <w:color w:val="auto"/>
              </w:rPr>
              <w:t>720</w:t>
            </w:r>
          </w:p>
        </w:tc>
        <w:tc>
          <w:tcPr>
            <w:tcW w:w="320" w:type="dxa"/>
            <w:vAlign w:val="bottom"/>
            <w:shd w:val="clear" w:color="auto" w:fill="CFF0FC"/>
          </w:tcPr>
          <w:p>
            <w:pPr>
              <w:jc w:val="right"/>
              <w:spacing w:after="0" w:line="209" w:lineRule="exact"/>
              <w:rPr>
                <w:sz w:val="20"/>
                <w:szCs w:val="20"/>
                <w:color w:val="auto"/>
              </w:rPr>
            </w:pPr>
            <w:r>
              <w:rPr>
                <w:rFonts w:ascii="Arial" w:cs="Arial" w:eastAsia="Arial" w:hAnsi="Arial"/>
                <w:sz w:val="20"/>
                <w:szCs w:val="20"/>
                <w:color w:val="auto"/>
              </w:rPr>
              <w:t>$</w:t>
            </w:r>
          </w:p>
        </w:tc>
        <w:tc>
          <w:tcPr>
            <w:tcW w:w="1820" w:type="dxa"/>
            <w:vAlign w:val="bottom"/>
            <w:shd w:val="clear" w:color="auto" w:fill="CFF0FC"/>
          </w:tcPr>
          <w:p>
            <w:pPr>
              <w:jc w:val="right"/>
              <w:ind w:right="201"/>
              <w:spacing w:after="0" w:line="209" w:lineRule="exact"/>
              <w:rPr>
                <w:sz w:val="20"/>
                <w:szCs w:val="20"/>
                <w:color w:val="auto"/>
              </w:rPr>
            </w:pPr>
            <w:r>
              <w:rPr>
                <w:rFonts w:ascii="Arial" w:cs="Arial" w:eastAsia="Arial" w:hAnsi="Arial"/>
                <w:sz w:val="20"/>
                <w:szCs w:val="20"/>
                <w:color w:val="auto"/>
              </w:rPr>
              <w:t>30</w:t>
            </w:r>
          </w:p>
        </w:tc>
      </w:tr>
      <w:tr>
        <w:trPr>
          <w:trHeight w:val="216"/>
        </w:trPr>
        <w:tc>
          <w:tcPr>
            <w:tcW w:w="4740" w:type="dxa"/>
            <w:vAlign w:val="bottom"/>
          </w:tcPr>
          <w:p>
            <w:pPr>
              <w:spacing w:after="0" w:line="216" w:lineRule="exact"/>
              <w:rPr>
                <w:sz w:val="20"/>
                <w:szCs w:val="20"/>
                <w:color w:val="auto"/>
              </w:rPr>
            </w:pPr>
            <w:r>
              <w:rPr>
                <w:rFonts w:ascii="Arial" w:cs="Arial" w:eastAsia="Arial" w:hAnsi="Arial"/>
                <w:sz w:val="20"/>
                <w:szCs w:val="20"/>
                <w:color w:val="auto"/>
              </w:rPr>
              <w:t>Other current liabilities</w:t>
            </w:r>
          </w:p>
        </w:tc>
        <w:tc>
          <w:tcPr>
            <w:tcW w:w="2660" w:type="dxa"/>
            <w:vAlign w:val="bottom"/>
          </w:tcPr>
          <w:p>
            <w:pPr>
              <w:spacing w:after="0"/>
              <w:rPr>
                <w:sz w:val="18"/>
                <w:szCs w:val="18"/>
                <w:color w:val="auto"/>
              </w:rPr>
            </w:pPr>
          </w:p>
        </w:tc>
        <w:tc>
          <w:tcPr>
            <w:tcW w:w="1700" w:type="dxa"/>
            <w:vAlign w:val="bottom"/>
          </w:tcPr>
          <w:p>
            <w:pPr>
              <w:jc w:val="right"/>
              <w:ind w:right="41"/>
              <w:spacing w:after="0" w:line="216" w:lineRule="exact"/>
              <w:rPr>
                <w:sz w:val="20"/>
                <w:szCs w:val="20"/>
                <w:color w:val="auto"/>
              </w:rPr>
            </w:pPr>
            <w:r>
              <w:rPr>
                <w:rFonts w:ascii="Arial" w:cs="Arial" w:eastAsia="Arial" w:hAnsi="Arial"/>
                <w:sz w:val="20"/>
                <w:szCs w:val="20"/>
                <w:color w:val="auto"/>
              </w:rPr>
              <w:t>1,010</w:t>
            </w:r>
          </w:p>
        </w:tc>
        <w:tc>
          <w:tcPr>
            <w:tcW w:w="320" w:type="dxa"/>
            <w:vAlign w:val="bottom"/>
          </w:tcPr>
          <w:p>
            <w:pPr>
              <w:spacing w:after="0"/>
              <w:rPr>
                <w:sz w:val="18"/>
                <w:szCs w:val="18"/>
                <w:color w:val="auto"/>
              </w:rPr>
            </w:pPr>
          </w:p>
        </w:tc>
        <w:tc>
          <w:tcPr>
            <w:tcW w:w="1820" w:type="dxa"/>
            <w:vAlign w:val="bottom"/>
          </w:tcPr>
          <w:p>
            <w:pPr>
              <w:jc w:val="right"/>
              <w:ind w:right="201"/>
              <w:spacing w:after="0" w:line="216" w:lineRule="exact"/>
              <w:rPr>
                <w:sz w:val="20"/>
                <w:szCs w:val="20"/>
                <w:color w:val="auto"/>
              </w:rPr>
            </w:pPr>
            <w:r>
              <w:rPr>
                <w:rFonts w:ascii="Arial" w:cs="Arial" w:eastAsia="Arial" w:hAnsi="Arial"/>
                <w:sz w:val="20"/>
                <w:szCs w:val="20"/>
                <w:color w:val="auto"/>
              </w:rPr>
              <w:t>865</w:t>
            </w:r>
          </w:p>
        </w:tc>
      </w:tr>
      <w:tr>
        <w:trPr>
          <w:trHeight w:val="216"/>
        </w:trPr>
        <w:tc>
          <w:tcPr>
            <w:tcW w:w="474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Long-term debt (excluding current maturities)</w:t>
            </w:r>
          </w:p>
        </w:tc>
        <w:tc>
          <w:tcPr>
            <w:tcW w:w="2660" w:type="dxa"/>
            <w:vAlign w:val="bottom"/>
            <w:shd w:val="clear" w:color="auto" w:fill="CFF0FC"/>
          </w:tcPr>
          <w:p>
            <w:pPr>
              <w:spacing w:after="0"/>
              <w:rPr>
                <w:sz w:val="18"/>
                <w:szCs w:val="18"/>
                <w:color w:val="auto"/>
              </w:rPr>
            </w:pPr>
          </w:p>
        </w:tc>
        <w:tc>
          <w:tcPr>
            <w:tcW w:w="1700" w:type="dxa"/>
            <w:vAlign w:val="bottom"/>
            <w:shd w:val="clear" w:color="auto" w:fill="CFF0FC"/>
          </w:tcPr>
          <w:p>
            <w:pPr>
              <w:jc w:val="right"/>
              <w:ind w:right="41"/>
              <w:spacing w:after="0" w:line="216" w:lineRule="exact"/>
              <w:rPr>
                <w:sz w:val="20"/>
                <w:szCs w:val="20"/>
                <w:color w:val="auto"/>
              </w:rPr>
            </w:pPr>
            <w:r>
              <w:rPr>
                <w:rFonts w:ascii="Arial" w:cs="Arial" w:eastAsia="Arial" w:hAnsi="Arial"/>
                <w:sz w:val="20"/>
                <w:szCs w:val="20"/>
                <w:color w:val="auto"/>
              </w:rPr>
              <w:t>12,103</w:t>
            </w:r>
          </w:p>
        </w:tc>
        <w:tc>
          <w:tcPr>
            <w:tcW w:w="320" w:type="dxa"/>
            <w:vAlign w:val="bottom"/>
            <w:shd w:val="clear" w:color="auto" w:fill="CFF0FC"/>
          </w:tcPr>
          <w:p>
            <w:pPr>
              <w:spacing w:after="0"/>
              <w:rPr>
                <w:sz w:val="18"/>
                <w:szCs w:val="18"/>
                <w:color w:val="auto"/>
              </w:rPr>
            </w:pPr>
          </w:p>
        </w:tc>
        <w:tc>
          <w:tcPr>
            <w:tcW w:w="1820" w:type="dxa"/>
            <w:vAlign w:val="bottom"/>
            <w:shd w:val="clear" w:color="auto" w:fill="CFF0FC"/>
          </w:tcPr>
          <w:p>
            <w:pPr>
              <w:jc w:val="right"/>
              <w:ind w:right="201"/>
              <w:spacing w:after="0" w:line="216" w:lineRule="exact"/>
              <w:rPr>
                <w:sz w:val="20"/>
                <w:szCs w:val="20"/>
                <w:color w:val="auto"/>
              </w:rPr>
            </w:pPr>
            <w:r>
              <w:rPr>
                <w:rFonts w:ascii="Arial" w:cs="Arial" w:eastAsia="Arial" w:hAnsi="Arial"/>
                <w:sz w:val="20"/>
                <w:szCs w:val="20"/>
                <w:color w:val="auto"/>
              </w:rPr>
              <w:t>5,293</w:t>
            </w:r>
          </w:p>
        </w:tc>
      </w:tr>
      <w:tr>
        <w:trPr>
          <w:trHeight w:val="216"/>
        </w:trPr>
        <w:tc>
          <w:tcPr>
            <w:tcW w:w="4740" w:type="dxa"/>
            <w:vAlign w:val="bottom"/>
          </w:tcPr>
          <w:p>
            <w:pPr>
              <w:spacing w:after="0" w:line="216" w:lineRule="exact"/>
              <w:rPr>
                <w:sz w:val="20"/>
                <w:szCs w:val="20"/>
                <w:color w:val="auto"/>
              </w:rPr>
            </w:pPr>
            <w:r>
              <w:rPr>
                <w:rFonts w:ascii="Arial" w:cs="Arial" w:eastAsia="Arial" w:hAnsi="Arial"/>
                <w:sz w:val="20"/>
                <w:szCs w:val="20"/>
                <w:color w:val="auto"/>
              </w:rPr>
              <w:t>Other noncurrent liabilities</w:t>
            </w:r>
          </w:p>
        </w:tc>
        <w:tc>
          <w:tcPr>
            <w:tcW w:w="2660" w:type="dxa"/>
            <w:vAlign w:val="bottom"/>
          </w:tcPr>
          <w:p>
            <w:pPr>
              <w:spacing w:after="0"/>
              <w:rPr>
                <w:sz w:val="18"/>
                <w:szCs w:val="18"/>
                <w:color w:val="auto"/>
              </w:rPr>
            </w:pPr>
          </w:p>
        </w:tc>
        <w:tc>
          <w:tcPr>
            <w:tcW w:w="1700" w:type="dxa"/>
            <w:vAlign w:val="bottom"/>
          </w:tcPr>
          <w:p>
            <w:pPr>
              <w:jc w:val="right"/>
              <w:ind w:right="41"/>
              <w:spacing w:after="0" w:line="216" w:lineRule="exact"/>
              <w:rPr>
                <w:sz w:val="20"/>
                <w:szCs w:val="20"/>
                <w:color w:val="auto"/>
              </w:rPr>
            </w:pPr>
            <w:r>
              <w:rPr>
                <w:rFonts w:ascii="Arial" w:cs="Arial" w:eastAsia="Arial" w:hAnsi="Arial"/>
                <w:sz w:val="20"/>
                <w:szCs w:val="20"/>
                <w:color w:val="auto"/>
              </w:rPr>
              <w:t>5,591</w:t>
            </w:r>
          </w:p>
        </w:tc>
        <w:tc>
          <w:tcPr>
            <w:tcW w:w="320" w:type="dxa"/>
            <w:vAlign w:val="bottom"/>
          </w:tcPr>
          <w:p>
            <w:pPr>
              <w:spacing w:after="0"/>
              <w:rPr>
                <w:sz w:val="18"/>
                <w:szCs w:val="18"/>
                <w:color w:val="auto"/>
              </w:rPr>
            </w:pPr>
          </w:p>
        </w:tc>
        <w:tc>
          <w:tcPr>
            <w:tcW w:w="1820" w:type="dxa"/>
            <w:vAlign w:val="bottom"/>
          </w:tcPr>
          <w:p>
            <w:pPr>
              <w:jc w:val="right"/>
              <w:ind w:right="201"/>
              <w:spacing w:after="0" w:line="216" w:lineRule="exact"/>
              <w:rPr>
                <w:sz w:val="20"/>
                <w:szCs w:val="20"/>
                <w:color w:val="auto"/>
              </w:rPr>
            </w:pPr>
            <w:r>
              <w:rPr>
                <w:rFonts w:ascii="Arial" w:cs="Arial" w:eastAsia="Arial" w:hAnsi="Arial"/>
                <w:sz w:val="20"/>
                <w:szCs w:val="20"/>
                <w:color w:val="auto"/>
              </w:rPr>
              <w:t>2,489</w:t>
            </w:r>
          </w:p>
        </w:tc>
      </w:tr>
      <w:tr>
        <w:trPr>
          <w:trHeight w:val="216"/>
        </w:trPr>
        <w:tc>
          <w:tcPr>
            <w:tcW w:w="4740" w:type="dxa"/>
            <w:vAlign w:val="bottom"/>
            <w:tcBorders>
              <w:bottom w:val="single" w:sz="8" w:color="auto"/>
            </w:tcBorders>
            <w:shd w:val="clear" w:color="auto" w:fill="CFF0FC"/>
          </w:tcPr>
          <w:p>
            <w:pPr>
              <w:spacing w:after="0" w:line="216" w:lineRule="exact"/>
              <w:rPr>
                <w:sz w:val="20"/>
                <w:szCs w:val="20"/>
                <w:color w:val="auto"/>
              </w:rPr>
            </w:pPr>
            <w:r>
              <w:rPr>
                <w:rFonts w:ascii="Arial" w:cs="Arial" w:eastAsia="Arial" w:hAnsi="Arial"/>
                <w:sz w:val="20"/>
                <w:szCs w:val="20"/>
                <w:color w:val="auto"/>
              </w:rPr>
              <w:t>Total equity</w:t>
            </w:r>
          </w:p>
        </w:tc>
        <w:tc>
          <w:tcPr>
            <w:tcW w:w="2660" w:type="dxa"/>
            <w:vAlign w:val="bottom"/>
            <w:tcBorders>
              <w:bottom w:val="single" w:sz="8" w:color="auto"/>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ind w:right="41"/>
              <w:spacing w:after="0" w:line="216" w:lineRule="exact"/>
              <w:rPr>
                <w:sz w:val="20"/>
                <w:szCs w:val="20"/>
                <w:color w:val="auto"/>
              </w:rPr>
            </w:pPr>
            <w:r>
              <w:rPr>
                <w:rFonts w:ascii="Arial" w:cs="Arial" w:eastAsia="Arial" w:hAnsi="Arial"/>
                <w:sz w:val="20"/>
                <w:szCs w:val="20"/>
                <w:color w:val="auto"/>
              </w:rPr>
              <w:t>17,661</w:t>
            </w:r>
          </w:p>
        </w:tc>
        <w:tc>
          <w:tcPr>
            <w:tcW w:w="320" w:type="dxa"/>
            <w:vAlign w:val="bottom"/>
            <w:tcBorders>
              <w:bottom w:val="single" w:sz="8" w:color="auto"/>
            </w:tcBorders>
            <w:shd w:val="clear" w:color="auto" w:fill="CFF0FC"/>
          </w:tcPr>
          <w:p>
            <w:pPr>
              <w:spacing w:after="0"/>
              <w:rPr>
                <w:sz w:val="18"/>
                <w:szCs w:val="18"/>
                <w:color w:val="auto"/>
              </w:rPr>
            </w:pPr>
          </w:p>
        </w:tc>
        <w:tc>
          <w:tcPr>
            <w:tcW w:w="1820" w:type="dxa"/>
            <w:vAlign w:val="bottom"/>
            <w:tcBorders>
              <w:bottom w:val="single" w:sz="8" w:color="auto"/>
            </w:tcBorders>
            <w:shd w:val="clear" w:color="auto" w:fill="CFF0FC"/>
          </w:tcPr>
          <w:p>
            <w:pPr>
              <w:jc w:val="right"/>
              <w:ind w:right="201"/>
              <w:spacing w:after="0" w:line="216" w:lineRule="exact"/>
              <w:rPr>
                <w:sz w:val="20"/>
                <w:szCs w:val="20"/>
                <w:color w:val="auto"/>
              </w:rPr>
            </w:pPr>
            <w:r>
              <w:rPr>
                <w:rFonts w:ascii="Arial" w:cs="Arial" w:eastAsia="Arial" w:hAnsi="Arial"/>
                <w:sz w:val="20"/>
                <w:szCs w:val="20"/>
                <w:color w:val="auto"/>
              </w:rPr>
              <w:t>10,034</w:t>
            </w:r>
          </w:p>
        </w:tc>
      </w:tr>
      <w:tr>
        <w:trPr>
          <w:trHeight w:val="209"/>
        </w:trPr>
        <w:tc>
          <w:tcPr>
            <w:tcW w:w="4740" w:type="dxa"/>
            <w:vAlign w:val="bottom"/>
            <w:tcBorders>
              <w:bottom w:val="single" w:sz="8" w:color="auto"/>
            </w:tcBorders>
          </w:tcPr>
          <w:p>
            <w:pPr>
              <w:spacing w:after="0" w:line="209" w:lineRule="exact"/>
              <w:rPr>
                <w:sz w:val="20"/>
                <w:szCs w:val="20"/>
                <w:color w:val="auto"/>
              </w:rPr>
            </w:pPr>
            <w:r>
              <w:rPr>
                <w:rFonts w:ascii="Arial" w:cs="Arial" w:eastAsia="Arial" w:hAnsi="Arial"/>
                <w:sz w:val="20"/>
                <w:szCs w:val="20"/>
                <w:b w:val="1"/>
                <w:bCs w:val="1"/>
                <w:color w:val="auto"/>
              </w:rPr>
              <w:t>Total Liabilities and Equity</w:t>
            </w:r>
          </w:p>
        </w:tc>
        <w:tc>
          <w:tcPr>
            <w:tcW w:w="266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w:t>
            </w:r>
          </w:p>
        </w:tc>
        <w:tc>
          <w:tcPr>
            <w:tcW w:w="1700" w:type="dxa"/>
            <w:vAlign w:val="bottom"/>
            <w:tcBorders>
              <w:bottom w:val="single" w:sz="8" w:color="auto"/>
            </w:tcBorders>
          </w:tcPr>
          <w:p>
            <w:pPr>
              <w:jc w:val="right"/>
              <w:ind w:right="41"/>
              <w:spacing w:after="0" w:line="209" w:lineRule="exact"/>
              <w:rPr>
                <w:sz w:val="20"/>
                <w:szCs w:val="20"/>
                <w:color w:val="auto"/>
              </w:rPr>
            </w:pPr>
            <w:r>
              <w:rPr>
                <w:rFonts w:ascii="Arial" w:cs="Arial" w:eastAsia="Arial" w:hAnsi="Arial"/>
                <w:sz w:val="20"/>
                <w:szCs w:val="20"/>
                <w:color w:val="auto"/>
              </w:rPr>
              <w:t>37,085</w:t>
            </w:r>
          </w:p>
        </w:tc>
        <w:tc>
          <w:tcPr>
            <w:tcW w:w="32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w:t>
            </w:r>
          </w:p>
        </w:tc>
        <w:tc>
          <w:tcPr>
            <w:tcW w:w="1820" w:type="dxa"/>
            <w:vAlign w:val="bottom"/>
            <w:tcBorders>
              <w:bottom w:val="single" w:sz="8" w:color="auto"/>
            </w:tcBorders>
          </w:tcPr>
          <w:p>
            <w:pPr>
              <w:jc w:val="right"/>
              <w:ind w:right="201"/>
              <w:spacing w:after="0" w:line="209" w:lineRule="exact"/>
              <w:rPr>
                <w:sz w:val="20"/>
                <w:szCs w:val="20"/>
                <w:color w:val="auto"/>
              </w:rPr>
            </w:pPr>
            <w:r>
              <w:rPr>
                <w:rFonts w:ascii="Arial" w:cs="Arial" w:eastAsia="Arial" w:hAnsi="Arial"/>
                <w:sz w:val="20"/>
                <w:szCs w:val="20"/>
                <w:color w:val="auto"/>
              </w:rPr>
              <w:t>18,711</w:t>
            </w:r>
          </w:p>
        </w:tc>
      </w:tr>
      <w:tr>
        <w:trPr>
          <w:trHeight w:val="20"/>
        </w:trPr>
        <w:tc>
          <w:tcPr>
            <w:tcW w:w="474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436"/>
        </w:trPr>
        <w:tc>
          <w:tcPr>
            <w:tcW w:w="4740" w:type="dxa"/>
            <w:vAlign w:val="bottom"/>
          </w:tcPr>
          <w:p>
            <w:pPr>
              <w:spacing w:after="0"/>
              <w:rPr>
                <w:sz w:val="24"/>
                <w:szCs w:val="24"/>
                <w:color w:val="auto"/>
              </w:rPr>
            </w:pPr>
          </w:p>
        </w:tc>
        <w:tc>
          <w:tcPr>
            <w:tcW w:w="2660" w:type="dxa"/>
            <w:vAlign w:val="bottom"/>
          </w:tcPr>
          <w:p>
            <w:pPr>
              <w:jc w:val="right"/>
              <w:ind w:right="1561"/>
              <w:spacing w:after="0"/>
              <w:rPr>
                <w:sz w:val="20"/>
                <w:szCs w:val="20"/>
                <w:color w:val="auto"/>
              </w:rPr>
            </w:pPr>
            <w:r>
              <w:rPr>
                <w:rFonts w:ascii="Arial" w:cs="Arial" w:eastAsia="Arial" w:hAnsi="Arial"/>
                <w:sz w:val="20"/>
                <w:szCs w:val="20"/>
                <w:color w:val="auto"/>
              </w:rPr>
              <w:t>12</w:t>
            </w: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739"/>
        </w:trPr>
        <w:tc>
          <w:tcPr>
            <w:tcW w:w="474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-3745230</wp:posOffset>
            </wp:positionV>
            <wp:extent cx="25203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5" w:name="page16"/>
    <w:bookmarkEnd w:id="15"/>
    <w:p>
      <w:pPr>
        <w:spacing w:after="0"/>
        <w:rPr>
          <w:sz w:val="20"/>
          <w:szCs w:val="20"/>
          <w:color w:val="auto"/>
        </w:rPr>
      </w:pPr>
      <w:r>
        <w:rPr>
          <w:rFonts w:ascii="Arial" w:cs="Arial" w:eastAsia="Arial" w:hAnsi="Arial"/>
          <w:sz w:val="22"/>
          <w:szCs w:val="22"/>
          <w:color w:val="auto"/>
        </w:rPr>
        <w:t>Appendix</w:t>
      </w:r>
    </w:p>
    <w:p>
      <w:pPr>
        <w:spacing w:after="0" w:line="200" w:lineRule="exact"/>
        <w:rPr>
          <w:sz w:val="20"/>
          <w:szCs w:val="20"/>
          <w:color w:val="auto"/>
        </w:rPr>
      </w:pPr>
    </w:p>
    <w:p>
      <w:pPr>
        <w:spacing w:after="0" w:line="225" w:lineRule="exact"/>
        <w:rPr>
          <w:sz w:val="20"/>
          <w:szCs w:val="20"/>
          <w:color w:val="auto"/>
        </w:rPr>
      </w:pPr>
    </w:p>
    <w:p>
      <w:pPr>
        <w:ind w:left="3840"/>
        <w:spacing w:after="0"/>
        <w:rPr>
          <w:sz w:val="20"/>
          <w:szCs w:val="20"/>
          <w:color w:val="auto"/>
        </w:rPr>
      </w:pPr>
      <w:r>
        <w:rPr>
          <w:rFonts w:ascii="Arial" w:cs="Arial" w:eastAsia="Arial" w:hAnsi="Arial"/>
          <w:sz w:val="20"/>
          <w:szCs w:val="20"/>
          <w:b w:val="1"/>
          <w:bCs w:val="1"/>
          <w:color w:val="auto"/>
        </w:rPr>
        <w:t>MARTIN MARIETTA MATERIALS, INC.</w:t>
      </w:r>
    </w:p>
    <w:p>
      <w:pPr>
        <w:spacing w:after="0" w:line="6" w:lineRule="exact"/>
        <w:rPr>
          <w:sz w:val="20"/>
          <w:szCs w:val="20"/>
          <w:color w:val="auto"/>
        </w:rPr>
      </w:pPr>
    </w:p>
    <w:p>
      <w:pPr>
        <w:ind w:left="3880"/>
        <w:spacing w:after="0"/>
        <w:rPr>
          <w:sz w:val="20"/>
          <w:szCs w:val="20"/>
          <w:color w:val="auto"/>
        </w:rPr>
      </w:pPr>
      <w:r>
        <w:rPr>
          <w:rFonts w:ascii="Arial" w:cs="Arial" w:eastAsia="Arial" w:hAnsi="Arial"/>
          <w:sz w:val="20"/>
          <w:szCs w:val="20"/>
          <w:b w:val="1"/>
          <w:bCs w:val="1"/>
          <w:color w:val="auto"/>
        </w:rPr>
        <w:t>Unaudited Statements of Cash Flows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shd w:val="clear" w:color="auto" w:fill="007DC6"/>
          </w:tcPr>
          <w:p>
            <w:pPr>
              <w:spacing w:after="0"/>
              <w:rPr>
                <w:sz w:val="19"/>
                <w:szCs w:val="19"/>
                <w:color w:val="auto"/>
              </w:rPr>
            </w:pPr>
          </w:p>
        </w:tc>
        <w:tc>
          <w:tcPr>
            <w:tcW w:w="540" w:type="dxa"/>
            <w:vAlign w:val="bottom"/>
            <w:shd w:val="clear" w:color="auto" w:fill="007DC6"/>
          </w:tcPr>
          <w:p>
            <w:pPr>
              <w:spacing w:after="0"/>
              <w:rPr>
                <w:sz w:val="19"/>
                <w:szCs w:val="19"/>
                <w:color w:val="auto"/>
              </w:rPr>
            </w:pPr>
          </w:p>
        </w:tc>
        <w:tc>
          <w:tcPr>
            <w:tcW w:w="3380" w:type="dxa"/>
            <w:vAlign w:val="bottom"/>
            <w:gridSpan w:val="3"/>
            <w:shd w:val="clear" w:color="auto" w:fill="007DC6"/>
          </w:tcPr>
          <w:p>
            <w:pPr>
              <w:jc w:val="right"/>
              <w:ind w:right="901"/>
              <w:spacing w:after="0"/>
              <w:rPr>
                <w:sz w:val="20"/>
                <w:szCs w:val="20"/>
                <w:color w:val="auto"/>
              </w:rPr>
            </w:pPr>
            <w:r>
              <w:rPr>
                <w:rFonts w:ascii="Arial" w:cs="Arial" w:eastAsia="Arial" w:hAnsi="Arial"/>
                <w:sz w:val="20"/>
                <w:szCs w:val="20"/>
                <w:b w:val="1"/>
                <w:bCs w:val="1"/>
                <w:color w:val="FFFFFF"/>
              </w:rPr>
              <w:t>Nine Months Ended</w:t>
            </w:r>
          </w:p>
        </w:tc>
      </w:tr>
      <w:tr>
        <w:trPr>
          <w:trHeight w:val="229"/>
        </w:trPr>
        <w:tc>
          <w:tcPr>
            <w:tcW w:w="7320" w:type="dxa"/>
            <w:vAlign w:val="bottom"/>
            <w:shd w:val="clear" w:color="auto" w:fill="007DC6"/>
          </w:tcPr>
          <w:p>
            <w:pPr>
              <w:spacing w:after="0"/>
              <w:rPr>
                <w:sz w:val="19"/>
                <w:szCs w:val="19"/>
                <w:color w:val="auto"/>
              </w:rPr>
            </w:pPr>
          </w:p>
        </w:tc>
        <w:tc>
          <w:tcPr>
            <w:tcW w:w="540" w:type="dxa"/>
            <w:vAlign w:val="bottom"/>
            <w:shd w:val="clear" w:color="auto" w:fill="007DC6"/>
          </w:tcPr>
          <w:p>
            <w:pPr>
              <w:spacing w:after="0"/>
              <w:rPr>
                <w:sz w:val="19"/>
                <w:szCs w:val="19"/>
                <w:color w:val="auto"/>
              </w:rPr>
            </w:pPr>
          </w:p>
        </w:tc>
        <w:tc>
          <w:tcPr>
            <w:tcW w:w="2160" w:type="dxa"/>
            <w:vAlign w:val="bottom"/>
            <w:gridSpan w:val="2"/>
            <w:shd w:val="clear" w:color="auto" w:fill="007DC6"/>
          </w:tcPr>
          <w:p>
            <w:pPr>
              <w:jc w:val="right"/>
              <w:spacing w:after="0"/>
              <w:rPr>
                <w:sz w:val="20"/>
                <w:szCs w:val="20"/>
                <w:color w:val="auto"/>
              </w:rPr>
            </w:pPr>
            <w:r>
              <w:rPr>
                <w:rFonts w:ascii="Arial" w:cs="Arial" w:eastAsia="Arial" w:hAnsi="Arial"/>
                <w:sz w:val="20"/>
                <w:szCs w:val="20"/>
                <w:b w:val="1"/>
                <w:bCs w:val="1"/>
                <w:color w:val="FFFFFF"/>
              </w:rPr>
              <w:t>September 30,</w:t>
            </w:r>
          </w:p>
        </w:tc>
        <w:tc>
          <w:tcPr>
            <w:tcW w:w="1220" w:type="dxa"/>
            <w:vAlign w:val="bottom"/>
            <w:shd w:val="clear" w:color="auto" w:fill="007DC6"/>
          </w:tcPr>
          <w:p>
            <w:pPr>
              <w:spacing w:after="0"/>
              <w:rPr>
                <w:sz w:val="19"/>
                <w:szCs w:val="19"/>
                <w:color w:val="auto"/>
              </w:rPr>
            </w:pPr>
          </w:p>
        </w:tc>
      </w:tr>
      <w:tr>
        <w:trPr>
          <w:trHeight w:val="240"/>
        </w:trPr>
        <w:tc>
          <w:tcPr>
            <w:tcW w:w="7320" w:type="dxa"/>
            <w:vAlign w:val="bottom"/>
            <w:shd w:val="clear" w:color="auto" w:fill="007DC6"/>
          </w:tcPr>
          <w:p>
            <w:pPr>
              <w:spacing w:after="0"/>
              <w:rPr>
                <w:sz w:val="20"/>
                <w:szCs w:val="20"/>
                <w:color w:val="auto"/>
              </w:rPr>
            </w:pPr>
            <w:r>
              <w:rPr>
                <w:rFonts w:ascii="Arial" w:cs="Arial" w:eastAsia="Arial" w:hAnsi="Arial"/>
                <w:sz w:val="20"/>
                <w:szCs w:val="20"/>
                <w:b w:val="1"/>
                <w:bCs w:val="1"/>
                <w:color w:val="FFFFFF"/>
              </w:rPr>
              <w:t>(in millions)</w:t>
            </w:r>
          </w:p>
        </w:tc>
        <w:tc>
          <w:tcPr>
            <w:tcW w:w="540" w:type="dxa"/>
            <w:vAlign w:val="bottom"/>
            <w:shd w:val="clear" w:color="auto" w:fill="007DC6"/>
          </w:tcPr>
          <w:p>
            <w:pPr>
              <w:spacing w:after="0"/>
              <w:rPr>
                <w:sz w:val="20"/>
                <w:szCs w:val="20"/>
                <w:color w:val="auto"/>
              </w:rPr>
            </w:pPr>
          </w:p>
        </w:tc>
        <w:tc>
          <w:tcPr>
            <w:tcW w:w="1480" w:type="dxa"/>
            <w:vAlign w:val="bottom"/>
            <w:shd w:val="clear" w:color="auto" w:fill="007DC6"/>
          </w:tcPr>
          <w:p>
            <w:pPr>
              <w:jc w:val="right"/>
              <w:ind w:right="681"/>
              <w:spacing w:after="0"/>
              <w:rPr>
                <w:sz w:val="20"/>
                <w:szCs w:val="20"/>
                <w:color w:val="auto"/>
              </w:rPr>
            </w:pPr>
            <w:r>
              <w:rPr>
                <w:rFonts w:ascii="Arial" w:cs="Arial" w:eastAsia="Arial" w:hAnsi="Arial"/>
                <w:sz w:val="20"/>
                <w:szCs w:val="20"/>
                <w:b w:val="1"/>
                <w:bCs w:val="1"/>
                <w:color w:val="FFFFFF"/>
              </w:rPr>
              <w:t>2026</w:t>
            </w:r>
          </w:p>
        </w:tc>
        <w:tc>
          <w:tcPr>
            <w:tcW w:w="680" w:type="dxa"/>
            <w:vAlign w:val="bottom"/>
            <w:shd w:val="clear" w:color="auto" w:fill="007DC6"/>
          </w:tcPr>
          <w:p>
            <w:pPr>
              <w:spacing w:after="0"/>
              <w:rPr>
                <w:sz w:val="20"/>
                <w:szCs w:val="20"/>
                <w:color w:val="auto"/>
              </w:rPr>
            </w:pPr>
          </w:p>
        </w:tc>
        <w:tc>
          <w:tcPr>
            <w:tcW w:w="1220" w:type="dxa"/>
            <w:vAlign w:val="bottom"/>
            <w:shd w:val="clear" w:color="auto" w:fill="007DC6"/>
          </w:tcPr>
          <w:p>
            <w:pPr>
              <w:jc w:val="right"/>
              <w:ind w:right="641"/>
              <w:spacing w:after="0"/>
              <w:rPr>
                <w:sz w:val="20"/>
                <w:szCs w:val="20"/>
                <w:color w:val="auto"/>
              </w:rPr>
            </w:pPr>
            <w:r>
              <w:rPr>
                <w:rFonts w:ascii="Arial" w:cs="Arial" w:eastAsia="Arial" w:hAnsi="Arial"/>
                <w:sz w:val="20"/>
                <w:szCs w:val="20"/>
                <w:b w:val="1"/>
                <w:bCs w:val="1"/>
                <w:color w:val="FFFFFF"/>
              </w:rPr>
              <w:t>2025</w:t>
            </w:r>
          </w:p>
        </w:tc>
      </w:tr>
      <w:tr>
        <w:trPr>
          <w:trHeight w:val="216"/>
        </w:trPr>
        <w:tc>
          <w:tcPr>
            <w:tcW w:w="7320" w:type="dxa"/>
            <w:vAlign w:val="bottom"/>
            <w:shd w:val="clear" w:color="auto" w:fill="CFF0FC"/>
          </w:tcPr>
          <w:p>
            <w:pPr>
              <w:spacing w:after="0" w:line="216" w:lineRule="exact"/>
              <w:rPr>
                <w:sz w:val="20"/>
                <w:szCs w:val="20"/>
                <w:color w:val="auto"/>
              </w:rPr>
            </w:pPr>
            <w:r>
              <w:rPr>
                <w:rFonts w:ascii="Arial" w:cs="Arial" w:eastAsia="Arial" w:hAnsi="Arial"/>
                <w:sz w:val="20"/>
                <w:szCs w:val="20"/>
                <w:b w:val="1"/>
                <w:bCs w:val="1"/>
                <w:color w:val="auto"/>
              </w:rPr>
              <w:t>Cash Flows from Operating Activities</w:t>
            </w:r>
          </w:p>
        </w:tc>
        <w:tc>
          <w:tcPr>
            <w:tcW w:w="5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r>
      <w:tr>
        <w:trPr>
          <w:trHeight w:val="216"/>
        </w:trPr>
        <w:tc>
          <w:tcPr>
            <w:tcW w:w="7320" w:type="dxa"/>
            <w:vAlign w:val="bottom"/>
          </w:tcPr>
          <w:p>
            <w:pPr>
              <w:spacing w:after="0" w:line="216" w:lineRule="exact"/>
              <w:rPr>
                <w:sz w:val="20"/>
                <w:szCs w:val="20"/>
                <w:color w:val="auto"/>
              </w:rPr>
            </w:pPr>
            <w:r>
              <w:rPr>
                <w:rFonts w:ascii="Arial" w:cs="Arial" w:eastAsia="Arial" w:hAnsi="Arial"/>
                <w:sz w:val="20"/>
                <w:szCs w:val="20"/>
                <w:color w:val="auto"/>
              </w:rPr>
              <w:t>Consolidated net earnings</w:t>
            </w:r>
          </w:p>
        </w:tc>
        <w:tc>
          <w:tcPr>
            <w:tcW w:w="540" w:type="dxa"/>
            <w:vAlign w:val="bottom"/>
          </w:tcPr>
          <w:p>
            <w:pPr>
              <w:jc w:val="right"/>
              <w:ind w:right="141"/>
              <w:spacing w:after="0" w:line="216" w:lineRule="exact"/>
              <w:rPr>
                <w:sz w:val="20"/>
                <w:szCs w:val="20"/>
                <w:color w:val="auto"/>
              </w:rPr>
            </w:pPr>
            <w:r>
              <w:rPr>
                <w:rFonts w:ascii="Arial" w:cs="Arial" w:eastAsia="Arial" w:hAnsi="Arial"/>
                <w:sz w:val="20"/>
                <w:szCs w:val="20"/>
                <w:color w:val="auto"/>
              </w:rPr>
              <w:t>$</w:t>
            </w:r>
          </w:p>
        </w:tc>
        <w:tc>
          <w:tcPr>
            <w:tcW w:w="1480" w:type="dxa"/>
            <w:vAlign w:val="bottom"/>
          </w:tcPr>
          <w:p>
            <w:pPr>
              <w:jc w:val="right"/>
              <w:ind w:right="81"/>
              <w:spacing w:after="0" w:line="216" w:lineRule="exact"/>
              <w:rPr>
                <w:sz w:val="20"/>
                <w:szCs w:val="20"/>
                <w:color w:val="auto"/>
              </w:rPr>
            </w:pPr>
            <w:r>
              <w:rPr>
                <w:rFonts w:ascii="Arial" w:cs="Arial" w:eastAsia="Arial" w:hAnsi="Arial"/>
                <w:sz w:val="20"/>
                <w:szCs w:val="20"/>
                <w:color w:val="auto"/>
              </w:rPr>
              <w:t>2,020</w:t>
            </w:r>
          </w:p>
        </w:tc>
        <w:tc>
          <w:tcPr>
            <w:tcW w:w="680" w:type="dxa"/>
            <w:vAlign w:val="bottom"/>
          </w:tcPr>
          <w:p>
            <w:pPr>
              <w:jc w:val="right"/>
              <w:ind w:right="361"/>
              <w:spacing w:after="0" w:line="216" w:lineRule="exact"/>
              <w:rPr>
                <w:sz w:val="20"/>
                <w:szCs w:val="20"/>
                <w:color w:val="auto"/>
              </w:rPr>
            </w:pPr>
            <w:r>
              <w:rPr>
                <w:rFonts w:ascii="Arial" w:cs="Arial" w:eastAsia="Arial" w:hAnsi="Arial"/>
                <w:sz w:val="20"/>
                <w:szCs w:val="20"/>
                <w:color w:val="auto"/>
              </w:rPr>
              <w:t>$</w:t>
            </w:r>
          </w:p>
        </w:tc>
        <w:tc>
          <w:tcPr>
            <w:tcW w:w="1220" w:type="dxa"/>
            <w:vAlign w:val="bottom"/>
          </w:tcPr>
          <w:p>
            <w:pPr>
              <w:jc w:val="right"/>
              <w:ind w:right="21"/>
              <w:spacing w:after="0" w:line="216" w:lineRule="exact"/>
              <w:rPr>
                <w:sz w:val="20"/>
                <w:szCs w:val="20"/>
                <w:color w:val="auto"/>
              </w:rPr>
            </w:pPr>
            <w:r>
              <w:rPr>
                <w:rFonts w:ascii="Arial" w:cs="Arial" w:eastAsia="Arial" w:hAnsi="Arial"/>
                <w:sz w:val="20"/>
                <w:szCs w:val="20"/>
                <w:color w:val="auto"/>
              </w:rPr>
              <w:t>858</w:t>
            </w:r>
          </w:p>
        </w:tc>
      </w:tr>
      <w:tr>
        <w:trPr>
          <w:trHeight w:val="194"/>
        </w:trPr>
        <w:tc>
          <w:tcPr>
            <w:tcW w:w="7320" w:type="dxa"/>
            <w:vAlign w:val="bottom"/>
            <w:shd w:val="clear" w:color="auto" w:fill="CFF0FC"/>
          </w:tcPr>
          <w:p>
            <w:pPr>
              <w:spacing w:after="0" w:line="194" w:lineRule="exact"/>
              <w:rPr>
                <w:sz w:val="20"/>
                <w:szCs w:val="20"/>
                <w:color w:val="auto"/>
              </w:rPr>
            </w:pPr>
            <w:r>
              <w:rPr>
                <w:rFonts w:ascii="Arial" w:cs="Arial" w:eastAsia="Arial" w:hAnsi="Arial"/>
                <w:sz w:val="20"/>
                <w:szCs w:val="20"/>
                <w:color w:val="auto"/>
              </w:rPr>
              <w:t>Adjustments to reconcile consolidated net earnings to net cash provided</w:t>
            </w:r>
          </w:p>
        </w:tc>
        <w:tc>
          <w:tcPr>
            <w:tcW w:w="54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r>
      <w:tr>
        <w:trPr>
          <w:trHeight w:val="238"/>
        </w:trPr>
        <w:tc>
          <w:tcPr>
            <w:tcW w:w="7320" w:type="dxa"/>
            <w:vAlign w:val="bottom"/>
            <w:shd w:val="clear" w:color="auto" w:fill="CFF0FC"/>
          </w:tcPr>
          <w:p>
            <w:pPr>
              <w:spacing w:after="0"/>
              <w:rPr>
                <w:sz w:val="20"/>
                <w:szCs w:val="20"/>
                <w:color w:val="auto"/>
              </w:rPr>
            </w:pPr>
            <w:r>
              <w:rPr>
                <w:rFonts w:ascii="Arial" w:cs="Arial" w:eastAsia="Arial" w:hAnsi="Arial"/>
                <w:sz w:val="20"/>
                <w:szCs w:val="20"/>
                <w:color w:val="auto"/>
              </w:rPr>
              <w:t>by operating activities:</w:t>
            </w:r>
          </w:p>
        </w:tc>
        <w:tc>
          <w:tcPr>
            <w:tcW w:w="54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r>
      <w:tr>
        <w:trPr>
          <w:trHeight w:val="216"/>
        </w:trPr>
        <w:tc>
          <w:tcPr>
            <w:tcW w:w="7320" w:type="dxa"/>
            <w:vAlign w:val="bottom"/>
          </w:tcPr>
          <w:p>
            <w:pPr>
              <w:ind w:left="180"/>
              <w:spacing w:after="0" w:line="216" w:lineRule="exact"/>
              <w:rPr>
                <w:sz w:val="20"/>
                <w:szCs w:val="20"/>
                <w:color w:val="auto"/>
              </w:rPr>
            </w:pPr>
            <w:r>
              <w:rPr>
                <w:rFonts w:ascii="Arial" w:cs="Arial" w:eastAsia="Arial" w:hAnsi="Arial"/>
                <w:sz w:val="20"/>
                <w:szCs w:val="20"/>
                <w:color w:val="auto"/>
              </w:rPr>
              <w:t>Depreciation, depletion and amortization</w:t>
            </w:r>
          </w:p>
        </w:tc>
        <w:tc>
          <w:tcPr>
            <w:tcW w:w="540" w:type="dxa"/>
            <w:vAlign w:val="bottom"/>
          </w:tcPr>
          <w:p>
            <w:pPr>
              <w:spacing w:after="0"/>
              <w:rPr>
                <w:sz w:val="18"/>
                <w:szCs w:val="18"/>
                <w:color w:val="auto"/>
              </w:rPr>
            </w:pPr>
          </w:p>
        </w:tc>
        <w:tc>
          <w:tcPr>
            <w:tcW w:w="1480" w:type="dxa"/>
            <w:vAlign w:val="bottom"/>
          </w:tcPr>
          <w:p>
            <w:pPr>
              <w:jc w:val="right"/>
              <w:ind w:right="81"/>
              <w:spacing w:after="0" w:line="216" w:lineRule="exact"/>
              <w:rPr>
                <w:sz w:val="20"/>
                <w:szCs w:val="20"/>
                <w:color w:val="auto"/>
              </w:rPr>
            </w:pPr>
            <w:r>
              <w:rPr>
                <w:rFonts w:ascii="Arial" w:cs="Arial" w:eastAsia="Arial" w:hAnsi="Arial"/>
                <w:sz w:val="20"/>
                <w:szCs w:val="20"/>
                <w:color w:val="auto"/>
              </w:rPr>
              <w:t>617</w:t>
            </w:r>
          </w:p>
        </w:tc>
        <w:tc>
          <w:tcPr>
            <w:tcW w:w="680" w:type="dxa"/>
            <w:vAlign w:val="bottom"/>
          </w:tcPr>
          <w:p>
            <w:pPr>
              <w:spacing w:after="0"/>
              <w:rPr>
                <w:sz w:val="18"/>
                <w:szCs w:val="18"/>
                <w:color w:val="auto"/>
              </w:rPr>
            </w:pPr>
          </w:p>
        </w:tc>
        <w:tc>
          <w:tcPr>
            <w:tcW w:w="1220" w:type="dxa"/>
            <w:vAlign w:val="bottom"/>
          </w:tcPr>
          <w:p>
            <w:pPr>
              <w:jc w:val="right"/>
              <w:ind w:right="21"/>
              <w:spacing w:after="0" w:line="216" w:lineRule="exact"/>
              <w:rPr>
                <w:sz w:val="20"/>
                <w:szCs w:val="20"/>
                <w:color w:val="auto"/>
              </w:rPr>
            </w:pPr>
            <w:r>
              <w:rPr>
                <w:rFonts w:ascii="Arial" w:cs="Arial" w:eastAsia="Arial" w:hAnsi="Arial"/>
                <w:sz w:val="20"/>
                <w:szCs w:val="20"/>
                <w:color w:val="auto"/>
              </w:rPr>
              <w:t>480</w:t>
            </w:r>
          </w:p>
        </w:tc>
      </w:tr>
      <w:tr>
        <w:trPr>
          <w:trHeight w:val="216"/>
        </w:trPr>
        <w:tc>
          <w:tcPr>
            <w:tcW w:w="7320" w:type="dxa"/>
            <w:vAlign w:val="bottom"/>
            <w:shd w:val="clear" w:color="auto" w:fill="CFF0FC"/>
          </w:tcPr>
          <w:p>
            <w:pPr>
              <w:ind w:left="180"/>
              <w:spacing w:after="0" w:line="216" w:lineRule="exact"/>
              <w:rPr>
                <w:sz w:val="20"/>
                <w:szCs w:val="20"/>
                <w:color w:val="auto"/>
              </w:rPr>
            </w:pPr>
            <w:r>
              <w:rPr>
                <w:rFonts w:ascii="Arial" w:cs="Arial" w:eastAsia="Arial" w:hAnsi="Arial"/>
                <w:sz w:val="20"/>
                <w:szCs w:val="20"/>
                <w:color w:val="auto"/>
              </w:rPr>
              <w:t>Stock-based compensation expense</w:t>
            </w:r>
          </w:p>
        </w:tc>
        <w:tc>
          <w:tcPr>
            <w:tcW w:w="54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81"/>
              <w:spacing w:after="0" w:line="216" w:lineRule="exact"/>
              <w:rPr>
                <w:sz w:val="20"/>
                <w:szCs w:val="20"/>
                <w:color w:val="auto"/>
              </w:rPr>
            </w:pPr>
            <w:r>
              <w:rPr>
                <w:rFonts w:ascii="Arial" w:cs="Arial" w:eastAsia="Arial" w:hAnsi="Arial"/>
                <w:sz w:val="20"/>
                <w:szCs w:val="20"/>
                <w:color w:val="auto"/>
              </w:rPr>
              <w:t>49</w:t>
            </w:r>
          </w:p>
        </w:tc>
        <w:tc>
          <w:tcPr>
            <w:tcW w:w="68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21"/>
              <w:spacing w:after="0" w:line="216" w:lineRule="exact"/>
              <w:rPr>
                <w:sz w:val="20"/>
                <w:szCs w:val="20"/>
                <w:color w:val="auto"/>
              </w:rPr>
            </w:pPr>
            <w:r>
              <w:rPr>
                <w:rFonts w:ascii="Arial" w:cs="Arial" w:eastAsia="Arial" w:hAnsi="Arial"/>
                <w:sz w:val="20"/>
                <w:szCs w:val="20"/>
                <w:color w:val="auto"/>
              </w:rPr>
              <w:t>42</w:t>
            </w:r>
          </w:p>
        </w:tc>
      </w:tr>
      <w:tr>
        <w:trPr>
          <w:trHeight w:val="216"/>
        </w:trPr>
        <w:tc>
          <w:tcPr>
            <w:tcW w:w="7320" w:type="dxa"/>
            <w:vAlign w:val="bottom"/>
          </w:tcPr>
          <w:p>
            <w:pPr>
              <w:ind w:left="180"/>
              <w:spacing w:after="0" w:line="216" w:lineRule="exact"/>
              <w:rPr>
                <w:sz w:val="20"/>
                <w:szCs w:val="20"/>
                <w:color w:val="auto"/>
              </w:rPr>
            </w:pPr>
            <w:r>
              <w:rPr>
                <w:rFonts w:ascii="Arial" w:cs="Arial" w:eastAsia="Arial" w:hAnsi="Arial"/>
                <w:sz w:val="20"/>
                <w:szCs w:val="20"/>
                <w:color w:val="auto"/>
              </w:rPr>
              <w:t>Gain on divestitures and sales of assets</w:t>
            </w:r>
          </w:p>
        </w:tc>
        <w:tc>
          <w:tcPr>
            <w:tcW w:w="540" w:type="dxa"/>
            <w:vAlign w:val="bottom"/>
          </w:tcPr>
          <w:p>
            <w:pPr>
              <w:spacing w:after="0"/>
              <w:rPr>
                <w:sz w:val="18"/>
                <w:szCs w:val="18"/>
                <w:color w:val="auto"/>
              </w:rPr>
            </w:pPr>
          </w:p>
        </w:tc>
        <w:tc>
          <w:tcPr>
            <w:tcW w:w="1480" w:type="dxa"/>
            <w:vAlign w:val="bottom"/>
          </w:tcPr>
          <w:p>
            <w:pPr>
              <w:jc w:val="right"/>
              <w:ind w:right="1"/>
              <w:spacing w:after="0" w:line="216" w:lineRule="exact"/>
              <w:rPr>
                <w:sz w:val="20"/>
                <w:szCs w:val="20"/>
                <w:color w:val="auto"/>
              </w:rPr>
            </w:pPr>
            <w:r>
              <w:rPr>
                <w:rFonts w:ascii="Arial" w:cs="Arial" w:eastAsia="Arial" w:hAnsi="Arial"/>
                <w:sz w:val="20"/>
                <w:szCs w:val="20"/>
                <w:color w:val="auto"/>
              </w:rPr>
              <w:t>(1,987)</w:t>
            </w:r>
          </w:p>
        </w:tc>
        <w:tc>
          <w:tcPr>
            <w:tcW w:w="680" w:type="dxa"/>
            <w:vAlign w:val="bottom"/>
          </w:tcPr>
          <w:p>
            <w:pPr>
              <w:spacing w:after="0"/>
              <w:rPr>
                <w:sz w:val="18"/>
                <w:szCs w:val="18"/>
                <w:color w:val="auto"/>
              </w:rPr>
            </w:pPr>
          </w:p>
        </w:tc>
        <w:tc>
          <w:tcPr>
            <w:tcW w:w="1220" w:type="dxa"/>
            <w:vAlign w:val="bottom"/>
          </w:tcPr>
          <w:p>
            <w:pPr>
              <w:jc w:val="right"/>
              <w:spacing w:after="0" w:line="216" w:lineRule="exact"/>
              <w:rPr>
                <w:sz w:val="20"/>
                <w:szCs w:val="20"/>
                <w:color w:val="auto"/>
              </w:rPr>
            </w:pPr>
            <w:r>
              <w:rPr>
                <w:rFonts w:ascii="Arial" w:cs="Arial" w:eastAsia="Arial" w:hAnsi="Arial"/>
                <w:sz w:val="20"/>
                <w:szCs w:val="20"/>
                <w:color w:val="auto"/>
              </w:rPr>
              <w:t>(24)</w:t>
            </w:r>
          </w:p>
        </w:tc>
      </w:tr>
      <w:tr>
        <w:trPr>
          <w:trHeight w:val="216"/>
        </w:trPr>
        <w:tc>
          <w:tcPr>
            <w:tcW w:w="7320" w:type="dxa"/>
            <w:vAlign w:val="bottom"/>
            <w:shd w:val="clear" w:color="auto" w:fill="CFF0FC"/>
          </w:tcPr>
          <w:p>
            <w:pPr>
              <w:ind w:left="180"/>
              <w:spacing w:after="0" w:line="216" w:lineRule="exact"/>
              <w:rPr>
                <w:sz w:val="20"/>
                <w:szCs w:val="20"/>
                <w:color w:val="auto"/>
              </w:rPr>
            </w:pPr>
            <w:r>
              <w:rPr>
                <w:rFonts w:ascii="Arial" w:cs="Arial" w:eastAsia="Arial" w:hAnsi="Arial"/>
                <w:sz w:val="20"/>
                <w:szCs w:val="20"/>
                <w:color w:val="auto"/>
              </w:rPr>
              <w:t>Deferred income taxes, net</w:t>
            </w:r>
          </w:p>
        </w:tc>
        <w:tc>
          <w:tcPr>
            <w:tcW w:w="54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81"/>
              <w:spacing w:after="0" w:line="216" w:lineRule="exact"/>
              <w:rPr>
                <w:sz w:val="20"/>
                <w:szCs w:val="20"/>
                <w:color w:val="auto"/>
              </w:rPr>
            </w:pPr>
            <w:r>
              <w:rPr>
                <w:rFonts w:ascii="Arial" w:cs="Arial" w:eastAsia="Arial" w:hAnsi="Arial"/>
                <w:sz w:val="20"/>
                <w:szCs w:val="20"/>
                <w:color w:val="auto"/>
              </w:rPr>
              <w:t>260</w:t>
            </w:r>
          </w:p>
        </w:tc>
        <w:tc>
          <w:tcPr>
            <w:tcW w:w="68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21"/>
              <w:spacing w:after="0" w:line="216" w:lineRule="exact"/>
              <w:rPr>
                <w:sz w:val="20"/>
                <w:szCs w:val="20"/>
                <w:color w:val="auto"/>
              </w:rPr>
            </w:pPr>
            <w:r>
              <w:rPr>
                <w:rFonts w:ascii="Arial" w:cs="Arial" w:eastAsia="Arial" w:hAnsi="Arial"/>
                <w:sz w:val="20"/>
                <w:szCs w:val="20"/>
                <w:color w:val="auto"/>
              </w:rPr>
              <w:t>75</w:t>
            </w:r>
          </w:p>
        </w:tc>
      </w:tr>
      <w:tr>
        <w:trPr>
          <w:trHeight w:val="216"/>
        </w:trPr>
        <w:tc>
          <w:tcPr>
            <w:tcW w:w="7320" w:type="dxa"/>
            <w:vAlign w:val="bottom"/>
          </w:tcPr>
          <w:p>
            <w:pPr>
              <w:ind w:left="180"/>
              <w:spacing w:after="0" w:line="216" w:lineRule="exact"/>
              <w:rPr>
                <w:sz w:val="20"/>
                <w:szCs w:val="20"/>
                <w:color w:val="auto"/>
              </w:rPr>
            </w:pPr>
            <w:r>
              <w:rPr>
                <w:rFonts w:ascii="Arial" w:cs="Arial" w:eastAsia="Arial" w:hAnsi="Arial"/>
                <w:sz w:val="20"/>
                <w:szCs w:val="20"/>
                <w:color w:val="auto"/>
              </w:rPr>
              <w:t>Bridge financing commitment fees</w:t>
            </w:r>
          </w:p>
        </w:tc>
        <w:tc>
          <w:tcPr>
            <w:tcW w:w="540" w:type="dxa"/>
            <w:vAlign w:val="bottom"/>
          </w:tcPr>
          <w:p>
            <w:pPr>
              <w:spacing w:after="0"/>
              <w:rPr>
                <w:sz w:val="18"/>
                <w:szCs w:val="18"/>
                <w:color w:val="auto"/>
              </w:rPr>
            </w:pPr>
          </w:p>
        </w:tc>
        <w:tc>
          <w:tcPr>
            <w:tcW w:w="1480" w:type="dxa"/>
            <w:vAlign w:val="bottom"/>
          </w:tcPr>
          <w:p>
            <w:pPr>
              <w:jc w:val="right"/>
              <w:ind w:right="81"/>
              <w:spacing w:after="0" w:line="216" w:lineRule="exact"/>
              <w:rPr>
                <w:sz w:val="20"/>
                <w:szCs w:val="20"/>
                <w:color w:val="auto"/>
              </w:rPr>
            </w:pPr>
            <w:r>
              <w:rPr>
                <w:rFonts w:ascii="Arial" w:cs="Arial" w:eastAsia="Arial" w:hAnsi="Arial"/>
                <w:sz w:val="20"/>
                <w:szCs w:val="20"/>
                <w:color w:val="auto"/>
              </w:rPr>
              <w:t>27</w:t>
            </w:r>
          </w:p>
        </w:tc>
        <w:tc>
          <w:tcPr>
            <w:tcW w:w="680" w:type="dxa"/>
            <w:vAlign w:val="bottom"/>
          </w:tcPr>
          <w:p>
            <w:pPr>
              <w:spacing w:after="0"/>
              <w:rPr>
                <w:sz w:val="18"/>
                <w:szCs w:val="18"/>
                <w:color w:val="auto"/>
              </w:rPr>
            </w:pPr>
          </w:p>
        </w:tc>
        <w:tc>
          <w:tcPr>
            <w:tcW w:w="1220" w:type="dxa"/>
            <w:vAlign w:val="bottom"/>
          </w:tcPr>
          <w:p>
            <w:pPr>
              <w:jc w:val="right"/>
              <w:ind w:right="21"/>
              <w:spacing w:after="0" w:line="216" w:lineRule="exact"/>
              <w:rPr>
                <w:sz w:val="20"/>
                <w:szCs w:val="20"/>
                <w:color w:val="auto"/>
              </w:rPr>
            </w:pPr>
            <w:r>
              <w:rPr>
                <w:rFonts w:ascii="Arial" w:cs="Arial" w:eastAsia="Arial" w:hAnsi="Arial"/>
                <w:sz w:val="20"/>
                <w:szCs w:val="20"/>
                <w:color w:val="auto"/>
              </w:rPr>
              <w:t>—</w:t>
            </w:r>
          </w:p>
        </w:tc>
      </w:tr>
      <w:tr>
        <w:trPr>
          <w:trHeight w:val="194"/>
        </w:trPr>
        <w:tc>
          <w:tcPr>
            <w:tcW w:w="7320" w:type="dxa"/>
            <w:vAlign w:val="bottom"/>
            <w:shd w:val="clear" w:color="auto" w:fill="CFF0FC"/>
          </w:tcPr>
          <w:p>
            <w:pPr>
              <w:ind w:left="180"/>
              <w:spacing w:after="0" w:line="194" w:lineRule="exact"/>
              <w:rPr>
                <w:sz w:val="20"/>
                <w:szCs w:val="20"/>
                <w:color w:val="auto"/>
              </w:rPr>
            </w:pPr>
            <w:r>
              <w:rPr>
                <w:rFonts w:ascii="Arial" w:cs="Arial" w:eastAsia="Arial" w:hAnsi="Arial"/>
                <w:sz w:val="20"/>
                <w:szCs w:val="20"/>
                <w:color w:val="auto"/>
              </w:rPr>
              <w:t>Changes in operating assets and liabilities, net of effects of acquisitions</w:t>
            </w:r>
          </w:p>
        </w:tc>
        <w:tc>
          <w:tcPr>
            <w:tcW w:w="54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r>
      <w:tr>
        <w:trPr>
          <w:trHeight w:val="238"/>
        </w:trPr>
        <w:tc>
          <w:tcPr>
            <w:tcW w:w="7320" w:type="dxa"/>
            <w:vAlign w:val="bottom"/>
            <w:shd w:val="clear" w:color="auto" w:fill="CFF0FC"/>
          </w:tcPr>
          <w:p>
            <w:pPr>
              <w:ind w:left="180"/>
              <w:spacing w:after="0"/>
              <w:rPr>
                <w:sz w:val="20"/>
                <w:szCs w:val="20"/>
                <w:color w:val="auto"/>
              </w:rPr>
            </w:pPr>
            <w:r>
              <w:rPr>
                <w:rFonts w:ascii="Arial" w:cs="Arial" w:eastAsia="Arial" w:hAnsi="Arial"/>
                <w:sz w:val="20"/>
                <w:szCs w:val="20"/>
                <w:color w:val="auto"/>
              </w:rPr>
              <w:t>and divestitures:</w:t>
            </w:r>
          </w:p>
        </w:tc>
        <w:tc>
          <w:tcPr>
            <w:tcW w:w="54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r>
      <w:tr>
        <w:trPr>
          <w:trHeight w:val="216"/>
        </w:trPr>
        <w:tc>
          <w:tcPr>
            <w:tcW w:w="7320" w:type="dxa"/>
            <w:vAlign w:val="bottom"/>
          </w:tcPr>
          <w:p>
            <w:pPr>
              <w:ind w:left="220"/>
              <w:spacing w:after="0" w:line="216" w:lineRule="exact"/>
              <w:rPr>
                <w:sz w:val="20"/>
                <w:szCs w:val="20"/>
                <w:color w:val="auto"/>
              </w:rPr>
            </w:pPr>
            <w:r>
              <w:rPr>
                <w:rFonts w:ascii="Arial" w:cs="Arial" w:eastAsia="Arial" w:hAnsi="Arial"/>
                <w:sz w:val="20"/>
                <w:szCs w:val="20"/>
                <w:color w:val="auto"/>
              </w:rPr>
              <w:t>Accounts receivable, net</w:t>
            </w:r>
          </w:p>
        </w:tc>
        <w:tc>
          <w:tcPr>
            <w:tcW w:w="540" w:type="dxa"/>
            <w:vAlign w:val="bottom"/>
          </w:tcPr>
          <w:p>
            <w:pPr>
              <w:spacing w:after="0"/>
              <w:rPr>
                <w:sz w:val="18"/>
                <w:szCs w:val="18"/>
                <w:color w:val="auto"/>
              </w:rPr>
            </w:pPr>
          </w:p>
        </w:tc>
        <w:tc>
          <w:tcPr>
            <w:tcW w:w="1480" w:type="dxa"/>
            <w:vAlign w:val="bottom"/>
          </w:tcPr>
          <w:p>
            <w:pPr>
              <w:jc w:val="right"/>
              <w:ind w:right="1"/>
              <w:spacing w:after="0" w:line="216" w:lineRule="exact"/>
              <w:rPr>
                <w:sz w:val="20"/>
                <w:szCs w:val="20"/>
                <w:color w:val="auto"/>
              </w:rPr>
            </w:pPr>
            <w:r>
              <w:rPr>
                <w:rFonts w:ascii="Arial" w:cs="Arial" w:eastAsia="Arial" w:hAnsi="Arial"/>
                <w:sz w:val="20"/>
                <w:szCs w:val="20"/>
                <w:color w:val="auto"/>
              </w:rPr>
              <w:t>(326)</w:t>
            </w:r>
          </w:p>
        </w:tc>
        <w:tc>
          <w:tcPr>
            <w:tcW w:w="680" w:type="dxa"/>
            <w:vAlign w:val="bottom"/>
          </w:tcPr>
          <w:p>
            <w:pPr>
              <w:spacing w:after="0"/>
              <w:rPr>
                <w:sz w:val="18"/>
                <w:szCs w:val="18"/>
                <w:color w:val="auto"/>
              </w:rPr>
            </w:pPr>
          </w:p>
        </w:tc>
        <w:tc>
          <w:tcPr>
            <w:tcW w:w="1220" w:type="dxa"/>
            <w:vAlign w:val="bottom"/>
          </w:tcPr>
          <w:p>
            <w:pPr>
              <w:jc w:val="right"/>
              <w:spacing w:after="0" w:line="216" w:lineRule="exact"/>
              <w:rPr>
                <w:sz w:val="20"/>
                <w:szCs w:val="20"/>
                <w:color w:val="auto"/>
              </w:rPr>
            </w:pPr>
            <w:r>
              <w:rPr>
                <w:rFonts w:ascii="Arial" w:cs="Arial" w:eastAsia="Arial" w:hAnsi="Arial"/>
                <w:sz w:val="20"/>
                <w:szCs w:val="20"/>
                <w:color w:val="auto"/>
              </w:rPr>
              <w:t>(309)</w:t>
            </w:r>
          </w:p>
        </w:tc>
      </w:tr>
      <w:tr>
        <w:trPr>
          <w:trHeight w:val="216"/>
        </w:trPr>
        <w:tc>
          <w:tcPr>
            <w:tcW w:w="7320" w:type="dxa"/>
            <w:vAlign w:val="bottom"/>
            <w:shd w:val="clear" w:color="auto" w:fill="CFF0FC"/>
          </w:tcPr>
          <w:p>
            <w:pPr>
              <w:ind w:left="220"/>
              <w:spacing w:after="0" w:line="216" w:lineRule="exact"/>
              <w:rPr>
                <w:sz w:val="20"/>
                <w:szCs w:val="20"/>
                <w:color w:val="auto"/>
              </w:rPr>
            </w:pPr>
            <w:r>
              <w:rPr>
                <w:rFonts w:ascii="Arial" w:cs="Arial" w:eastAsia="Arial" w:hAnsi="Arial"/>
                <w:sz w:val="20"/>
                <w:szCs w:val="20"/>
                <w:color w:val="auto"/>
              </w:rPr>
              <w:t>Inventories, net</w:t>
            </w:r>
          </w:p>
        </w:tc>
        <w:tc>
          <w:tcPr>
            <w:tcW w:w="54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81"/>
              <w:spacing w:after="0" w:line="216" w:lineRule="exact"/>
              <w:rPr>
                <w:sz w:val="20"/>
                <w:szCs w:val="20"/>
                <w:color w:val="auto"/>
              </w:rPr>
            </w:pPr>
            <w:r>
              <w:rPr>
                <w:rFonts w:ascii="Arial" w:cs="Arial" w:eastAsia="Arial" w:hAnsi="Arial"/>
                <w:sz w:val="20"/>
                <w:szCs w:val="20"/>
                <w:color w:val="auto"/>
              </w:rPr>
              <w:t>145</w:t>
            </w:r>
          </w:p>
        </w:tc>
        <w:tc>
          <w:tcPr>
            <w:tcW w:w="68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21"/>
              <w:spacing w:after="0" w:line="216" w:lineRule="exact"/>
              <w:rPr>
                <w:sz w:val="20"/>
                <w:szCs w:val="20"/>
                <w:color w:val="auto"/>
              </w:rPr>
            </w:pPr>
            <w:r>
              <w:rPr>
                <w:rFonts w:ascii="Arial" w:cs="Arial" w:eastAsia="Arial" w:hAnsi="Arial"/>
                <w:sz w:val="20"/>
                <w:szCs w:val="20"/>
                <w:color w:val="auto"/>
              </w:rPr>
              <w:t>10</w:t>
            </w:r>
          </w:p>
        </w:tc>
      </w:tr>
      <w:tr>
        <w:trPr>
          <w:trHeight w:val="216"/>
        </w:trPr>
        <w:tc>
          <w:tcPr>
            <w:tcW w:w="7320" w:type="dxa"/>
            <w:vAlign w:val="bottom"/>
          </w:tcPr>
          <w:p>
            <w:pPr>
              <w:ind w:left="220"/>
              <w:spacing w:after="0" w:line="216" w:lineRule="exact"/>
              <w:rPr>
                <w:sz w:val="20"/>
                <w:szCs w:val="20"/>
                <w:color w:val="auto"/>
              </w:rPr>
            </w:pPr>
            <w:r>
              <w:rPr>
                <w:rFonts w:ascii="Arial" w:cs="Arial" w:eastAsia="Arial" w:hAnsi="Arial"/>
                <w:sz w:val="20"/>
                <w:szCs w:val="20"/>
                <w:color w:val="auto"/>
              </w:rPr>
              <w:t>Accounts payable</w:t>
            </w:r>
          </w:p>
        </w:tc>
        <w:tc>
          <w:tcPr>
            <w:tcW w:w="540" w:type="dxa"/>
            <w:vAlign w:val="bottom"/>
          </w:tcPr>
          <w:p>
            <w:pPr>
              <w:spacing w:after="0"/>
              <w:rPr>
                <w:sz w:val="18"/>
                <w:szCs w:val="18"/>
                <w:color w:val="auto"/>
              </w:rPr>
            </w:pPr>
          </w:p>
        </w:tc>
        <w:tc>
          <w:tcPr>
            <w:tcW w:w="1480" w:type="dxa"/>
            <w:vAlign w:val="bottom"/>
          </w:tcPr>
          <w:p>
            <w:pPr>
              <w:jc w:val="right"/>
              <w:ind w:right="81"/>
              <w:spacing w:after="0" w:line="216" w:lineRule="exact"/>
              <w:rPr>
                <w:sz w:val="20"/>
                <w:szCs w:val="20"/>
                <w:color w:val="auto"/>
              </w:rPr>
            </w:pPr>
            <w:r>
              <w:rPr>
                <w:rFonts w:ascii="Arial" w:cs="Arial" w:eastAsia="Arial" w:hAnsi="Arial"/>
                <w:sz w:val="20"/>
                <w:szCs w:val="20"/>
                <w:color w:val="auto"/>
              </w:rPr>
              <w:t>92</w:t>
            </w:r>
          </w:p>
        </w:tc>
        <w:tc>
          <w:tcPr>
            <w:tcW w:w="680" w:type="dxa"/>
            <w:vAlign w:val="bottom"/>
          </w:tcPr>
          <w:p>
            <w:pPr>
              <w:spacing w:after="0"/>
              <w:rPr>
                <w:sz w:val="18"/>
                <w:szCs w:val="18"/>
                <w:color w:val="auto"/>
              </w:rPr>
            </w:pPr>
          </w:p>
        </w:tc>
        <w:tc>
          <w:tcPr>
            <w:tcW w:w="1220" w:type="dxa"/>
            <w:vAlign w:val="bottom"/>
          </w:tcPr>
          <w:p>
            <w:pPr>
              <w:jc w:val="right"/>
              <w:ind w:right="21"/>
              <w:spacing w:after="0" w:line="216" w:lineRule="exact"/>
              <w:rPr>
                <w:sz w:val="20"/>
                <w:szCs w:val="20"/>
                <w:color w:val="auto"/>
              </w:rPr>
            </w:pPr>
            <w:r>
              <w:rPr>
                <w:rFonts w:ascii="Arial" w:cs="Arial" w:eastAsia="Arial" w:hAnsi="Arial"/>
                <w:sz w:val="20"/>
                <w:szCs w:val="20"/>
                <w:color w:val="auto"/>
              </w:rPr>
              <w:t>64</w:t>
            </w:r>
          </w:p>
        </w:tc>
      </w:tr>
      <w:tr>
        <w:trPr>
          <w:trHeight w:val="216"/>
        </w:trPr>
        <w:tc>
          <w:tcPr>
            <w:tcW w:w="7320" w:type="dxa"/>
            <w:vAlign w:val="bottom"/>
            <w:shd w:val="clear" w:color="auto" w:fill="CFF0FC"/>
          </w:tcPr>
          <w:p>
            <w:pPr>
              <w:ind w:left="220"/>
              <w:spacing w:after="0" w:line="216" w:lineRule="exact"/>
              <w:rPr>
                <w:sz w:val="20"/>
                <w:szCs w:val="20"/>
                <w:color w:val="auto"/>
              </w:rPr>
            </w:pPr>
            <w:r>
              <w:rPr>
                <w:rFonts w:ascii="Arial" w:cs="Arial" w:eastAsia="Arial" w:hAnsi="Arial"/>
                <w:sz w:val="20"/>
                <w:szCs w:val="20"/>
                <w:color w:val="auto"/>
              </w:rPr>
              <w:t>Other assets and liabilities, net</w:t>
            </w:r>
          </w:p>
        </w:tc>
        <w:tc>
          <w:tcPr>
            <w:tcW w:w="54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81"/>
              <w:spacing w:after="0" w:line="216" w:lineRule="exact"/>
              <w:rPr>
                <w:sz w:val="20"/>
                <w:szCs w:val="20"/>
                <w:color w:val="auto"/>
              </w:rPr>
            </w:pPr>
            <w:r>
              <w:rPr>
                <w:rFonts w:ascii="Arial" w:cs="Arial" w:eastAsia="Arial" w:hAnsi="Arial"/>
                <w:sz w:val="20"/>
                <w:szCs w:val="20"/>
                <w:color w:val="auto"/>
              </w:rPr>
              <w:t>10</w:t>
            </w:r>
          </w:p>
        </w:tc>
        <w:tc>
          <w:tcPr>
            <w:tcW w:w="6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(33)</w:t>
            </w:r>
          </w:p>
        </w:tc>
      </w:tr>
      <w:tr>
        <w:trPr>
          <w:trHeight w:val="216"/>
        </w:trPr>
        <w:tc>
          <w:tcPr>
            <w:tcW w:w="7320" w:type="dxa"/>
            <w:vAlign w:val="bottom"/>
            <w:tcBorders>
              <w:bottom w:val="single" w:sz="8" w:color="auto"/>
            </w:tcBorders>
          </w:tcPr>
          <w:p>
            <w:pPr>
              <w:ind w:left="180"/>
              <w:spacing w:after="0" w:line="216" w:lineRule="exact"/>
              <w:rPr>
                <w:sz w:val="20"/>
                <w:szCs w:val="20"/>
                <w:color w:val="auto"/>
              </w:rPr>
            </w:pPr>
            <w:r>
              <w:rPr>
                <w:rFonts w:ascii="Arial" w:cs="Arial" w:eastAsia="Arial" w:hAnsi="Arial"/>
                <w:sz w:val="20"/>
                <w:szCs w:val="20"/>
                <w:color w:val="auto"/>
              </w:rPr>
              <w:t>Other items, net</w:t>
            </w:r>
          </w:p>
        </w:tc>
        <w:tc>
          <w:tcPr>
            <w:tcW w:w="5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
              <w:spacing w:after="0" w:line="216" w:lineRule="exact"/>
              <w:rPr>
                <w:sz w:val="20"/>
                <w:szCs w:val="20"/>
                <w:color w:val="auto"/>
              </w:rPr>
            </w:pPr>
            <w:r>
              <w:rPr>
                <w:rFonts w:ascii="Arial" w:cs="Arial" w:eastAsia="Arial" w:hAnsi="Arial"/>
                <w:sz w:val="20"/>
                <w:szCs w:val="20"/>
                <w:color w:val="auto"/>
              </w:rPr>
              <w:t>(11)</w:t>
            </w:r>
          </w:p>
        </w:tc>
        <w:tc>
          <w:tcPr>
            <w:tcW w:w="6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(7)</w:t>
            </w:r>
          </w:p>
        </w:tc>
      </w:tr>
      <w:tr>
        <w:trPr>
          <w:trHeight w:val="210"/>
        </w:trPr>
        <w:tc>
          <w:tcPr>
            <w:tcW w:w="7320" w:type="dxa"/>
            <w:vAlign w:val="bottom"/>
            <w:tcBorders>
              <w:bottom w:val="single" w:sz="8" w:color="auto"/>
            </w:tcBorders>
            <w:shd w:val="clear" w:color="auto" w:fill="CFF0FC"/>
          </w:tcPr>
          <w:p>
            <w:pPr>
              <w:spacing w:after="0" w:line="209" w:lineRule="exact"/>
              <w:rPr>
                <w:sz w:val="20"/>
                <w:szCs w:val="20"/>
                <w:color w:val="auto"/>
              </w:rPr>
            </w:pPr>
            <w:r>
              <w:rPr>
                <w:rFonts w:ascii="Arial" w:cs="Arial" w:eastAsia="Arial" w:hAnsi="Arial"/>
                <w:sz w:val="20"/>
                <w:szCs w:val="20"/>
                <w:b w:val="1"/>
                <w:bCs w:val="1"/>
                <w:color w:val="auto"/>
              </w:rPr>
              <w:t>Net Cash Provided by Operating Activities</w:t>
            </w:r>
          </w:p>
        </w:tc>
        <w:tc>
          <w:tcPr>
            <w:tcW w:w="54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81"/>
              <w:spacing w:after="0" w:line="209" w:lineRule="exact"/>
              <w:rPr>
                <w:sz w:val="20"/>
                <w:szCs w:val="20"/>
                <w:color w:val="auto"/>
              </w:rPr>
            </w:pPr>
            <w:r>
              <w:rPr>
                <w:rFonts w:ascii="Arial" w:cs="Arial" w:eastAsia="Arial" w:hAnsi="Arial"/>
                <w:sz w:val="20"/>
                <w:szCs w:val="20"/>
                <w:color w:val="auto"/>
              </w:rPr>
              <w:t>896</w:t>
            </w:r>
          </w:p>
        </w:tc>
        <w:tc>
          <w:tcPr>
            <w:tcW w:w="6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21"/>
              <w:spacing w:after="0" w:line="209" w:lineRule="exact"/>
              <w:rPr>
                <w:sz w:val="20"/>
                <w:szCs w:val="20"/>
                <w:color w:val="auto"/>
              </w:rPr>
            </w:pPr>
            <w:r>
              <w:rPr>
                <w:rFonts w:ascii="Arial" w:cs="Arial" w:eastAsia="Arial" w:hAnsi="Arial"/>
                <w:sz w:val="20"/>
                <w:szCs w:val="20"/>
                <w:color w:val="auto"/>
              </w:rPr>
              <w:t>1,156</w:t>
            </w:r>
          </w:p>
        </w:tc>
      </w:tr>
      <w:tr>
        <w:trPr>
          <w:trHeight w:val="209"/>
        </w:trPr>
        <w:tc>
          <w:tcPr>
            <w:tcW w:w="7320" w:type="dxa"/>
            <w:vAlign w:val="bottom"/>
          </w:tcPr>
          <w:p>
            <w:pPr>
              <w:spacing w:after="0" w:line="209" w:lineRule="exact"/>
              <w:rPr>
                <w:sz w:val="20"/>
                <w:szCs w:val="20"/>
                <w:color w:val="auto"/>
              </w:rPr>
            </w:pPr>
            <w:r>
              <w:rPr>
                <w:rFonts w:ascii="Arial" w:cs="Arial" w:eastAsia="Arial" w:hAnsi="Arial"/>
                <w:sz w:val="20"/>
                <w:szCs w:val="20"/>
                <w:b w:val="1"/>
                <w:bCs w:val="1"/>
                <w:color w:val="auto"/>
              </w:rPr>
              <w:t>Cash Flows from Investing Activities</w:t>
            </w:r>
          </w:p>
        </w:tc>
        <w:tc>
          <w:tcPr>
            <w:tcW w:w="5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732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Additions to property, plant and equipment</w:t>
            </w:r>
          </w:p>
        </w:tc>
        <w:tc>
          <w:tcPr>
            <w:tcW w:w="54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1"/>
              <w:spacing w:after="0" w:line="216" w:lineRule="exact"/>
              <w:rPr>
                <w:sz w:val="20"/>
                <w:szCs w:val="20"/>
                <w:color w:val="auto"/>
              </w:rPr>
            </w:pPr>
            <w:r>
              <w:rPr>
                <w:rFonts w:ascii="Arial" w:cs="Arial" w:eastAsia="Arial" w:hAnsi="Arial"/>
                <w:sz w:val="20"/>
                <w:szCs w:val="20"/>
                <w:color w:val="auto"/>
              </w:rPr>
              <w:t>(445)</w:t>
            </w:r>
          </w:p>
        </w:tc>
        <w:tc>
          <w:tcPr>
            <w:tcW w:w="6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(602)</w:t>
            </w:r>
          </w:p>
        </w:tc>
      </w:tr>
      <w:tr>
        <w:trPr>
          <w:trHeight w:val="216"/>
        </w:trPr>
        <w:tc>
          <w:tcPr>
            <w:tcW w:w="7320" w:type="dxa"/>
            <w:vAlign w:val="bottom"/>
          </w:tcPr>
          <w:p>
            <w:pPr>
              <w:spacing w:after="0" w:line="216" w:lineRule="exact"/>
              <w:rPr>
                <w:sz w:val="20"/>
                <w:szCs w:val="20"/>
                <w:color w:val="auto"/>
              </w:rPr>
            </w:pPr>
            <w:r>
              <w:rPr>
                <w:rFonts w:ascii="Arial" w:cs="Arial" w:eastAsia="Arial" w:hAnsi="Arial"/>
                <w:sz w:val="20"/>
                <w:szCs w:val="20"/>
                <w:color w:val="auto"/>
              </w:rPr>
              <w:t>Acquisitions, net of cash acquired</w:t>
            </w:r>
          </w:p>
        </w:tc>
        <w:tc>
          <w:tcPr>
            <w:tcW w:w="540" w:type="dxa"/>
            <w:vAlign w:val="bottom"/>
          </w:tcPr>
          <w:p>
            <w:pPr>
              <w:spacing w:after="0"/>
              <w:rPr>
                <w:sz w:val="18"/>
                <w:szCs w:val="18"/>
                <w:color w:val="auto"/>
              </w:rPr>
            </w:pPr>
          </w:p>
        </w:tc>
        <w:tc>
          <w:tcPr>
            <w:tcW w:w="1480" w:type="dxa"/>
            <w:vAlign w:val="bottom"/>
          </w:tcPr>
          <w:p>
            <w:pPr>
              <w:jc w:val="right"/>
              <w:ind w:right="1"/>
              <w:spacing w:after="0" w:line="216" w:lineRule="exact"/>
              <w:rPr>
                <w:sz w:val="20"/>
                <w:szCs w:val="20"/>
                <w:color w:val="auto"/>
              </w:rPr>
            </w:pPr>
            <w:r>
              <w:rPr>
                <w:rFonts w:ascii="Arial" w:cs="Arial" w:eastAsia="Arial" w:hAnsi="Arial"/>
                <w:sz w:val="20"/>
                <w:szCs w:val="20"/>
                <w:color w:val="auto"/>
              </w:rPr>
              <w:t>(7,872)</w:t>
            </w:r>
          </w:p>
        </w:tc>
        <w:tc>
          <w:tcPr>
            <w:tcW w:w="680" w:type="dxa"/>
            <w:vAlign w:val="bottom"/>
          </w:tcPr>
          <w:p>
            <w:pPr>
              <w:spacing w:after="0"/>
              <w:rPr>
                <w:sz w:val="18"/>
                <w:szCs w:val="18"/>
                <w:color w:val="auto"/>
              </w:rPr>
            </w:pPr>
          </w:p>
        </w:tc>
        <w:tc>
          <w:tcPr>
            <w:tcW w:w="1220" w:type="dxa"/>
            <w:vAlign w:val="bottom"/>
          </w:tcPr>
          <w:p>
            <w:pPr>
              <w:jc w:val="right"/>
              <w:spacing w:after="0" w:line="216" w:lineRule="exact"/>
              <w:rPr>
                <w:sz w:val="20"/>
                <w:szCs w:val="20"/>
                <w:color w:val="auto"/>
              </w:rPr>
            </w:pPr>
            <w:r>
              <w:rPr>
                <w:rFonts w:ascii="Arial" w:cs="Arial" w:eastAsia="Arial" w:hAnsi="Arial"/>
                <w:sz w:val="20"/>
                <w:szCs w:val="20"/>
                <w:color w:val="auto"/>
              </w:rPr>
              <w:t>(577)</w:t>
            </w:r>
          </w:p>
        </w:tc>
      </w:tr>
      <w:tr>
        <w:trPr>
          <w:trHeight w:val="216"/>
        </w:trPr>
        <w:tc>
          <w:tcPr>
            <w:tcW w:w="732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Proceeds from divestitures and sales of assets</w:t>
            </w:r>
          </w:p>
        </w:tc>
        <w:tc>
          <w:tcPr>
            <w:tcW w:w="54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81"/>
              <w:spacing w:after="0" w:line="216" w:lineRule="exact"/>
              <w:rPr>
                <w:sz w:val="20"/>
                <w:szCs w:val="20"/>
                <w:color w:val="auto"/>
              </w:rPr>
            </w:pPr>
            <w:r>
              <w:rPr>
                <w:rFonts w:ascii="Arial" w:cs="Arial" w:eastAsia="Arial" w:hAnsi="Arial"/>
                <w:sz w:val="20"/>
                <w:szCs w:val="20"/>
                <w:color w:val="auto"/>
              </w:rPr>
              <w:t>484</w:t>
            </w:r>
          </w:p>
        </w:tc>
        <w:tc>
          <w:tcPr>
            <w:tcW w:w="68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21"/>
              <w:spacing w:after="0" w:line="216" w:lineRule="exact"/>
              <w:rPr>
                <w:sz w:val="20"/>
                <w:szCs w:val="20"/>
                <w:color w:val="auto"/>
              </w:rPr>
            </w:pPr>
            <w:r>
              <w:rPr>
                <w:rFonts w:ascii="Arial" w:cs="Arial" w:eastAsia="Arial" w:hAnsi="Arial"/>
                <w:sz w:val="20"/>
                <w:szCs w:val="20"/>
                <w:color w:val="auto"/>
              </w:rPr>
              <w:t>29</w:t>
            </w:r>
          </w:p>
        </w:tc>
      </w:tr>
      <w:tr>
        <w:trPr>
          <w:trHeight w:val="216"/>
        </w:trPr>
        <w:tc>
          <w:tcPr>
            <w:tcW w:w="7320" w:type="dxa"/>
            <w:vAlign w:val="bottom"/>
          </w:tcPr>
          <w:p>
            <w:pPr>
              <w:spacing w:after="0" w:line="216" w:lineRule="exact"/>
              <w:rPr>
                <w:sz w:val="20"/>
                <w:szCs w:val="20"/>
                <w:color w:val="auto"/>
              </w:rPr>
            </w:pPr>
            <w:r>
              <w:rPr>
                <w:rFonts w:ascii="Arial" w:cs="Arial" w:eastAsia="Arial" w:hAnsi="Arial"/>
                <w:sz w:val="20"/>
                <w:szCs w:val="20"/>
                <w:color w:val="auto"/>
              </w:rPr>
              <w:t>Investments in limited liability company</w:t>
            </w:r>
          </w:p>
        </w:tc>
        <w:tc>
          <w:tcPr>
            <w:tcW w:w="540" w:type="dxa"/>
            <w:vAlign w:val="bottom"/>
          </w:tcPr>
          <w:p>
            <w:pPr>
              <w:spacing w:after="0"/>
              <w:rPr>
                <w:sz w:val="18"/>
                <w:szCs w:val="18"/>
                <w:color w:val="auto"/>
              </w:rPr>
            </w:pPr>
          </w:p>
        </w:tc>
        <w:tc>
          <w:tcPr>
            <w:tcW w:w="1480" w:type="dxa"/>
            <w:vAlign w:val="bottom"/>
          </w:tcPr>
          <w:p>
            <w:pPr>
              <w:jc w:val="right"/>
              <w:ind w:right="1"/>
              <w:spacing w:after="0" w:line="216" w:lineRule="exact"/>
              <w:rPr>
                <w:sz w:val="20"/>
                <w:szCs w:val="20"/>
                <w:color w:val="auto"/>
              </w:rPr>
            </w:pPr>
            <w:r>
              <w:rPr>
                <w:rFonts w:ascii="Arial" w:cs="Arial" w:eastAsia="Arial" w:hAnsi="Arial"/>
                <w:sz w:val="20"/>
                <w:szCs w:val="20"/>
                <w:color w:val="auto"/>
              </w:rPr>
              <w:t>(53)</w:t>
            </w:r>
          </w:p>
        </w:tc>
        <w:tc>
          <w:tcPr>
            <w:tcW w:w="680" w:type="dxa"/>
            <w:vAlign w:val="bottom"/>
          </w:tcPr>
          <w:p>
            <w:pPr>
              <w:spacing w:after="0"/>
              <w:rPr>
                <w:sz w:val="18"/>
                <w:szCs w:val="18"/>
                <w:color w:val="auto"/>
              </w:rPr>
            </w:pPr>
          </w:p>
        </w:tc>
        <w:tc>
          <w:tcPr>
            <w:tcW w:w="1220" w:type="dxa"/>
            <w:vAlign w:val="bottom"/>
          </w:tcPr>
          <w:p>
            <w:pPr>
              <w:jc w:val="right"/>
              <w:spacing w:after="0" w:line="216" w:lineRule="exact"/>
              <w:rPr>
                <w:sz w:val="20"/>
                <w:szCs w:val="20"/>
                <w:color w:val="auto"/>
              </w:rPr>
            </w:pPr>
            <w:r>
              <w:rPr>
                <w:rFonts w:ascii="Arial" w:cs="Arial" w:eastAsia="Arial" w:hAnsi="Arial"/>
                <w:sz w:val="20"/>
                <w:szCs w:val="20"/>
                <w:color w:val="auto"/>
              </w:rPr>
              <w:t>(54)</w:t>
            </w:r>
          </w:p>
        </w:tc>
      </w:tr>
      <w:tr>
        <w:trPr>
          <w:trHeight w:val="216"/>
        </w:trPr>
        <w:tc>
          <w:tcPr>
            <w:tcW w:w="7320" w:type="dxa"/>
            <w:vAlign w:val="bottom"/>
            <w:tcBorders>
              <w:bottom w:val="single" w:sz="8" w:color="auto"/>
            </w:tcBorders>
            <w:shd w:val="clear" w:color="auto" w:fill="CFF0FC"/>
          </w:tcPr>
          <w:p>
            <w:pPr>
              <w:spacing w:after="0" w:line="216" w:lineRule="exact"/>
              <w:rPr>
                <w:sz w:val="20"/>
                <w:szCs w:val="20"/>
                <w:color w:val="auto"/>
              </w:rPr>
            </w:pPr>
            <w:r>
              <w:rPr>
                <w:rFonts w:ascii="Arial" w:cs="Arial" w:eastAsia="Arial" w:hAnsi="Arial"/>
                <w:sz w:val="20"/>
                <w:szCs w:val="20"/>
                <w:color w:val="auto"/>
              </w:rPr>
              <w:t>Other investing activities, net</w:t>
            </w:r>
          </w:p>
        </w:tc>
        <w:tc>
          <w:tcPr>
            <w:tcW w:w="54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81"/>
              <w:spacing w:after="0" w:line="216" w:lineRule="exact"/>
              <w:rPr>
                <w:sz w:val="20"/>
                <w:szCs w:val="20"/>
                <w:color w:val="auto"/>
              </w:rPr>
            </w:pPr>
            <w:r>
              <w:rPr>
                <w:rFonts w:ascii="Arial" w:cs="Arial" w:eastAsia="Arial" w:hAnsi="Arial"/>
                <w:sz w:val="20"/>
                <w:szCs w:val="20"/>
                <w:color w:val="auto"/>
              </w:rPr>
              <w:t>12</w:t>
            </w:r>
          </w:p>
        </w:tc>
        <w:tc>
          <w:tcPr>
            <w:tcW w:w="6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line="216" w:lineRule="exact"/>
              <w:rPr>
                <w:sz w:val="20"/>
                <w:szCs w:val="20"/>
                <w:color w:val="auto"/>
              </w:rPr>
            </w:pPr>
            <w:r>
              <w:rPr>
                <w:rFonts w:ascii="Arial" w:cs="Arial" w:eastAsia="Arial" w:hAnsi="Arial"/>
                <w:sz w:val="20"/>
                <w:szCs w:val="20"/>
                <w:color w:val="auto"/>
              </w:rPr>
              <w:t>(9)</w:t>
            </w:r>
          </w:p>
        </w:tc>
      </w:tr>
      <w:tr>
        <w:trPr>
          <w:trHeight w:val="209"/>
        </w:trPr>
        <w:tc>
          <w:tcPr>
            <w:tcW w:w="7320" w:type="dxa"/>
            <w:vAlign w:val="bottom"/>
            <w:tcBorders>
              <w:bottom w:val="single" w:sz="8" w:color="auto"/>
            </w:tcBorders>
          </w:tcPr>
          <w:p>
            <w:pPr>
              <w:spacing w:after="0" w:line="209" w:lineRule="exact"/>
              <w:rPr>
                <w:sz w:val="20"/>
                <w:szCs w:val="20"/>
                <w:color w:val="auto"/>
              </w:rPr>
            </w:pPr>
            <w:r>
              <w:rPr>
                <w:rFonts w:ascii="Arial" w:cs="Arial" w:eastAsia="Arial" w:hAnsi="Arial"/>
                <w:sz w:val="20"/>
                <w:szCs w:val="20"/>
                <w:b w:val="1"/>
                <w:bCs w:val="1"/>
                <w:color w:val="auto"/>
              </w:rPr>
              <w:t>Net Cash Used for Investing Activities</w:t>
            </w:r>
          </w:p>
        </w:tc>
        <w:tc>
          <w:tcPr>
            <w:tcW w:w="5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(7,874)</w:t>
            </w:r>
          </w:p>
        </w:tc>
        <w:tc>
          <w:tcPr>
            <w:tcW w:w="6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(1,213)</w:t>
            </w:r>
          </w:p>
        </w:tc>
      </w:tr>
      <w:tr>
        <w:trPr>
          <w:trHeight w:val="210"/>
        </w:trPr>
        <w:tc>
          <w:tcPr>
            <w:tcW w:w="7320" w:type="dxa"/>
            <w:vAlign w:val="bottom"/>
            <w:shd w:val="clear" w:color="auto" w:fill="CFF0FC"/>
          </w:tcPr>
          <w:p>
            <w:pPr>
              <w:spacing w:after="0" w:line="209" w:lineRule="exact"/>
              <w:rPr>
                <w:sz w:val="20"/>
                <w:szCs w:val="20"/>
                <w:color w:val="auto"/>
              </w:rPr>
            </w:pPr>
            <w:r>
              <w:rPr>
                <w:rFonts w:ascii="Arial" w:cs="Arial" w:eastAsia="Arial" w:hAnsi="Arial"/>
                <w:sz w:val="20"/>
                <w:szCs w:val="20"/>
                <w:b w:val="1"/>
                <w:bCs w:val="1"/>
                <w:color w:val="auto"/>
              </w:rPr>
              <w:t>Cash Flows from Financing Activities</w:t>
            </w:r>
          </w:p>
        </w:tc>
        <w:tc>
          <w:tcPr>
            <w:tcW w:w="5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r>
      <w:tr>
        <w:trPr>
          <w:trHeight w:val="216"/>
        </w:trPr>
        <w:tc>
          <w:tcPr>
            <w:tcW w:w="7320" w:type="dxa"/>
            <w:vAlign w:val="bottom"/>
          </w:tcPr>
          <w:p>
            <w:pPr>
              <w:spacing w:after="0" w:line="216" w:lineRule="exact"/>
              <w:rPr>
                <w:sz w:val="20"/>
                <w:szCs w:val="20"/>
                <w:color w:val="auto"/>
              </w:rPr>
            </w:pPr>
            <w:r>
              <w:rPr>
                <w:rFonts w:ascii="Arial" w:cs="Arial" w:eastAsia="Arial" w:hAnsi="Arial"/>
                <w:sz w:val="20"/>
                <w:szCs w:val="20"/>
                <w:color w:val="auto"/>
              </w:rPr>
              <w:t>Proceeds from borrowings</w:t>
            </w:r>
          </w:p>
        </w:tc>
        <w:tc>
          <w:tcPr>
            <w:tcW w:w="540" w:type="dxa"/>
            <w:vAlign w:val="bottom"/>
          </w:tcPr>
          <w:p>
            <w:pPr>
              <w:spacing w:after="0"/>
              <w:rPr>
                <w:sz w:val="18"/>
                <w:szCs w:val="18"/>
                <w:color w:val="auto"/>
              </w:rPr>
            </w:pPr>
          </w:p>
        </w:tc>
        <w:tc>
          <w:tcPr>
            <w:tcW w:w="1480" w:type="dxa"/>
            <w:vAlign w:val="bottom"/>
          </w:tcPr>
          <w:p>
            <w:pPr>
              <w:jc w:val="right"/>
              <w:ind w:right="81"/>
              <w:spacing w:after="0" w:line="216" w:lineRule="exact"/>
              <w:rPr>
                <w:sz w:val="20"/>
                <w:szCs w:val="20"/>
                <w:color w:val="auto"/>
              </w:rPr>
            </w:pPr>
            <w:r>
              <w:rPr>
                <w:rFonts w:ascii="Arial" w:cs="Arial" w:eastAsia="Arial" w:hAnsi="Arial"/>
                <w:sz w:val="20"/>
                <w:szCs w:val="20"/>
                <w:color w:val="auto"/>
              </w:rPr>
              <w:t>8,552</w:t>
            </w:r>
          </w:p>
        </w:tc>
        <w:tc>
          <w:tcPr>
            <w:tcW w:w="680" w:type="dxa"/>
            <w:vAlign w:val="bottom"/>
          </w:tcPr>
          <w:p>
            <w:pPr>
              <w:spacing w:after="0"/>
              <w:rPr>
                <w:sz w:val="18"/>
                <w:szCs w:val="18"/>
                <w:color w:val="auto"/>
              </w:rPr>
            </w:pPr>
          </w:p>
        </w:tc>
        <w:tc>
          <w:tcPr>
            <w:tcW w:w="1220" w:type="dxa"/>
            <w:vAlign w:val="bottom"/>
          </w:tcPr>
          <w:p>
            <w:pPr>
              <w:jc w:val="right"/>
              <w:ind w:right="21"/>
              <w:spacing w:after="0" w:line="216" w:lineRule="exact"/>
              <w:rPr>
                <w:sz w:val="20"/>
                <w:szCs w:val="20"/>
                <w:color w:val="auto"/>
              </w:rPr>
            </w:pPr>
            <w:r>
              <w:rPr>
                <w:rFonts w:ascii="Arial" w:cs="Arial" w:eastAsia="Arial" w:hAnsi="Arial"/>
                <w:sz w:val="20"/>
                <w:szCs w:val="20"/>
                <w:color w:val="auto"/>
              </w:rPr>
              <w:t>510</w:t>
            </w:r>
          </w:p>
        </w:tc>
      </w:tr>
      <w:tr>
        <w:trPr>
          <w:trHeight w:val="216"/>
        </w:trPr>
        <w:tc>
          <w:tcPr>
            <w:tcW w:w="732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Repayments of debt</w:t>
            </w:r>
          </w:p>
        </w:tc>
        <w:tc>
          <w:tcPr>
            <w:tcW w:w="54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1"/>
              <w:spacing w:after="0" w:line="216" w:lineRule="exact"/>
              <w:rPr>
                <w:sz w:val="20"/>
                <w:szCs w:val="20"/>
                <w:color w:val="auto"/>
              </w:rPr>
            </w:pPr>
            <w:r>
              <w:rPr>
                <w:rFonts w:ascii="Arial" w:cs="Arial" w:eastAsia="Arial" w:hAnsi="Arial"/>
                <w:sz w:val="20"/>
                <w:szCs w:val="20"/>
                <w:color w:val="auto"/>
              </w:rPr>
              <w:t>(1,040)</w:t>
            </w:r>
          </w:p>
        </w:tc>
        <w:tc>
          <w:tcPr>
            <w:tcW w:w="6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(405)</w:t>
            </w:r>
          </w:p>
        </w:tc>
      </w:tr>
      <w:tr>
        <w:trPr>
          <w:trHeight w:val="216"/>
        </w:trPr>
        <w:tc>
          <w:tcPr>
            <w:tcW w:w="7320" w:type="dxa"/>
            <w:vAlign w:val="bottom"/>
          </w:tcPr>
          <w:p>
            <w:pPr>
              <w:spacing w:after="0" w:line="216" w:lineRule="exact"/>
              <w:rPr>
                <w:sz w:val="20"/>
                <w:szCs w:val="20"/>
                <w:color w:val="auto"/>
              </w:rPr>
            </w:pPr>
            <w:r>
              <w:rPr>
                <w:rFonts w:ascii="Arial" w:cs="Arial" w:eastAsia="Arial" w:hAnsi="Arial"/>
                <w:sz w:val="20"/>
                <w:szCs w:val="20"/>
                <w:color w:val="auto"/>
              </w:rPr>
              <w:t>Bridge financing commitment fees</w:t>
            </w:r>
          </w:p>
        </w:tc>
        <w:tc>
          <w:tcPr>
            <w:tcW w:w="540" w:type="dxa"/>
            <w:vAlign w:val="bottom"/>
          </w:tcPr>
          <w:p>
            <w:pPr>
              <w:spacing w:after="0"/>
              <w:rPr>
                <w:sz w:val="18"/>
                <w:szCs w:val="18"/>
                <w:color w:val="auto"/>
              </w:rPr>
            </w:pPr>
          </w:p>
        </w:tc>
        <w:tc>
          <w:tcPr>
            <w:tcW w:w="1480" w:type="dxa"/>
            <w:vAlign w:val="bottom"/>
          </w:tcPr>
          <w:p>
            <w:pPr>
              <w:jc w:val="right"/>
              <w:ind w:right="1"/>
              <w:spacing w:after="0" w:line="216" w:lineRule="exact"/>
              <w:rPr>
                <w:sz w:val="20"/>
                <w:szCs w:val="20"/>
                <w:color w:val="auto"/>
              </w:rPr>
            </w:pPr>
            <w:r>
              <w:rPr>
                <w:rFonts w:ascii="Arial" w:cs="Arial" w:eastAsia="Arial" w:hAnsi="Arial"/>
                <w:sz w:val="20"/>
                <w:szCs w:val="20"/>
                <w:color w:val="auto"/>
              </w:rPr>
              <w:t>(27)</w:t>
            </w:r>
          </w:p>
        </w:tc>
        <w:tc>
          <w:tcPr>
            <w:tcW w:w="680" w:type="dxa"/>
            <w:vAlign w:val="bottom"/>
          </w:tcPr>
          <w:p>
            <w:pPr>
              <w:spacing w:after="0"/>
              <w:rPr>
                <w:sz w:val="18"/>
                <w:szCs w:val="18"/>
                <w:color w:val="auto"/>
              </w:rPr>
            </w:pPr>
          </w:p>
        </w:tc>
        <w:tc>
          <w:tcPr>
            <w:tcW w:w="1220" w:type="dxa"/>
            <w:vAlign w:val="bottom"/>
          </w:tcPr>
          <w:p>
            <w:pPr>
              <w:jc w:val="right"/>
              <w:ind w:right="21"/>
              <w:spacing w:after="0" w:line="216" w:lineRule="exact"/>
              <w:rPr>
                <w:sz w:val="20"/>
                <w:szCs w:val="20"/>
                <w:color w:val="auto"/>
              </w:rPr>
            </w:pPr>
            <w:r>
              <w:rPr>
                <w:rFonts w:ascii="Arial" w:cs="Arial" w:eastAsia="Arial" w:hAnsi="Arial"/>
                <w:sz w:val="20"/>
                <w:szCs w:val="20"/>
                <w:color w:val="auto"/>
              </w:rPr>
              <w:t>—</w:t>
            </w:r>
          </w:p>
        </w:tc>
      </w:tr>
      <w:tr>
        <w:trPr>
          <w:trHeight w:val="216"/>
        </w:trPr>
        <w:tc>
          <w:tcPr>
            <w:tcW w:w="732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Debt issuance costs</w:t>
            </w:r>
          </w:p>
        </w:tc>
        <w:tc>
          <w:tcPr>
            <w:tcW w:w="54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1"/>
              <w:spacing w:after="0" w:line="216" w:lineRule="exact"/>
              <w:rPr>
                <w:sz w:val="20"/>
                <w:szCs w:val="20"/>
                <w:color w:val="auto"/>
              </w:rPr>
            </w:pPr>
            <w:r>
              <w:rPr>
                <w:rFonts w:ascii="Arial" w:cs="Arial" w:eastAsia="Arial" w:hAnsi="Arial"/>
                <w:sz w:val="20"/>
                <w:szCs w:val="20"/>
                <w:color w:val="auto"/>
              </w:rPr>
              <w:t>(18)</w:t>
            </w:r>
          </w:p>
        </w:tc>
        <w:tc>
          <w:tcPr>
            <w:tcW w:w="68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21"/>
              <w:spacing w:after="0" w:line="216" w:lineRule="exact"/>
              <w:rPr>
                <w:sz w:val="20"/>
                <w:szCs w:val="20"/>
                <w:color w:val="auto"/>
              </w:rPr>
            </w:pPr>
            <w:r>
              <w:rPr>
                <w:rFonts w:ascii="Arial" w:cs="Arial" w:eastAsia="Arial" w:hAnsi="Arial"/>
                <w:sz w:val="20"/>
                <w:szCs w:val="20"/>
                <w:color w:val="auto"/>
              </w:rPr>
              <w:t>—</w:t>
            </w:r>
          </w:p>
        </w:tc>
      </w:tr>
      <w:tr>
        <w:trPr>
          <w:trHeight w:val="216"/>
        </w:trPr>
        <w:tc>
          <w:tcPr>
            <w:tcW w:w="7320" w:type="dxa"/>
            <w:vAlign w:val="bottom"/>
          </w:tcPr>
          <w:p>
            <w:pPr>
              <w:spacing w:after="0" w:line="216" w:lineRule="exact"/>
              <w:rPr>
                <w:sz w:val="20"/>
                <w:szCs w:val="20"/>
                <w:color w:val="auto"/>
              </w:rPr>
            </w:pPr>
            <w:r>
              <w:rPr>
                <w:rFonts w:ascii="Arial" w:cs="Arial" w:eastAsia="Arial" w:hAnsi="Arial"/>
                <w:sz w:val="20"/>
                <w:szCs w:val="20"/>
                <w:color w:val="auto"/>
              </w:rPr>
              <w:t>Payments on finance lease obligations</w:t>
            </w:r>
          </w:p>
        </w:tc>
        <w:tc>
          <w:tcPr>
            <w:tcW w:w="540" w:type="dxa"/>
            <w:vAlign w:val="bottom"/>
          </w:tcPr>
          <w:p>
            <w:pPr>
              <w:spacing w:after="0"/>
              <w:rPr>
                <w:sz w:val="18"/>
                <w:szCs w:val="18"/>
                <w:color w:val="auto"/>
              </w:rPr>
            </w:pPr>
          </w:p>
        </w:tc>
        <w:tc>
          <w:tcPr>
            <w:tcW w:w="1480" w:type="dxa"/>
            <w:vAlign w:val="bottom"/>
          </w:tcPr>
          <w:p>
            <w:pPr>
              <w:jc w:val="right"/>
              <w:ind w:right="1"/>
              <w:spacing w:after="0" w:line="216" w:lineRule="exact"/>
              <w:rPr>
                <w:sz w:val="20"/>
                <w:szCs w:val="20"/>
                <w:color w:val="auto"/>
              </w:rPr>
            </w:pPr>
            <w:r>
              <w:rPr>
                <w:rFonts w:ascii="Arial" w:cs="Arial" w:eastAsia="Arial" w:hAnsi="Arial"/>
                <w:sz w:val="20"/>
                <w:szCs w:val="20"/>
                <w:color w:val="auto"/>
              </w:rPr>
              <w:t>(14)</w:t>
            </w:r>
          </w:p>
        </w:tc>
        <w:tc>
          <w:tcPr>
            <w:tcW w:w="680" w:type="dxa"/>
            <w:vAlign w:val="bottom"/>
          </w:tcPr>
          <w:p>
            <w:pPr>
              <w:spacing w:after="0"/>
              <w:rPr>
                <w:sz w:val="18"/>
                <w:szCs w:val="18"/>
                <w:color w:val="auto"/>
              </w:rPr>
            </w:pPr>
          </w:p>
        </w:tc>
        <w:tc>
          <w:tcPr>
            <w:tcW w:w="1220" w:type="dxa"/>
            <w:vAlign w:val="bottom"/>
          </w:tcPr>
          <w:p>
            <w:pPr>
              <w:jc w:val="right"/>
              <w:spacing w:after="0" w:line="216" w:lineRule="exact"/>
              <w:rPr>
                <w:sz w:val="20"/>
                <w:szCs w:val="20"/>
                <w:color w:val="auto"/>
              </w:rPr>
            </w:pPr>
            <w:r>
              <w:rPr>
                <w:rFonts w:ascii="Arial" w:cs="Arial" w:eastAsia="Arial" w:hAnsi="Arial"/>
                <w:sz w:val="20"/>
                <w:szCs w:val="20"/>
                <w:color w:val="auto"/>
              </w:rPr>
              <w:t>(17)</w:t>
            </w:r>
          </w:p>
        </w:tc>
      </w:tr>
      <w:tr>
        <w:trPr>
          <w:trHeight w:val="216"/>
        </w:trPr>
        <w:tc>
          <w:tcPr>
            <w:tcW w:w="732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Dividends paid</w:t>
            </w:r>
          </w:p>
        </w:tc>
        <w:tc>
          <w:tcPr>
            <w:tcW w:w="54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1"/>
              <w:spacing w:after="0" w:line="216" w:lineRule="exact"/>
              <w:rPr>
                <w:sz w:val="20"/>
                <w:szCs w:val="20"/>
                <w:color w:val="auto"/>
              </w:rPr>
            </w:pPr>
            <w:r>
              <w:rPr>
                <w:rFonts w:ascii="Arial" w:cs="Arial" w:eastAsia="Arial" w:hAnsi="Arial"/>
                <w:sz w:val="20"/>
                <w:szCs w:val="20"/>
                <w:color w:val="auto"/>
              </w:rPr>
              <w:t>(161)</w:t>
            </w:r>
          </w:p>
        </w:tc>
        <w:tc>
          <w:tcPr>
            <w:tcW w:w="6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(147)</w:t>
            </w:r>
          </w:p>
        </w:tc>
      </w:tr>
      <w:tr>
        <w:trPr>
          <w:trHeight w:val="216"/>
        </w:trPr>
        <w:tc>
          <w:tcPr>
            <w:tcW w:w="7320" w:type="dxa"/>
            <w:vAlign w:val="bottom"/>
          </w:tcPr>
          <w:p>
            <w:pPr>
              <w:spacing w:after="0" w:line="216" w:lineRule="exact"/>
              <w:rPr>
                <w:sz w:val="20"/>
                <w:szCs w:val="20"/>
                <w:color w:val="auto"/>
              </w:rPr>
            </w:pPr>
            <w:r>
              <w:rPr>
                <w:rFonts w:ascii="Arial" w:cs="Arial" w:eastAsia="Arial" w:hAnsi="Arial"/>
                <w:sz w:val="20"/>
                <w:szCs w:val="20"/>
                <w:color w:val="auto"/>
              </w:rPr>
              <w:t>Repurchases of common stock</w:t>
            </w:r>
          </w:p>
        </w:tc>
        <w:tc>
          <w:tcPr>
            <w:tcW w:w="540" w:type="dxa"/>
            <w:vAlign w:val="bottom"/>
          </w:tcPr>
          <w:p>
            <w:pPr>
              <w:spacing w:after="0"/>
              <w:rPr>
                <w:sz w:val="18"/>
                <w:szCs w:val="18"/>
                <w:color w:val="auto"/>
              </w:rPr>
            </w:pPr>
          </w:p>
        </w:tc>
        <w:tc>
          <w:tcPr>
            <w:tcW w:w="1480" w:type="dxa"/>
            <w:vAlign w:val="bottom"/>
          </w:tcPr>
          <w:p>
            <w:pPr>
              <w:jc w:val="right"/>
              <w:ind w:right="1"/>
              <w:spacing w:after="0" w:line="216" w:lineRule="exact"/>
              <w:rPr>
                <w:sz w:val="20"/>
                <w:szCs w:val="20"/>
                <w:color w:val="auto"/>
              </w:rPr>
            </w:pPr>
            <w:r>
              <w:rPr>
                <w:rFonts w:ascii="Arial" w:cs="Arial" w:eastAsia="Arial" w:hAnsi="Arial"/>
                <w:sz w:val="20"/>
                <w:szCs w:val="20"/>
                <w:color w:val="auto"/>
              </w:rPr>
              <w:t>(200)</w:t>
            </w:r>
          </w:p>
        </w:tc>
        <w:tc>
          <w:tcPr>
            <w:tcW w:w="680" w:type="dxa"/>
            <w:vAlign w:val="bottom"/>
          </w:tcPr>
          <w:p>
            <w:pPr>
              <w:spacing w:after="0"/>
              <w:rPr>
                <w:sz w:val="18"/>
                <w:szCs w:val="18"/>
                <w:color w:val="auto"/>
              </w:rPr>
            </w:pPr>
          </w:p>
        </w:tc>
        <w:tc>
          <w:tcPr>
            <w:tcW w:w="1220" w:type="dxa"/>
            <w:vAlign w:val="bottom"/>
          </w:tcPr>
          <w:p>
            <w:pPr>
              <w:jc w:val="right"/>
              <w:spacing w:after="0" w:line="216" w:lineRule="exact"/>
              <w:rPr>
                <w:sz w:val="20"/>
                <w:szCs w:val="20"/>
                <w:color w:val="auto"/>
              </w:rPr>
            </w:pPr>
            <w:r>
              <w:rPr>
                <w:rFonts w:ascii="Arial" w:cs="Arial" w:eastAsia="Arial" w:hAnsi="Arial"/>
                <w:sz w:val="20"/>
                <w:szCs w:val="20"/>
                <w:color w:val="auto"/>
              </w:rPr>
              <w:t>(450)</w:t>
            </w:r>
          </w:p>
        </w:tc>
      </w:tr>
      <w:tr>
        <w:trPr>
          <w:trHeight w:val="216"/>
        </w:trPr>
        <w:tc>
          <w:tcPr>
            <w:tcW w:w="732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Shares withheld for employees’ income tax obligations</w:t>
            </w:r>
          </w:p>
        </w:tc>
        <w:tc>
          <w:tcPr>
            <w:tcW w:w="54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1"/>
              <w:spacing w:after="0" w:line="216" w:lineRule="exact"/>
              <w:rPr>
                <w:sz w:val="20"/>
                <w:szCs w:val="20"/>
                <w:color w:val="auto"/>
              </w:rPr>
            </w:pPr>
            <w:r>
              <w:rPr>
                <w:rFonts w:ascii="Arial" w:cs="Arial" w:eastAsia="Arial" w:hAnsi="Arial"/>
                <w:sz w:val="20"/>
                <w:szCs w:val="20"/>
                <w:color w:val="auto"/>
              </w:rPr>
              <w:t>(29)</w:t>
            </w:r>
          </w:p>
        </w:tc>
        <w:tc>
          <w:tcPr>
            <w:tcW w:w="6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(29)</w:t>
            </w:r>
          </w:p>
        </w:tc>
      </w:tr>
      <w:tr>
        <w:trPr>
          <w:trHeight w:val="216"/>
        </w:trPr>
        <w:tc>
          <w:tcPr>
            <w:tcW w:w="7320" w:type="dxa"/>
            <w:vAlign w:val="bottom"/>
            <w:tcBorders>
              <w:bottom w:val="single" w:sz="8" w:color="auto"/>
            </w:tcBorders>
          </w:tcPr>
          <w:p>
            <w:pPr>
              <w:spacing w:after="0" w:line="216" w:lineRule="exact"/>
              <w:rPr>
                <w:sz w:val="20"/>
                <w:szCs w:val="20"/>
                <w:color w:val="auto"/>
              </w:rPr>
            </w:pPr>
            <w:r>
              <w:rPr>
                <w:rFonts w:ascii="Arial" w:cs="Arial" w:eastAsia="Arial" w:hAnsi="Arial"/>
                <w:sz w:val="20"/>
                <w:szCs w:val="20"/>
                <w:color w:val="auto"/>
              </w:rPr>
              <w:t>Other financing activities, net</w:t>
            </w:r>
          </w:p>
        </w:tc>
        <w:tc>
          <w:tcPr>
            <w:tcW w:w="5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81"/>
              <w:spacing w:after="0" w:line="216" w:lineRule="exact"/>
              <w:rPr>
                <w:sz w:val="20"/>
                <w:szCs w:val="20"/>
                <w:color w:val="auto"/>
              </w:rPr>
            </w:pPr>
            <w:r>
              <w:rPr>
                <w:rFonts w:ascii="Arial" w:cs="Arial" w:eastAsia="Arial" w:hAnsi="Arial"/>
                <w:sz w:val="20"/>
                <w:szCs w:val="20"/>
                <w:color w:val="auto"/>
              </w:rPr>
              <w:t>—</w:t>
            </w:r>
          </w:p>
        </w:tc>
        <w:tc>
          <w:tcPr>
            <w:tcW w:w="6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(5)</w:t>
            </w:r>
          </w:p>
        </w:tc>
      </w:tr>
      <w:tr>
        <w:trPr>
          <w:trHeight w:val="210"/>
        </w:trPr>
        <w:tc>
          <w:tcPr>
            <w:tcW w:w="7320" w:type="dxa"/>
            <w:vAlign w:val="bottom"/>
            <w:tcBorders>
              <w:bottom w:val="single" w:sz="8" w:color="auto"/>
            </w:tcBorders>
            <w:shd w:val="clear" w:color="auto" w:fill="CFF0FC"/>
          </w:tcPr>
          <w:p>
            <w:pPr>
              <w:spacing w:after="0" w:line="209" w:lineRule="exact"/>
              <w:rPr>
                <w:sz w:val="20"/>
                <w:szCs w:val="20"/>
                <w:color w:val="auto"/>
              </w:rPr>
            </w:pPr>
            <w:r>
              <w:rPr>
                <w:rFonts w:ascii="Arial" w:cs="Arial" w:eastAsia="Arial" w:hAnsi="Arial"/>
                <w:sz w:val="20"/>
                <w:szCs w:val="20"/>
                <w:b w:val="1"/>
                <w:bCs w:val="1"/>
                <w:color w:val="auto"/>
              </w:rPr>
              <w:t>Net Cash Provided by (Used for) Financing Activities</w:t>
            </w:r>
          </w:p>
        </w:tc>
        <w:tc>
          <w:tcPr>
            <w:tcW w:w="54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81"/>
              <w:spacing w:after="0" w:line="209" w:lineRule="exact"/>
              <w:rPr>
                <w:sz w:val="20"/>
                <w:szCs w:val="20"/>
                <w:color w:val="auto"/>
              </w:rPr>
            </w:pPr>
            <w:r>
              <w:rPr>
                <w:rFonts w:ascii="Arial" w:cs="Arial" w:eastAsia="Arial" w:hAnsi="Arial"/>
                <w:sz w:val="20"/>
                <w:szCs w:val="20"/>
                <w:color w:val="auto"/>
              </w:rPr>
              <w:t>7,063</w:t>
            </w:r>
          </w:p>
        </w:tc>
        <w:tc>
          <w:tcPr>
            <w:tcW w:w="6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line="209" w:lineRule="exact"/>
              <w:rPr>
                <w:sz w:val="20"/>
                <w:szCs w:val="20"/>
                <w:color w:val="auto"/>
              </w:rPr>
            </w:pPr>
            <w:r>
              <w:rPr>
                <w:rFonts w:ascii="Arial" w:cs="Arial" w:eastAsia="Arial" w:hAnsi="Arial"/>
                <w:sz w:val="20"/>
                <w:szCs w:val="20"/>
                <w:color w:val="auto"/>
              </w:rPr>
              <w:t>(543)</w:t>
            </w:r>
          </w:p>
        </w:tc>
      </w:tr>
      <w:tr>
        <w:trPr>
          <w:trHeight w:val="210"/>
        </w:trPr>
        <w:tc>
          <w:tcPr>
            <w:tcW w:w="7320" w:type="dxa"/>
            <w:vAlign w:val="bottom"/>
          </w:tcPr>
          <w:p>
            <w:pPr>
              <w:spacing w:after="0" w:line="209" w:lineRule="exact"/>
              <w:rPr>
                <w:sz w:val="20"/>
                <w:szCs w:val="20"/>
                <w:color w:val="auto"/>
              </w:rPr>
            </w:pPr>
            <w:r>
              <w:rPr>
                <w:rFonts w:ascii="Arial" w:cs="Arial" w:eastAsia="Arial" w:hAnsi="Arial"/>
                <w:sz w:val="20"/>
                <w:szCs w:val="20"/>
                <w:color w:val="auto"/>
              </w:rPr>
              <w:t>Net Increase (Decrease) in Cash, Cash Equivalents and Restricted Cash</w:t>
            </w:r>
          </w:p>
        </w:tc>
        <w:tc>
          <w:tcPr>
            <w:tcW w:w="540" w:type="dxa"/>
            <w:vAlign w:val="bottom"/>
          </w:tcPr>
          <w:p>
            <w:pPr>
              <w:spacing w:after="0"/>
              <w:rPr>
                <w:sz w:val="18"/>
                <w:szCs w:val="18"/>
                <w:color w:val="auto"/>
              </w:rPr>
            </w:pPr>
          </w:p>
        </w:tc>
        <w:tc>
          <w:tcPr>
            <w:tcW w:w="1480" w:type="dxa"/>
            <w:vAlign w:val="bottom"/>
          </w:tcPr>
          <w:p>
            <w:pPr>
              <w:jc w:val="right"/>
              <w:ind w:right="81"/>
              <w:spacing w:after="0" w:line="209" w:lineRule="exact"/>
              <w:rPr>
                <w:sz w:val="20"/>
                <w:szCs w:val="20"/>
                <w:color w:val="auto"/>
              </w:rPr>
            </w:pPr>
            <w:r>
              <w:rPr>
                <w:rFonts w:ascii="Arial" w:cs="Arial" w:eastAsia="Arial" w:hAnsi="Arial"/>
                <w:sz w:val="20"/>
                <w:szCs w:val="20"/>
                <w:color w:val="auto"/>
              </w:rPr>
              <w:t>85</w:t>
            </w:r>
          </w:p>
        </w:tc>
        <w:tc>
          <w:tcPr>
            <w:tcW w:w="680" w:type="dxa"/>
            <w:vAlign w:val="bottom"/>
          </w:tcPr>
          <w:p>
            <w:pPr>
              <w:spacing w:after="0"/>
              <w:rPr>
                <w:sz w:val="18"/>
                <w:szCs w:val="18"/>
                <w:color w:val="auto"/>
              </w:rPr>
            </w:pPr>
          </w:p>
        </w:tc>
        <w:tc>
          <w:tcPr>
            <w:tcW w:w="1220" w:type="dxa"/>
            <w:vAlign w:val="bottom"/>
          </w:tcPr>
          <w:p>
            <w:pPr>
              <w:jc w:val="right"/>
              <w:spacing w:after="0" w:line="209" w:lineRule="exact"/>
              <w:rPr>
                <w:sz w:val="20"/>
                <w:szCs w:val="20"/>
                <w:color w:val="auto"/>
              </w:rPr>
            </w:pPr>
            <w:r>
              <w:rPr>
                <w:rFonts w:ascii="Arial" w:cs="Arial" w:eastAsia="Arial" w:hAnsi="Arial"/>
                <w:sz w:val="20"/>
                <w:szCs w:val="20"/>
                <w:color w:val="auto"/>
              </w:rPr>
              <w:t>(600)</w:t>
            </w:r>
          </w:p>
        </w:tc>
      </w:tr>
      <w:tr>
        <w:trPr>
          <w:trHeight w:val="216"/>
        </w:trPr>
        <w:tc>
          <w:tcPr>
            <w:tcW w:w="7320" w:type="dxa"/>
            <w:vAlign w:val="bottom"/>
            <w:tcBorders>
              <w:bottom w:val="single" w:sz="8" w:color="auto"/>
            </w:tcBorders>
            <w:shd w:val="clear" w:color="auto" w:fill="CFF0FC"/>
          </w:tcPr>
          <w:p>
            <w:pPr>
              <w:spacing w:after="0" w:line="216" w:lineRule="exact"/>
              <w:rPr>
                <w:sz w:val="20"/>
                <w:szCs w:val="20"/>
                <w:color w:val="auto"/>
              </w:rPr>
            </w:pPr>
            <w:r>
              <w:rPr>
                <w:rFonts w:ascii="Arial" w:cs="Arial" w:eastAsia="Arial" w:hAnsi="Arial"/>
                <w:sz w:val="20"/>
                <w:szCs w:val="20"/>
                <w:b w:val="1"/>
                <w:bCs w:val="1"/>
                <w:color w:val="auto"/>
              </w:rPr>
              <w:t>Cash, Cash Equivalents and Restricted Cash, beginning of period</w:t>
            </w:r>
          </w:p>
        </w:tc>
        <w:tc>
          <w:tcPr>
            <w:tcW w:w="54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81"/>
              <w:spacing w:after="0" w:line="216" w:lineRule="exact"/>
              <w:rPr>
                <w:sz w:val="20"/>
                <w:szCs w:val="20"/>
                <w:color w:val="auto"/>
              </w:rPr>
            </w:pPr>
            <w:r>
              <w:rPr>
                <w:rFonts w:ascii="Arial" w:cs="Arial" w:eastAsia="Arial" w:hAnsi="Arial"/>
                <w:sz w:val="20"/>
                <w:szCs w:val="20"/>
                <w:color w:val="auto"/>
              </w:rPr>
              <w:t>67</w:t>
            </w:r>
          </w:p>
        </w:tc>
        <w:tc>
          <w:tcPr>
            <w:tcW w:w="6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21"/>
              <w:spacing w:after="0" w:line="216" w:lineRule="exact"/>
              <w:rPr>
                <w:sz w:val="20"/>
                <w:szCs w:val="20"/>
                <w:color w:val="auto"/>
              </w:rPr>
            </w:pPr>
            <w:r>
              <w:rPr>
                <w:rFonts w:ascii="Arial" w:cs="Arial" w:eastAsia="Arial" w:hAnsi="Arial"/>
                <w:sz w:val="20"/>
                <w:szCs w:val="20"/>
                <w:color w:val="auto"/>
              </w:rPr>
              <w:t>670</w:t>
            </w:r>
          </w:p>
        </w:tc>
      </w:tr>
      <w:tr>
        <w:trPr>
          <w:trHeight w:val="210"/>
        </w:trPr>
        <w:tc>
          <w:tcPr>
            <w:tcW w:w="7320" w:type="dxa"/>
            <w:vAlign w:val="bottom"/>
            <w:tcBorders>
              <w:bottom w:val="single" w:sz="8" w:color="auto"/>
            </w:tcBorders>
          </w:tcPr>
          <w:p>
            <w:pPr>
              <w:spacing w:after="0" w:line="209" w:lineRule="exact"/>
              <w:rPr>
                <w:sz w:val="20"/>
                <w:szCs w:val="20"/>
                <w:color w:val="auto"/>
              </w:rPr>
            </w:pPr>
            <w:r>
              <w:rPr>
                <w:rFonts w:ascii="Arial" w:cs="Arial" w:eastAsia="Arial" w:hAnsi="Arial"/>
                <w:sz w:val="20"/>
                <w:szCs w:val="20"/>
                <w:b w:val="1"/>
                <w:bCs w:val="1"/>
                <w:color w:val="auto"/>
              </w:rPr>
              <w:t>Cash, Cash Equivalents and Restricted Cash, end of period</w:t>
            </w:r>
          </w:p>
        </w:tc>
        <w:tc>
          <w:tcPr>
            <w:tcW w:w="540" w:type="dxa"/>
            <w:vAlign w:val="bottom"/>
            <w:tcBorders>
              <w:bottom w:val="single" w:sz="8" w:color="auto"/>
            </w:tcBorders>
          </w:tcPr>
          <w:p>
            <w:pPr>
              <w:jc w:val="right"/>
              <w:ind w:right="141"/>
              <w:spacing w:after="0" w:line="209" w:lineRule="exact"/>
              <w:rPr>
                <w:sz w:val="20"/>
                <w:szCs w:val="20"/>
                <w:color w:val="auto"/>
              </w:rPr>
            </w:pPr>
            <w:r>
              <w:rPr>
                <w:rFonts w:ascii="Arial" w:cs="Arial" w:eastAsia="Arial" w:hAnsi="Arial"/>
                <w:sz w:val="20"/>
                <w:szCs w:val="20"/>
                <w:color w:val="auto"/>
              </w:rPr>
              <w:t>$</w:t>
            </w:r>
          </w:p>
        </w:tc>
        <w:tc>
          <w:tcPr>
            <w:tcW w:w="1480" w:type="dxa"/>
            <w:vAlign w:val="bottom"/>
            <w:tcBorders>
              <w:bottom w:val="single" w:sz="8" w:color="auto"/>
            </w:tcBorders>
          </w:tcPr>
          <w:p>
            <w:pPr>
              <w:jc w:val="right"/>
              <w:ind w:right="81"/>
              <w:spacing w:after="0" w:line="209" w:lineRule="exact"/>
              <w:rPr>
                <w:sz w:val="20"/>
                <w:szCs w:val="20"/>
                <w:color w:val="auto"/>
              </w:rPr>
            </w:pPr>
            <w:r>
              <w:rPr>
                <w:rFonts w:ascii="Arial" w:cs="Arial" w:eastAsia="Arial" w:hAnsi="Arial"/>
                <w:sz w:val="20"/>
                <w:szCs w:val="20"/>
                <w:color w:val="auto"/>
              </w:rPr>
              <w:t>152</w:t>
            </w:r>
          </w:p>
        </w:tc>
        <w:tc>
          <w:tcPr>
            <w:tcW w:w="680" w:type="dxa"/>
            <w:vAlign w:val="bottom"/>
            <w:tcBorders>
              <w:bottom w:val="single" w:sz="8" w:color="auto"/>
            </w:tcBorders>
          </w:tcPr>
          <w:p>
            <w:pPr>
              <w:jc w:val="right"/>
              <w:ind w:right="361"/>
              <w:spacing w:after="0" w:line="209" w:lineRule="exact"/>
              <w:rPr>
                <w:sz w:val="20"/>
                <w:szCs w:val="20"/>
                <w:color w:val="auto"/>
              </w:rPr>
            </w:pPr>
            <w:r>
              <w:rPr>
                <w:rFonts w:ascii="Arial" w:cs="Arial" w:eastAsia="Arial" w:hAnsi="Arial"/>
                <w:sz w:val="20"/>
                <w:szCs w:val="20"/>
                <w:color w:val="auto"/>
              </w:rPr>
              <w:t>$</w:t>
            </w:r>
          </w:p>
        </w:tc>
        <w:tc>
          <w:tcPr>
            <w:tcW w:w="1220" w:type="dxa"/>
            <w:vAlign w:val="bottom"/>
            <w:tcBorders>
              <w:bottom w:val="single" w:sz="8" w:color="auto"/>
            </w:tcBorders>
          </w:tcPr>
          <w:p>
            <w:pPr>
              <w:jc w:val="right"/>
              <w:ind w:right="21"/>
              <w:spacing w:after="0" w:line="209" w:lineRule="exact"/>
              <w:rPr>
                <w:sz w:val="20"/>
                <w:szCs w:val="20"/>
                <w:color w:val="auto"/>
              </w:rPr>
            </w:pPr>
            <w:r>
              <w:rPr>
                <w:rFonts w:ascii="Arial" w:cs="Arial" w:eastAsia="Arial" w:hAnsi="Arial"/>
                <w:sz w:val="20"/>
                <w:szCs w:val="20"/>
                <w:color w:val="auto"/>
              </w:rPr>
              <w:t>70</w:t>
            </w:r>
          </w:p>
        </w:tc>
      </w:tr>
      <w:tr>
        <w:trPr>
          <w:trHeight w:val="20"/>
        </w:trPr>
        <w:tc>
          <w:tcPr>
            <w:tcW w:w="7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652"/>
        </w:trPr>
        <w:tc>
          <w:tcPr>
            <w:tcW w:w="7320" w:type="dxa"/>
            <w:vAlign w:val="bottom"/>
          </w:tcPr>
          <w:p>
            <w:pPr>
              <w:ind w:left="5520"/>
              <w:spacing w:after="0"/>
              <w:rPr>
                <w:sz w:val="20"/>
                <w:szCs w:val="20"/>
                <w:color w:val="auto"/>
              </w:rPr>
            </w:pPr>
            <w:r>
              <w:rPr>
                <w:rFonts w:ascii="Arial" w:cs="Arial" w:eastAsia="Arial" w:hAnsi="Arial"/>
                <w:sz w:val="20"/>
                <w:szCs w:val="20"/>
                <w:color w:val="auto"/>
              </w:rPr>
              <w:t>13</w:t>
            </w:r>
          </w:p>
        </w:tc>
        <w:tc>
          <w:tcPr>
            <w:tcW w:w="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740"/>
        </w:trPr>
        <w:tc>
          <w:tcPr>
            <w:tcW w:w="73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-6351270</wp:posOffset>
            </wp:positionV>
            <wp:extent cx="23742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6" w:name="page17"/>
    <w:bookmarkEnd w:id="16"/>
    <w:p>
      <w:pPr>
        <w:spacing w:after="0"/>
        <w:rPr>
          <w:sz w:val="20"/>
          <w:szCs w:val="20"/>
          <w:color w:val="auto"/>
        </w:rPr>
      </w:pPr>
      <w:r>
        <w:rPr>
          <w:rFonts w:ascii="Arial" w:cs="Arial" w:eastAsia="Arial" w:hAnsi="Arial"/>
          <w:sz w:val="22"/>
          <w:szCs w:val="22"/>
          <w:color w:val="auto"/>
        </w:rPr>
        <w:t>Appendix</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MARTIN MARIETTA MATERIALS, INC.</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Additional Notes</w:t>
      </w:r>
    </w:p>
    <w:p>
      <w:pPr>
        <w:spacing w:after="0" w:line="184" w:lineRule="exact"/>
        <w:rPr>
          <w:sz w:val="20"/>
          <w:szCs w:val="20"/>
          <w:color w:val="auto"/>
        </w:rPr>
      </w:pPr>
    </w:p>
    <w:p>
      <w:pPr>
        <w:ind w:left="240" w:right="20" w:hanging="232"/>
        <w:spacing w:after="0" w:line="257" w:lineRule="auto"/>
        <w:tabs>
          <w:tab w:leader="none" w:pos="230" w:val="left"/>
        </w:tabs>
        <w:numPr>
          <w:ilvl w:val="0"/>
          <w:numId w:val="9"/>
        </w:numPr>
        <w:rPr>
          <w:rFonts w:ascii="Arial" w:cs="Arial" w:eastAsia="Arial" w:hAnsi="Arial"/>
          <w:sz w:val="20"/>
          <w:szCs w:val="20"/>
          <w:color w:val="auto"/>
        </w:rPr>
      </w:pPr>
      <w:r>
        <w:rPr>
          <w:rFonts w:ascii="Arial" w:cs="Arial" w:eastAsia="Arial" w:hAnsi="Arial"/>
          <w:sz w:val="20"/>
          <w:szCs w:val="20"/>
          <w:color w:val="auto"/>
        </w:rPr>
        <w:t>Revenues for the three- and nine-month periods ended September 30, 2026 and September 30, 2025, included the sales of products and services to customers (net of any discounts or allowances) and freight revenues for continuing operations.</w:t>
      </w:r>
    </w:p>
    <w:p>
      <w:pPr>
        <w:spacing w:after="0" w:line="155" w:lineRule="exact"/>
        <w:rPr>
          <w:rFonts w:ascii="Arial" w:cs="Arial" w:eastAsia="Arial" w:hAnsi="Arial"/>
          <w:sz w:val="20"/>
          <w:szCs w:val="20"/>
          <w:color w:val="auto"/>
        </w:rPr>
      </w:pPr>
    </w:p>
    <w:p>
      <w:pPr>
        <w:jc w:val="both"/>
        <w:ind w:left="240" w:hanging="232"/>
        <w:spacing w:after="0" w:line="231" w:lineRule="auto"/>
        <w:tabs>
          <w:tab w:leader="none" w:pos="266" w:val="left"/>
        </w:tabs>
        <w:numPr>
          <w:ilvl w:val="0"/>
          <w:numId w:val="9"/>
        </w:numPr>
        <w:rPr>
          <w:rFonts w:ascii="Arial" w:cs="Arial" w:eastAsia="Arial" w:hAnsi="Arial"/>
          <w:sz w:val="20"/>
          <w:szCs w:val="20"/>
          <w:color w:val="auto"/>
        </w:rPr>
      </w:pPr>
      <w:r>
        <w:rPr>
          <w:rFonts w:ascii="Arial" w:cs="Arial" w:eastAsia="Arial" w:hAnsi="Arial"/>
          <w:sz w:val="20"/>
          <w:szCs w:val="20"/>
          <w:color w:val="auto"/>
        </w:rPr>
        <w:t>Net earnings from continuing operations attributable to Martin Marietta and earnings per diluted share from continuing operations included charges of $99 million and $1.53 per diluted share, respectively, for the quarter ended September 30, 2026, and $181 million and $2.93 per diluted share, respectively, for the year-to-date period ended September 30, 2026. These charges relate to (i) acquisition, divestiture and integration expenses and the impact of selling acquired inventory after markup to fair value as part of acquisition accounting for transactions meeting the Company's threshold for adding back for purposes of Adjusted EBITDA from continuing operations; (ii) an asset and portfolio rationalization charge and (iii) solely for the year-to-date period ended September 30, 2026, the revaluation of deferred tax liabilities driven by changes in the state jurisdictional mix of the business following the February 2026 QUIKRETE asset exchange.</w:t>
      </w:r>
    </w:p>
    <w:p>
      <w:pPr>
        <w:spacing w:after="0" w:line="171" w:lineRule="exact"/>
        <w:rPr>
          <w:rFonts w:ascii="Arial" w:cs="Arial" w:eastAsia="Arial" w:hAnsi="Arial"/>
          <w:sz w:val="20"/>
          <w:szCs w:val="20"/>
          <w:color w:val="auto"/>
        </w:rPr>
      </w:pPr>
    </w:p>
    <w:p>
      <w:pPr>
        <w:jc w:val="both"/>
        <w:ind w:left="240" w:hanging="232"/>
        <w:spacing w:after="0" w:line="247" w:lineRule="auto"/>
        <w:tabs>
          <w:tab w:leader="none" w:pos="234" w:val="left"/>
        </w:tabs>
        <w:numPr>
          <w:ilvl w:val="0"/>
          <w:numId w:val="9"/>
        </w:numPr>
        <w:rPr>
          <w:rFonts w:ascii="Arial" w:cs="Arial" w:eastAsia="Arial" w:hAnsi="Arial"/>
          <w:sz w:val="20"/>
          <w:szCs w:val="20"/>
          <w:color w:val="auto"/>
        </w:rPr>
      </w:pPr>
      <w:r>
        <w:rPr>
          <w:rFonts w:ascii="Arial" w:cs="Arial" w:eastAsia="Arial" w:hAnsi="Arial"/>
          <w:sz w:val="20"/>
          <w:szCs w:val="20"/>
          <w:b w:val="1"/>
          <w:bCs w:val="1"/>
          <w:color w:val="auto"/>
        </w:rPr>
        <w:t xml:space="preserve">Organic mix-adjusted ASP </w:t>
      </w:r>
      <w:r>
        <w:rPr>
          <w:rFonts w:ascii="Arial" w:cs="Arial" w:eastAsia="Arial" w:hAnsi="Arial"/>
          <w:sz w:val="20"/>
          <w:szCs w:val="20"/>
          <w:color w:val="auto"/>
        </w:rPr>
        <w:t>represents Organic ASP adjusted to reflect consistent geographic mix between periods and is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calculated by comparing Organic ASP for current-period shipments to Organic ASP for shipments in the comparable prior period. Please refer to the </w:t>
      </w:r>
      <w:r>
        <w:rPr>
          <w:rFonts w:ascii="Arial" w:cs="Arial" w:eastAsia="Arial" w:hAnsi="Arial"/>
          <w:sz w:val="20"/>
          <w:szCs w:val="20"/>
          <w:b w:val="1"/>
          <w:bCs w:val="1"/>
          <w:color w:val="auto"/>
        </w:rPr>
        <w:t>Investors</w:t>
      </w:r>
      <w:r>
        <w:rPr>
          <w:rFonts w:ascii="Arial" w:cs="Arial" w:eastAsia="Arial" w:hAnsi="Arial"/>
          <w:sz w:val="20"/>
          <w:szCs w:val="20"/>
          <w:color w:val="auto"/>
        </w:rPr>
        <w:t xml:space="preserve"> section of the Company's website for definitions of ASP and Organic ASP.</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7" w:name="page18"/>
    <w:bookmarkEnd w:id="17"/>
    <w:p>
      <w:pPr>
        <w:spacing w:after="0"/>
        <w:rPr>
          <w:sz w:val="20"/>
          <w:szCs w:val="20"/>
          <w:color w:val="auto"/>
        </w:rPr>
      </w:pPr>
      <w:r>
        <w:rPr>
          <w:rFonts w:ascii="Arial" w:cs="Arial" w:eastAsia="Arial" w:hAnsi="Arial"/>
          <w:sz w:val="22"/>
          <w:szCs w:val="22"/>
          <w:color w:val="auto"/>
        </w:rPr>
        <w:t>Appendix</w:t>
      </w:r>
    </w:p>
    <w:p>
      <w:pPr>
        <w:spacing w:after="0" w:line="200" w:lineRule="exact"/>
        <w:rPr>
          <w:sz w:val="20"/>
          <w:szCs w:val="20"/>
          <w:color w:val="auto"/>
        </w:rPr>
      </w:pPr>
    </w:p>
    <w:p>
      <w:pPr>
        <w:spacing w:after="0" w:line="225" w:lineRule="exact"/>
        <w:rPr>
          <w:sz w:val="20"/>
          <w:szCs w:val="20"/>
          <w:color w:val="auto"/>
        </w:rPr>
      </w:pPr>
    </w:p>
    <w:p>
      <w:pPr>
        <w:ind w:left="3840"/>
        <w:spacing w:after="0"/>
        <w:rPr>
          <w:sz w:val="20"/>
          <w:szCs w:val="20"/>
          <w:color w:val="auto"/>
        </w:rPr>
      </w:pPr>
      <w:r>
        <w:rPr>
          <w:rFonts w:ascii="Arial" w:cs="Arial" w:eastAsia="Arial" w:hAnsi="Arial"/>
          <w:sz w:val="20"/>
          <w:szCs w:val="20"/>
          <w:b w:val="1"/>
          <w:bCs w:val="1"/>
          <w:color w:val="auto"/>
        </w:rPr>
        <w:t>MARTIN MARIETTA MATERIALS, INC.</w:t>
      </w:r>
    </w:p>
    <w:p>
      <w:pPr>
        <w:spacing w:after="0" w:line="6" w:lineRule="exact"/>
        <w:rPr>
          <w:sz w:val="20"/>
          <w:szCs w:val="20"/>
          <w:color w:val="auto"/>
        </w:rPr>
      </w:pPr>
    </w:p>
    <w:p>
      <w:pPr>
        <w:ind w:left="4140"/>
        <w:spacing w:after="0"/>
        <w:rPr>
          <w:sz w:val="20"/>
          <w:szCs w:val="20"/>
          <w:color w:val="auto"/>
        </w:rPr>
      </w:pPr>
      <w:r>
        <w:rPr>
          <w:rFonts w:ascii="Arial" w:cs="Arial" w:eastAsia="Arial" w:hAnsi="Arial"/>
          <w:sz w:val="20"/>
          <w:szCs w:val="20"/>
          <w:b w:val="1"/>
          <w:bCs w:val="1"/>
          <w:color w:val="auto"/>
        </w:rPr>
        <w:t>Non-GAAP Financial Measures</w:t>
      </w:r>
    </w:p>
    <w:p>
      <w:pPr>
        <w:spacing w:after="0" w:line="76"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Earnings from continuing operations before interest; income taxes; depreciation, depletion and amortization; earnings/loss from nonconsolidated equity affiliates; acquisition, divestiture and integration expenses; the impact of selling acquired inventory after its markup to fair value as part of acquisition accounting (the Inventory Markup); and an asset and portfolio rationalization charge, or Adjusted EBITDA from continuing operations, is an indicator used by the Company and investors to evaluate the Company's operating performance from period to period. The Company has elected to add back, for purposes of its Adjusted EBITDA from continuing operations calculation, acquisition, divestiture and integration expenses and the Inventory Markup only for transactions with consideration of at least $2.0 billion for the Building Materials business or $200 million for the Specialties business.</w:t>
      </w:r>
    </w:p>
    <w:p>
      <w:pPr>
        <w:spacing w:after="0" w:line="173"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Adjusted EBITDA from continuing operations is not defined by accounting principles generally accepted in the United States (GAAP) and, as such, should not be construed as an alternative to net earnings attributable to Martin Marietta, earnings from operations, or operating cash flow. For further information on Adjusted EBITDA, refer to the Company’s website at www.martinmarietta.com.</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20"/>
          <w:szCs w:val="20"/>
          <w:b w:val="1"/>
          <w:bCs w:val="1"/>
          <w:color w:val="auto"/>
        </w:rPr>
        <w:t>Reconciliation of Net Earnings from Continuing Operations Attributable to Martin Marietta to Adjusted EBITDA from Continuing Operations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80" w:type="dxa"/>
            <w:vAlign w:val="bottom"/>
            <w:shd w:val="clear" w:color="auto" w:fill="007DC6"/>
          </w:tcPr>
          <w:p>
            <w:pPr>
              <w:spacing w:after="0"/>
              <w:rPr>
                <w:sz w:val="19"/>
                <w:szCs w:val="19"/>
                <w:color w:val="auto"/>
              </w:rPr>
            </w:pPr>
          </w:p>
        </w:tc>
        <w:tc>
          <w:tcPr>
            <w:tcW w:w="340" w:type="dxa"/>
            <w:vAlign w:val="bottom"/>
            <w:shd w:val="clear" w:color="auto" w:fill="007DC6"/>
          </w:tcPr>
          <w:p>
            <w:pPr>
              <w:spacing w:after="0"/>
              <w:rPr>
                <w:sz w:val="19"/>
                <w:szCs w:val="19"/>
                <w:color w:val="auto"/>
              </w:rPr>
            </w:pPr>
          </w:p>
        </w:tc>
        <w:tc>
          <w:tcPr>
            <w:tcW w:w="2500" w:type="dxa"/>
            <w:vAlign w:val="bottom"/>
            <w:gridSpan w:val="3"/>
            <w:shd w:val="clear" w:color="auto" w:fill="007DC6"/>
          </w:tcPr>
          <w:p>
            <w:pPr>
              <w:jc w:val="right"/>
              <w:ind w:right="341"/>
              <w:spacing w:after="0"/>
              <w:rPr>
                <w:sz w:val="20"/>
                <w:szCs w:val="20"/>
                <w:color w:val="auto"/>
              </w:rPr>
            </w:pPr>
            <w:r>
              <w:rPr>
                <w:rFonts w:ascii="Arial" w:cs="Arial" w:eastAsia="Arial" w:hAnsi="Arial"/>
                <w:sz w:val="20"/>
                <w:szCs w:val="20"/>
                <w:b w:val="1"/>
                <w:bCs w:val="1"/>
                <w:color w:val="FFFFFF"/>
              </w:rPr>
              <w:t>Three Months Ended</w:t>
            </w:r>
          </w:p>
        </w:tc>
        <w:tc>
          <w:tcPr>
            <w:tcW w:w="360" w:type="dxa"/>
            <w:vAlign w:val="bottom"/>
            <w:shd w:val="clear" w:color="auto" w:fill="007DC6"/>
          </w:tcPr>
          <w:p>
            <w:pPr>
              <w:spacing w:after="0"/>
              <w:rPr>
                <w:sz w:val="19"/>
                <w:szCs w:val="19"/>
                <w:color w:val="auto"/>
              </w:rPr>
            </w:pPr>
          </w:p>
        </w:tc>
        <w:tc>
          <w:tcPr>
            <w:tcW w:w="2760" w:type="dxa"/>
            <w:vAlign w:val="bottom"/>
            <w:gridSpan w:val="3"/>
            <w:shd w:val="clear" w:color="auto" w:fill="007DC6"/>
          </w:tcPr>
          <w:p>
            <w:pPr>
              <w:jc w:val="right"/>
              <w:ind w:right="541"/>
              <w:spacing w:after="0"/>
              <w:rPr>
                <w:sz w:val="20"/>
                <w:szCs w:val="20"/>
                <w:color w:val="auto"/>
              </w:rPr>
            </w:pPr>
            <w:r>
              <w:rPr>
                <w:rFonts w:ascii="Arial" w:cs="Arial" w:eastAsia="Arial" w:hAnsi="Arial"/>
                <w:sz w:val="20"/>
                <w:szCs w:val="20"/>
                <w:b w:val="1"/>
                <w:bCs w:val="1"/>
                <w:color w:val="FFFFFF"/>
              </w:rPr>
              <w:t>Nine Months Ended</w:t>
            </w:r>
          </w:p>
        </w:tc>
      </w:tr>
      <w:tr>
        <w:trPr>
          <w:trHeight w:val="230"/>
        </w:trPr>
        <w:tc>
          <w:tcPr>
            <w:tcW w:w="5280" w:type="dxa"/>
            <w:vAlign w:val="bottom"/>
            <w:shd w:val="clear" w:color="auto" w:fill="007DC6"/>
          </w:tcPr>
          <w:p>
            <w:pPr>
              <w:spacing w:after="0"/>
              <w:rPr>
                <w:sz w:val="19"/>
                <w:szCs w:val="19"/>
                <w:color w:val="auto"/>
              </w:rPr>
            </w:pPr>
          </w:p>
        </w:tc>
        <w:tc>
          <w:tcPr>
            <w:tcW w:w="340" w:type="dxa"/>
            <w:vAlign w:val="bottom"/>
            <w:shd w:val="clear" w:color="auto" w:fill="007DC6"/>
          </w:tcPr>
          <w:p>
            <w:pPr>
              <w:spacing w:after="0"/>
              <w:rPr>
                <w:sz w:val="19"/>
                <w:szCs w:val="19"/>
                <w:color w:val="auto"/>
              </w:rPr>
            </w:pPr>
          </w:p>
        </w:tc>
        <w:tc>
          <w:tcPr>
            <w:tcW w:w="2500" w:type="dxa"/>
            <w:vAlign w:val="bottom"/>
            <w:gridSpan w:val="3"/>
            <w:shd w:val="clear" w:color="auto" w:fill="007DC6"/>
          </w:tcPr>
          <w:p>
            <w:pPr>
              <w:jc w:val="right"/>
              <w:ind w:right="641"/>
              <w:spacing w:after="0"/>
              <w:rPr>
                <w:sz w:val="20"/>
                <w:szCs w:val="20"/>
                <w:color w:val="auto"/>
              </w:rPr>
            </w:pPr>
            <w:r>
              <w:rPr>
                <w:rFonts w:ascii="Arial" w:cs="Arial" w:eastAsia="Arial" w:hAnsi="Arial"/>
                <w:sz w:val="20"/>
                <w:szCs w:val="20"/>
                <w:b w:val="1"/>
                <w:bCs w:val="1"/>
                <w:color w:val="FFFFFF"/>
              </w:rPr>
              <w:t>September 30,</w:t>
            </w:r>
          </w:p>
        </w:tc>
        <w:tc>
          <w:tcPr>
            <w:tcW w:w="360" w:type="dxa"/>
            <w:vAlign w:val="bottom"/>
            <w:shd w:val="clear" w:color="auto" w:fill="007DC6"/>
          </w:tcPr>
          <w:p>
            <w:pPr>
              <w:spacing w:after="0"/>
              <w:rPr>
                <w:sz w:val="19"/>
                <w:szCs w:val="19"/>
                <w:color w:val="auto"/>
              </w:rPr>
            </w:pPr>
          </w:p>
        </w:tc>
        <w:tc>
          <w:tcPr>
            <w:tcW w:w="2760" w:type="dxa"/>
            <w:vAlign w:val="bottom"/>
            <w:gridSpan w:val="3"/>
            <w:shd w:val="clear" w:color="auto" w:fill="007DC6"/>
          </w:tcPr>
          <w:p>
            <w:pPr>
              <w:jc w:val="right"/>
              <w:ind w:right="781"/>
              <w:spacing w:after="0"/>
              <w:rPr>
                <w:sz w:val="20"/>
                <w:szCs w:val="20"/>
                <w:color w:val="auto"/>
              </w:rPr>
            </w:pPr>
            <w:r>
              <w:rPr>
                <w:rFonts w:ascii="Arial" w:cs="Arial" w:eastAsia="Arial" w:hAnsi="Arial"/>
                <w:sz w:val="20"/>
                <w:szCs w:val="20"/>
                <w:b w:val="1"/>
                <w:bCs w:val="1"/>
                <w:color w:val="FFFFFF"/>
              </w:rPr>
              <w:t>September 30,</w:t>
            </w:r>
          </w:p>
        </w:tc>
      </w:tr>
      <w:tr>
        <w:trPr>
          <w:trHeight w:val="240"/>
        </w:trPr>
        <w:tc>
          <w:tcPr>
            <w:tcW w:w="5280" w:type="dxa"/>
            <w:vAlign w:val="bottom"/>
            <w:shd w:val="clear" w:color="auto" w:fill="007DC6"/>
          </w:tcPr>
          <w:p>
            <w:pPr>
              <w:spacing w:after="0"/>
              <w:rPr>
                <w:sz w:val="20"/>
                <w:szCs w:val="20"/>
                <w:color w:val="auto"/>
              </w:rPr>
            </w:pPr>
            <w:r>
              <w:rPr>
                <w:rFonts w:ascii="Arial" w:cs="Arial" w:eastAsia="Arial" w:hAnsi="Arial"/>
                <w:sz w:val="20"/>
                <w:szCs w:val="20"/>
                <w:b w:val="1"/>
                <w:bCs w:val="1"/>
                <w:color w:val="FFFFFF"/>
              </w:rPr>
              <w:t>(in millions)</w:t>
            </w:r>
          </w:p>
        </w:tc>
        <w:tc>
          <w:tcPr>
            <w:tcW w:w="340" w:type="dxa"/>
            <w:vAlign w:val="bottom"/>
            <w:shd w:val="clear" w:color="auto" w:fill="007DC6"/>
          </w:tcPr>
          <w:p>
            <w:pPr>
              <w:spacing w:after="0"/>
              <w:rPr>
                <w:sz w:val="20"/>
                <w:szCs w:val="20"/>
                <w:color w:val="auto"/>
              </w:rPr>
            </w:pPr>
          </w:p>
        </w:tc>
        <w:tc>
          <w:tcPr>
            <w:tcW w:w="1080" w:type="dxa"/>
            <w:vAlign w:val="bottom"/>
            <w:shd w:val="clear" w:color="auto" w:fill="007DC6"/>
          </w:tcPr>
          <w:p>
            <w:pPr>
              <w:jc w:val="right"/>
              <w:ind w:right="381"/>
              <w:spacing w:after="0"/>
              <w:rPr>
                <w:sz w:val="20"/>
                <w:szCs w:val="20"/>
                <w:color w:val="auto"/>
              </w:rPr>
            </w:pPr>
            <w:r>
              <w:rPr>
                <w:rFonts w:ascii="Arial" w:cs="Arial" w:eastAsia="Arial" w:hAnsi="Arial"/>
                <w:sz w:val="20"/>
                <w:szCs w:val="20"/>
                <w:b w:val="1"/>
                <w:bCs w:val="1"/>
                <w:color w:val="FFFFFF"/>
              </w:rPr>
              <w:t>2026</w:t>
            </w:r>
          </w:p>
        </w:tc>
        <w:tc>
          <w:tcPr>
            <w:tcW w:w="360" w:type="dxa"/>
            <w:vAlign w:val="bottom"/>
            <w:shd w:val="clear" w:color="auto" w:fill="007DC6"/>
          </w:tcPr>
          <w:p>
            <w:pPr>
              <w:spacing w:after="0"/>
              <w:rPr>
                <w:sz w:val="20"/>
                <w:szCs w:val="20"/>
                <w:color w:val="auto"/>
              </w:rPr>
            </w:pPr>
          </w:p>
        </w:tc>
        <w:tc>
          <w:tcPr>
            <w:tcW w:w="1060" w:type="dxa"/>
            <w:vAlign w:val="bottom"/>
            <w:shd w:val="clear" w:color="auto" w:fill="007DC6"/>
          </w:tcPr>
          <w:p>
            <w:pPr>
              <w:jc w:val="right"/>
              <w:ind w:right="381"/>
              <w:spacing w:after="0"/>
              <w:rPr>
                <w:sz w:val="20"/>
                <w:szCs w:val="20"/>
                <w:color w:val="auto"/>
              </w:rPr>
            </w:pPr>
            <w:r>
              <w:rPr>
                <w:rFonts w:ascii="Arial" w:cs="Arial" w:eastAsia="Arial" w:hAnsi="Arial"/>
                <w:sz w:val="20"/>
                <w:szCs w:val="20"/>
                <w:b w:val="1"/>
                <w:bCs w:val="1"/>
                <w:color w:val="FFFFFF"/>
              </w:rPr>
              <w:t>2025</w:t>
            </w:r>
          </w:p>
        </w:tc>
        <w:tc>
          <w:tcPr>
            <w:tcW w:w="360" w:type="dxa"/>
            <w:vAlign w:val="bottom"/>
            <w:shd w:val="clear" w:color="auto" w:fill="007DC6"/>
          </w:tcPr>
          <w:p>
            <w:pPr>
              <w:spacing w:after="0"/>
              <w:rPr>
                <w:sz w:val="20"/>
                <w:szCs w:val="20"/>
                <w:color w:val="auto"/>
              </w:rPr>
            </w:pPr>
          </w:p>
        </w:tc>
        <w:tc>
          <w:tcPr>
            <w:tcW w:w="1060" w:type="dxa"/>
            <w:vAlign w:val="bottom"/>
            <w:shd w:val="clear" w:color="auto" w:fill="007DC6"/>
          </w:tcPr>
          <w:p>
            <w:pPr>
              <w:jc w:val="right"/>
              <w:ind w:right="381"/>
              <w:spacing w:after="0"/>
              <w:rPr>
                <w:sz w:val="20"/>
                <w:szCs w:val="20"/>
                <w:color w:val="auto"/>
              </w:rPr>
            </w:pPr>
            <w:r>
              <w:rPr>
                <w:rFonts w:ascii="Arial" w:cs="Arial" w:eastAsia="Arial" w:hAnsi="Arial"/>
                <w:sz w:val="20"/>
                <w:szCs w:val="20"/>
                <w:b w:val="1"/>
                <w:bCs w:val="1"/>
                <w:color w:val="FFFFFF"/>
              </w:rPr>
              <w:t>2026</w:t>
            </w:r>
          </w:p>
        </w:tc>
        <w:tc>
          <w:tcPr>
            <w:tcW w:w="440" w:type="dxa"/>
            <w:vAlign w:val="bottom"/>
            <w:shd w:val="clear" w:color="auto" w:fill="007DC6"/>
          </w:tcPr>
          <w:p>
            <w:pPr>
              <w:spacing w:after="0"/>
              <w:rPr>
                <w:sz w:val="20"/>
                <w:szCs w:val="20"/>
                <w:color w:val="auto"/>
              </w:rPr>
            </w:pPr>
          </w:p>
        </w:tc>
        <w:tc>
          <w:tcPr>
            <w:tcW w:w="1260" w:type="dxa"/>
            <w:vAlign w:val="bottom"/>
            <w:shd w:val="clear" w:color="auto" w:fill="007DC6"/>
          </w:tcPr>
          <w:p>
            <w:pPr>
              <w:jc w:val="right"/>
              <w:ind w:right="541"/>
              <w:spacing w:after="0"/>
              <w:rPr>
                <w:sz w:val="20"/>
                <w:szCs w:val="20"/>
                <w:color w:val="auto"/>
              </w:rPr>
            </w:pPr>
            <w:r>
              <w:rPr>
                <w:rFonts w:ascii="Arial" w:cs="Arial" w:eastAsia="Arial" w:hAnsi="Arial"/>
                <w:sz w:val="20"/>
                <w:szCs w:val="20"/>
                <w:b w:val="1"/>
                <w:bCs w:val="1"/>
                <w:color w:val="FFFFFF"/>
              </w:rPr>
              <w:t>2025</w:t>
            </w:r>
          </w:p>
        </w:tc>
      </w:tr>
      <w:tr>
        <w:trPr>
          <w:trHeight w:val="194"/>
        </w:trPr>
        <w:tc>
          <w:tcPr>
            <w:tcW w:w="5280" w:type="dxa"/>
            <w:vAlign w:val="bottom"/>
            <w:shd w:val="clear" w:color="auto" w:fill="CFF0FC"/>
          </w:tcPr>
          <w:p>
            <w:pPr>
              <w:spacing w:after="0" w:line="194" w:lineRule="exact"/>
              <w:rPr>
                <w:sz w:val="20"/>
                <w:szCs w:val="20"/>
                <w:color w:val="auto"/>
              </w:rPr>
            </w:pPr>
            <w:r>
              <w:rPr>
                <w:rFonts w:ascii="Arial" w:cs="Arial" w:eastAsia="Arial" w:hAnsi="Arial"/>
                <w:sz w:val="20"/>
                <w:szCs w:val="20"/>
                <w:color w:val="auto"/>
              </w:rPr>
              <w:t>Net earnings from continuing operations attributable to</w:t>
            </w:r>
          </w:p>
        </w:tc>
        <w:tc>
          <w:tcPr>
            <w:tcW w:w="34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r>
      <w:tr>
        <w:trPr>
          <w:trHeight w:val="238"/>
        </w:trPr>
        <w:tc>
          <w:tcPr>
            <w:tcW w:w="5280" w:type="dxa"/>
            <w:vAlign w:val="bottom"/>
            <w:shd w:val="clear" w:color="auto" w:fill="CFF0FC"/>
          </w:tcPr>
          <w:p>
            <w:pPr>
              <w:spacing w:after="0"/>
              <w:rPr>
                <w:sz w:val="20"/>
                <w:szCs w:val="20"/>
                <w:color w:val="auto"/>
              </w:rPr>
            </w:pPr>
            <w:r>
              <w:rPr>
                <w:rFonts w:ascii="Arial" w:cs="Arial" w:eastAsia="Arial" w:hAnsi="Arial"/>
                <w:sz w:val="20"/>
                <w:szCs w:val="20"/>
                <w:color w:val="auto"/>
              </w:rPr>
              <w:t>Martin Marietta</w:t>
            </w:r>
          </w:p>
        </w:tc>
        <w:tc>
          <w:tcPr>
            <w:tcW w:w="340" w:type="dxa"/>
            <w:vAlign w:val="bottom"/>
            <w:shd w:val="clear" w:color="auto" w:fill="CFF0FC"/>
          </w:tcPr>
          <w:p>
            <w:pPr>
              <w:jc w:val="right"/>
              <w:ind w:right="1"/>
              <w:spacing w:after="0"/>
              <w:rPr>
                <w:sz w:val="20"/>
                <w:szCs w:val="20"/>
                <w:color w:val="auto"/>
              </w:rPr>
            </w:pPr>
            <w:r>
              <w:rPr>
                <w:rFonts w:ascii="Arial" w:cs="Arial" w:eastAsia="Arial" w:hAnsi="Arial"/>
                <w:sz w:val="20"/>
                <w:szCs w:val="20"/>
                <w:color w:val="auto"/>
              </w:rPr>
              <w:t>$</w:t>
            </w:r>
          </w:p>
        </w:tc>
        <w:tc>
          <w:tcPr>
            <w:tcW w:w="10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256</w:t>
            </w:r>
          </w:p>
        </w:tc>
        <w:tc>
          <w:tcPr>
            <w:tcW w:w="36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w:t>
            </w:r>
          </w:p>
        </w:tc>
        <w:tc>
          <w:tcPr>
            <w:tcW w:w="106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361</w:t>
            </w:r>
          </w:p>
        </w:tc>
        <w:tc>
          <w:tcPr>
            <w:tcW w:w="36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w:t>
            </w:r>
          </w:p>
        </w:tc>
        <w:tc>
          <w:tcPr>
            <w:tcW w:w="106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592</w:t>
            </w:r>
          </w:p>
        </w:tc>
        <w:tc>
          <w:tcPr>
            <w:tcW w:w="440" w:type="dxa"/>
            <w:vAlign w:val="bottom"/>
            <w:shd w:val="clear" w:color="auto" w:fill="CFF0FC"/>
          </w:tcPr>
          <w:p>
            <w:pPr>
              <w:jc w:val="right"/>
              <w:ind w:right="101"/>
              <w:spacing w:after="0"/>
              <w:rPr>
                <w:sz w:val="20"/>
                <w:szCs w:val="20"/>
                <w:color w:val="auto"/>
              </w:rPr>
            </w:pPr>
            <w:r>
              <w:rPr>
                <w:rFonts w:ascii="Arial" w:cs="Arial" w:eastAsia="Arial" w:hAnsi="Arial"/>
                <w:sz w:val="20"/>
                <w:szCs w:val="20"/>
                <w:color w:val="auto"/>
              </w:rPr>
              <w:t>$</w:t>
            </w:r>
          </w:p>
        </w:tc>
        <w:tc>
          <w:tcPr>
            <w:tcW w:w="126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757</w:t>
            </w:r>
          </w:p>
        </w:tc>
      </w:tr>
      <w:tr>
        <w:trPr>
          <w:trHeight w:val="216"/>
        </w:trPr>
        <w:tc>
          <w:tcPr>
            <w:tcW w:w="5280" w:type="dxa"/>
            <w:vAlign w:val="bottom"/>
          </w:tcPr>
          <w:p>
            <w:pPr>
              <w:spacing w:after="0" w:line="216" w:lineRule="exact"/>
              <w:rPr>
                <w:sz w:val="20"/>
                <w:szCs w:val="20"/>
                <w:color w:val="auto"/>
              </w:rPr>
            </w:pPr>
            <w:r>
              <w:rPr>
                <w:rFonts w:ascii="Arial" w:cs="Arial" w:eastAsia="Arial" w:hAnsi="Arial"/>
                <w:sz w:val="20"/>
                <w:szCs w:val="20"/>
                <w:color w:val="auto"/>
              </w:rPr>
              <w:t>Add back:</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5280" w:type="dxa"/>
            <w:vAlign w:val="bottom"/>
            <w:shd w:val="clear" w:color="auto" w:fill="CFF0FC"/>
          </w:tcPr>
          <w:p>
            <w:pPr>
              <w:ind w:left="100"/>
              <w:spacing w:after="0" w:line="216" w:lineRule="exact"/>
              <w:rPr>
                <w:sz w:val="20"/>
                <w:szCs w:val="20"/>
                <w:color w:val="auto"/>
              </w:rPr>
            </w:pPr>
            <w:r>
              <w:rPr>
                <w:rFonts w:ascii="Arial" w:cs="Arial" w:eastAsia="Arial" w:hAnsi="Arial"/>
                <w:sz w:val="20"/>
                <w:szCs w:val="20"/>
                <w:color w:val="auto"/>
              </w:rPr>
              <w:t>Interest expense, net of interest income</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21"/>
              <w:spacing w:after="0" w:line="216" w:lineRule="exact"/>
              <w:rPr>
                <w:sz w:val="20"/>
                <w:szCs w:val="20"/>
                <w:color w:val="auto"/>
              </w:rPr>
            </w:pPr>
            <w:r>
              <w:rPr>
                <w:rFonts w:ascii="Arial" w:cs="Arial" w:eastAsia="Arial" w:hAnsi="Arial"/>
                <w:sz w:val="20"/>
                <w:szCs w:val="20"/>
                <w:color w:val="auto"/>
              </w:rPr>
              <w:t>132</w:t>
            </w:r>
          </w:p>
        </w:tc>
        <w:tc>
          <w:tcPr>
            <w:tcW w:w="36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21"/>
              <w:spacing w:after="0" w:line="216" w:lineRule="exact"/>
              <w:rPr>
                <w:sz w:val="20"/>
                <w:szCs w:val="20"/>
                <w:color w:val="auto"/>
              </w:rPr>
            </w:pPr>
            <w:r>
              <w:rPr>
                <w:rFonts w:ascii="Arial" w:cs="Arial" w:eastAsia="Arial" w:hAnsi="Arial"/>
                <w:sz w:val="20"/>
                <w:szCs w:val="20"/>
                <w:color w:val="auto"/>
              </w:rPr>
              <w:t>56</w:t>
            </w:r>
          </w:p>
        </w:tc>
        <w:tc>
          <w:tcPr>
            <w:tcW w:w="36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21"/>
              <w:spacing w:after="0" w:line="216" w:lineRule="exact"/>
              <w:rPr>
                <w:sz w:val="20"/>
                <w:szCs w:val="20"/>
                <w:color w:val="auto"/>
              </w:rPr>
            </w:pPr>
            <w:r>
              <w:rPr>
                <w:rFonts w:ascii="Arial" w:cs="Arial" w:eastAsia="Arial" w:hAnsi="Arial"/>
                <w:sz w:val="20"/>
                <w:szCs w:val="20"/>
                <w:color w:val="auto"/>
              </w:rPr>
              <w:t>244</w:t>
            </w:r>
          </w:p>
        </w:tc>
        <w:tc>
          <w:tcPr>
            <w:tcW w:w="44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21"/>
              <w:spacing w:after="0" w:line="216" w:lineRule="exact"/>
              <w:rPr>
                <w:sz w:val="20"/>
                <w:szCs w:val="20"/>
                <w:color w:val="auto"/>
              </w:rPr>
            </w:pPr>
            <w:r>
              <w:rPr>
                <w:rFonts w:ascii="Arial" w:cs="Arial" w:eastAsia="Arial" w:hAnsi="Arial"/>
                <w:sz w:val="20"/>
                <w:szCs w:val="20"/>
                <w:color w:val="auto"/>
              </w:rPr>
              <w:t>163</w:t>
            </w:r>
          </w:p>
        </w:tc>
      </w:tr>
      <w:tr>
        <w:trPr>
          <w:trHeight w:val="216"/>
        </w:trPr>
        <w:tc>
          <w:tcPr>
            <w:tcW w:w="5280" w:type="dxa"/>
            <w:vAlign w:val="bottom"/>
          </w:tcPr>
          <w:p>
            <w:pPr>
              <w:ind w:left="100"/>
              <w:spacing w:after="0" w:line="216" w:lineRule="exact"/>
              <w:rPr>
                <w:sz w:val="20"/>
                <w:szCs w:val="20"/>
                <w:color w:val="auto"/>
              </w:rPr>
            </w:pPr>
            <w:r>
              <w:rPr>
                <w:rFonts w:ascii="Arial" w:cs="Arial" w:eastAsia="Arial" w:hAnsi="Arial"/>
                <w:sz w:val="20"/>
                <w:szCs w:val="20"/>
                <w:color w:val="auto"/>
              </w:rPr>
              <w:t>Income tax expense for controlling interests</w:t>
            </w:r>
          </w:p>
        </w:tc>
        <w:tc>
          <w:tcPr>
            <w:tcW w:w="340" w:type="dxa"/>
            <w:vAlign w:val="bottom"/>
          </w:tcPr>
          <w:p>
            <w:pPr>
              <w:spacing w:after="0"/>
              <w:rPr>
                <w:sz w:val="18"/>
                <w:szCs w:val="18"/>
                <w:color w:val="auto"/>
              </w:rPr>
            </w:pPr>
          </w:p>
        </w:tc>
        <w:tc>
          <w:tcPr>
            <w:tcW w:w="1080" w:type="dxa"/>
            <w:vAlign w:val="bottom"/>
          </w:tcPr>
          <w:p>
            <w:pPr>
              <w:jc w:val="right"/>
              <w:ind w:right="21"/>
              <w:spacing w:after="0" w:line="216" w:lineRule="exact"/>
              <w:rPr>
                <w:sz w:val="20"/>
                <w:szCs w:val="20"/>
                <w:color w:val="auto"/>
              </w:rPr>
            </w:pPr>
            <w:r>
              <w:rPr>
                <w:rFonts w:ascii="Arial" w:cs="Arial" w:eastAsia="Arial" w:hAnsi="Arial"/>
                <w:sz w:val="20"/>
                <w:szCs w:val="20"/>
                <w:color w:val="auto"/>
              </w:rPr>
              <w:t>57</w:t>
            </w:r>
          </w:p>
        </w:tc>
        <w:tc>
          <w:tcPr>
            <w:tcW w:w="360" w:type="dxa"/>
            <w:vAlign w:val="bottom"/>
          </w:tcPr>
          <w:p>
            <w:pPr>
              <w:spacing w:after="0"/>
              <w:rPr>
                <w:sz w:val="18"/>
                <w:szCs w:val="18"/>
                <w:color w:val="auto"/>
              </w:rPr>
            </w:pPr>
          </w:p>
        </w:tc>
        <w:tc>
          <w:tcPr>
            <w:tcW w:w="1060" w:type="dxa"/>
            <w:vAlign w:val="bottom"/>
          </w:tcPr>
          <w:p>
            <w:pPr>
              <w:jc w:val="right"/>
              <w:ind w:right="21"/>
              <w:spacing w:after="0" w:line="216" w:lineRule="exact"/>
              <w:rPr>
                <w:sz w:val="20"/>
                <w:szCs w:val="20"/>
                <w:color w:val="auto"/>
              </w:rPr>
            </w:pPr>
            <w:r>
              <w:rPr>
                <w:rFonts w:ascii="Arial" w:cs="Arial" w:eastAsia="Arial" w:hAnsi="Arial"/>
                <w:sz w:val="20"/>
                <w:szCs w:val="20"/>
                <w:color w:val="auto"/>
              </w:rPr>
              <w:t>89</w:t>
            </w:r>
          </w:p>
        </w:tc>
        <w:tc>
          <w:tcPr>
            <w:tcW w:w="360" w:type="dxa"/>
            <w:vAlign w:val="bottom"/>
          </w:tcPr>
          <w:p>
            <w:pPr>
              <w:spacing w:after="0"/>
              <w:rPr>
                <w:sz w:val="18"/>
                <w:szCs w:val="18"/>
                <w:color w:val="auto"/>
              </w:rPr>
            </w:pPr>
          </w:p>
        </w:tc>
        <w:tc>
          <w:tcPr>
            <w:tcW w:w="1060" w:type="dxa"/>
            <w:vAlign w:val="bottom"/>
          </w:tcPr>
          <w:p>
            <w:pPr>
              <w:jc w:val="right"/>
              <w:ind w:right="21"/>
              <w:spacing w:after="0" w:line="216" w:lineRule="exact"/>
              <w:rPr>
                <w:sz w:val="20"/>
                <w:szCs w:val="20"/>
                <w:color w:val="auto"/>
              </w:rPr>
            </w:pPr>
            <w:r>
              <w:rPr>
                <w:rFonts w:ascii="Arial" w:cs="Arial" w:eastAsia="Arial" w:hAnsi="Arial"/>
                <w:sz w:val="20"/>
                <w:szCs w:val="20"/>
                <w:color w:val="auto"/>
              </w:rPr>
              <w:t>159</w:t>
            </w:r>
          </w:p>
        </w:tc>
        <w:tc>
          <w:tcPr>
            <w:tcW w:w="440" w:type="dxa"/>
            <w:vAlign w:val="bottom"/>
          </w:tcPr>
          <w:p>
            <w:pPr>
              <w:spacing w:after="0"/>
              <w:rPr>
                <w:sz w:val="18"/>
                <w:szCs w:val="18"/>
                <w:color w:val="auto"/>
              </w:rPr>
            </w:pPr>
          </w:p>
        </w:tc>
        <w:tc>
          <w:tcPr>
            <w:tcW w:w="1260" w:type="dxa"/>
            <w:vAlign w:val="bottom"/>
          </w:tcPr>
          <w:p>
            <w:pPr>
              <w:jc w:val="right"/>
              <w:ind w:right="21"/>
              <w:spacing w:after="0" w:line="216" w:lineRule="exact"/>
              <w:rPr>
                <w:sz w:val="20"/>
                <w:szCs w:val="20"/>
                <w:color w:val="auto"/>
              </w:rPr>
            </w:pPr>
            <w:r>
              <w:rPr>
                <w:rFonts w:ascii="Arial" w:cs="Arial" w:eastAsia="Arial" w:hAnsi="Arial"/>
                <w:sz w:val="20"/>
                <w:szCs w:val="20"/>
                <w:color w:val="auto"/>
              </w:rPr>
              <w:t>190</w:t>
            </w:r>
          </w:p>
        </w:tc>
      </w:tr>
      <w:tr>
        <w:trPr>
          <w:trHeight w:val="194"/>
        </w:trPr>
        <w:tc>
          <w:tcPr>
            <w:tcW w:w="5280" w:type="dxa"/>
            <w:vAlign w:val="bottom"/>
            <w:shd w:val="clear" w:color="auto" w:fill="CFF0FC"/>
          </w:tcPr>
          <w:p>
            <w:pPr>
              <w:ind w:left="100"/>
              <w:spacing w:after="0" w:line="194" w:lineRule="exact"/>
              <w:rPr>
                <w:sz w:val="20"/>
                <w:szCs w:val="20"/>
                <w:color w:val="auto"/>
              </w:rPr>
            </w:pPr>
            <w:r>
              <w:rPr>
                <w:rFonts w:ascii="Arial" w:cs="Arial" w:eastAsia="Arial" w:hAnsi="Arial"/>
                <w:sz w:val="20"/>
                <w:szCs w:val="20"/>
                <w:color w:val="auto"/>
              </w:rPr>
              <w:t>Depreciation, depletion and amortization expense and</w:t>
            </w:r>
          </w:p>
        </w:tc>
        <w:tc>
          <w:tcPr>
            <w:tcW w:w="34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r>
      <w:tr>
        <w:trPr>
          <w:trHeight w:val="238"/>
        </w:trPr>
        <w:tc>
          <w:tcPr>
            <w:tcW w:w="5280" w:type="dxa"/>
            <w:vAlign w:val="bottom"/>
            <w:shd w:val="clear" w:color="auto" w:fill="CFF0FC"/>
          </w:tcPr>
          <w:p>
            <w:pPr>
              <w:ind w:left="100"/>
              <w:spacing w:after="0"/>
              <w:rPr>
                <w:sz w:val="20"/>
                <w:szCs w:val="20"/>
                <w:color w:val="auto"/>
              </w:rPr>
            </w:pPr>
            <w:r>
              <w:rPr>
                <w:rFonts w:ascii="Arial" w:cs="Arial" w:eastAsia="Arial" w:hAnsi="Arial"/>
                <w:sz w:val="20"/>
                <w:szCs w:val="20"/>
                <w:color w:val="auto"/>
              </w:rPr>
              <w:t>earnings/loss from nonconsolidated equity affiliates</w:t>
            </w:r>
          </w:p>
        </w:tc>
        <w:tc>
          <w:tcPr>
            <w:tcW w:w="34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242</w:t>
            </w:r>
          </w:p>
        </w:tc>
        <w:tc>
          <w:tcPr>
            <w:tcW w:w="36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149</w:t>
            </w:r>
          </w:p>
        </w:tc>
        <w:tc>
          <w:tcPr>
            <w:tcW w:w="36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609</w:t>
            </w:r>
          </w:p>
        </w:tc>
        <w:tc>
          <w:tcPr>
            <w:tcW w:w="44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429</w:t>
            </w:r>
          </w:p>
        </w:tc>
      </w:tr>
      <w:tr>
        <w:trPr>
          <w:trHeight w:val="216"/>
        </w:trPr>
        <w:tc>
          <w:tcPr>
            <w:tcW w:w="5280" w:type="dxa"/>
            <w:vAlign w:val="bottom"/>
          </w:tcPr>
          <w:p>
            <w:pPr>
              <w:ind w:left="100"/>
              <w:spacing w:after="0" w:line="216" w:lineRule="exact"/>
              <w:rPr>
                <w:sz w:val="20"/>
                <w:szCs w:val="20"/>
                <w:color w:val="auto"/>
              </w:rPr>
            </w:pPr>
            <w:r>
              <w:rPr>
                <w:rFonts w:ascii="Arial" w:cs="Arial" w:eastAsia="Arial" w:hAnsi="Arial"/>
                <w:sz w:val="20"/>
                <w:szCs w:val="20"/>
                <w:color w:val="auto"/>
              </w:rPr>
              <w:t>Acquisition, divestiture and integration expenses</w:t>
            </w:r>
          </w:p>
        </w:tc>
        <w:tc>
          <w:tcPr>
            <w:tcW w:w="340" w:type="dxa"/>
            <w:vAlign w:val="bottom"/>
          </w:tcPr>
          <w:p>
            <w:pPr>
              <w:spacing w:after="0"/>
              <w:rPr>
                <w:sz w:val="18"/>
                <w:szCs w:val="18"/>
                <w:color w:val="auto"/>
              </w:rPr>
            </w:pPr>
          </w:p>
        </w:tc>
        <w:tc>
          <w:tcPr>
            <w:tcW w:w="1080" w:type="dxa"/>
            <w:vAlign w:val="bottom"/>
          </w:tcPr>
          <w:p>
            <w:pPr>
              <w:jc w:val="right"/>
              <w:ind w:right="21"/>
              <w:spacing w:after="0" w:line="216" w:lineRule="exact"/>
              <w:rPr>
                <w:sz w:val="20"/>
                <w:szCs w:val="20"/>
                <w:color w:val="auto"/>
              </w:rPr>
            </w:pPr>
            <w:r>
              <w:rPr>
                <w:rFonts w:ascii="Arial" w:cs="Arial" w:eastAsia="Arial" w:hAnsi="Arial"/>
                <w:sz w:val="20"/>
                <w:szCs w:val="20"/>
                <w:color w:val="auto"/>
              </w:rPr>
              <w:t>82</w:t>
            </w:r>
          </w:p>
        </w:tc>
        <w:tc>
          <w:tcPr>
            <w:tcW w:w="360" w:type="dxa"/>
            <w:vAlign w:val="bottom"/>
          </w:tcPr>
          <w:p>
            <w:pPr>
              <w:spacing w:after="0"/>
              <w:rPr>
                <w:sz w:val="18"/>
                <w:szCs w:val="18"/>
                <w:color w:val="auto"/>
              </w:rPr>
            </w:pPr>
          </w:p>
        </w:tc>
        <w:tc>
          <w:tcPr>
            <w:tcW w:w="1060" w:type="dxa"/>
            <w:vAlign w:val="bottom"/>
          </w:tcPr>
          <w:p>
            <w:pPr>
              <w:jc w:val="right"/>
              <w:ind w:right="21"/>
              <w:spacing w:after="0" w:line="216" w:lineRule="exact"/>
              <w:rPr>
                <w:sz w:val="20"/>
                <w:szCs w:val="20"/>
                <w:color w:val="auto"/>
              </w:rPr>
            </w:pPr>
            <w:r>
              <w:rPr>
                <w:rFonts w:ascii="Arial" w:cs="Arial" w:eastAsia="Arial" w:hAnsi="Arial"/>
                <w:sz w:val="20"/>
                <w:szCs w:val="20"/>
                <w:color w:val="auto"/>
              </w:rPr>
              <w:t>7</w:t>
            </w:r>
          </w:p>
        </w:tc>
        <w:tc>
          <w:tcPr>
            <w:tcW w:w="360" w:type="dxa"/>
            <w:vAlign w:val="bottom"/>
          </w:tcPr>
          <w:p>
            <w:pPr>
              <w:spacing w:after="0"/>
              <w:rPr>
                <w:sz w:val="18"/>
                <w:szCs w:val="18"/>
                <w:color w:val="auto"/>
              </w:rPr>
            </w:pPr>
          </w:p>
        </w:tc>
        <w:tc>
          <w:tcPr>
            <w:tcW w:w="1060" w:type="dxa"/>
            <w:vAlign w:val="bottom"/>
          </w:tcPr>
          <w:p>
            <w:pPr>
              <w:jc w:val="right"/>
              <w:ind w:right="21"/>
              <w:spacing w:after="0" w:line="216" w:lineRule="exact"/>
              <w:rPr>
                <w:sz w:val="20"/>
                <w:szCs w:val="20"/>
                <w:color w:val="auto"/>
              </w:rPr>
            </w:pPr>
            <w:r>
              <w:rPr>
                <w:rFonts w:ascii="Arial" w:cs="Arial" w:eastAsia="Arial" w:hAnsi="Arial"/>
                <w:sz w:val="20"/>
                <w:szCs w:val="20"/>
                <w:color w:val="auto"/>
              </w:rPr>
              <w:t>96</w:t>
            </w:r>
          </w:p>
        </w:tc>
        <w:tc>
          <w:tcPr>
            <w:tcW w:w="440" w:type="dxa"/>
            <w:vAlign w:val="bottom"/>
          </w:tcPr>
          <w:p>
            <w:pPr>
              <w:spacing w:after="0"/>
              <w:rPr>
                <w:sz w:val="18"/>
                <w:szCs w:val="18"/>
                <w:color w:val="auto"/>
              </w:rPr>
            </w:pPr>
          </w:p>
        </w:tc>
        <w:tc>
          <w:tcPr>
            <w:tcW w:w="1260" w:type="dxa"/>
            <w:vAlign w:val="bottom"/>
          </w:tcPr>
          <w:p>
            <w:pPr>
              <w:jc w:val="right"/>
              <w:ind w:right="21"/>
              <w:spacing w:after="0" w:line="216" w:lineRule="exact"/>
              <w:rPr>
                <w:sz w:val="20"/>
                <w:szCs w:val="20"/>
                <w:color w:val="auto"/>
              </w:rPr>
            </w:pPr>
            <w:r>
              <w:rPr>
                <w:rFonts w:ascii="Arial" w:cs="Arial" w:eastAsia="Arial" w:hAnsi="Arial"/>
                <w:sz w:val="20"/>
                <w:szCs w:val="20"/>
                <w:color w:val="auto"/>
              </w:rPr>
              <w:t>7</w:t>
            </w:r>
          </w:p>
        </w:tc>
      </w:tr>
      <w:tr>
        <w:trPr>
          <w:trHeight w:val="194"/>
        </w:trPr>
        <w:tc>
          <w:tcPr>
            <w:tcW w:w="5280" w:type="dxa"/>
            <w:vAlign w:val="bottom"/>
            <w:shd w:val="clear" w:color="auto" w:fill="CFF0FC"/>
          </w:tcPr>
          <w:p>
            <w:pPr>
              <w:ind w:left="100"/>
              <w:spacing w:after="0" w:line="194" w:lineRule="exact"/>
              <w:rPr>
                <w:sz w:val="20"/>
                <w:szCs w:val="20"/>
                <w:color w:val="auto"/>
              </w:rPr>
            </w:pPr>
            <w:r>
              <w:rPr>
                <w:rFonts w:ascii="Arial" w:cs="Arial" w:eastAsia="Arial" w:hAnsi="Arial"/>
                <w:sz w:val="20"/>
                <w:szCs w:val="20"/>
                <w:color w:val="auto"/>
              </w:rPr>
              <w:t>Impact of selling acquired inventory after markup to fair</w:t>
            </w:r>
          </w:p>
        </w:tc>
        <w:tc>
          <w:tcPr>
            <w:tcW w:w="34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r>
      <w:tr>
        <w:trPr>
          <w:trHeight w:val="238"/>
        </w:trPr>
        <w:tc>
          <w:tcPr>
            <w:tcW w:w="5280" w:type="dxa"/>
            <w:vAlign w:val="bottom"/>
            <w:shd w:val="clear" w:color="auto" w:fill="CFF0FC"/>
          </w:tcPr>
          <w:p>
            <w:pPr>
              <w:ind w:left="100"/>
              <w:spacing w:after="0"/>
              <w:rPr>
                <w:sz w:val="20"/>
                <w:szCs w:val="20"/>
                <w:color w:val="auto"/>
              </w:rPr>
            </w:pPr>
            <w:r>
              <w:rPr>
                <w:rFonts w:ascii="Arial" w:cs="Arial" w:eastAsia="Arial" w:hAnsi="Arial"/>
                <w:sz w:val="20"/>
                <w:szCs w:val="20"/>
                <w:color w:val="auto"/>
              </w:rPr>
              <w:t>value as part of acquisition accounting</w:t>
            </w:r>
          </w:p>
        </w:tc>
        <w:tc>
          <w:tcPr>
            <w:tcW w:w="34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38</w:t>
            </w:r>
          </w:p>
        </w:tc>
        <w:tc>
          <w:tcPr>
            <w:tcW w:w="36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5</w:t>
            </w:r>
          </w:p>
        </w:tc>
        <w:tc>
          <w:tcPr>
            <w:tcW w:w="36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105</w:t>
            </w:r>
          </w:p>
        </w:tc>
        <w:tc>
          <w:tcPr>
            <w:tcW w:w="44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5</w:t>
            </w:r>
          </w:p>
        </w:tc>
      </w:tr>
      <w:tr>
        <w:trPr>
          <w:trHeight w:val="216"/>
        </w:trPr>
        <w:tc>
          <w:tcPr>
            <w:tcW w:w="5280" w:type="dxa"/>
            <w:vAlign w:val="bottom"/>
            <w:tcBorders>
              <w:bottom w:val="single" w:sz="8" w:color="auto"/>
            </w:tcBorders>
          </w:tcPr>
          <w:p>
            <w:pPr>
              <w:ind w:left="100"/>
              <w:spacing w:after="0" w:line="216" w:lineRule="exact"/>
              <w:rPr>
                <w:sz w:val="20"/>
                <w:szCs w:val="20"/>
                <w:color w:val="auto"/>
              </w:rPr>
            </w:pPr>
            <w:r>
              <w:rPr>
                <w:rFonts w:ascii="Arial" w:cs="Arial" w:eastAsia="Arial" w:hAnsi="Arial"/>
                <w:sz w:val="20"/>
                <w:szCs w:val="20"/>
                <w:color w:val="auto"/>
              </w:rPr>
              <w:t>Asset and portfolio rationalization charge</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1"/>
              <w:spacing w:after="0" w:line="216" w:lineRule="exact"/>
              <w:rPr>
                <w:sz w:val="20"/>
                <w:szCs w:val="20"/>
                <w:color w:val="auto"/>
              </w:rPr>
            </w:pPr>
            <w:r>
              <w:rPr>
                <w:rFonts w:ascii="Arial" w:cs="Arial" w:eastAsia="Arial" w:hAnsi="Arial"/>
                <w:sz w:val="20"/>
                <w:szCs w:val="20"/>
                <w:color w:val="auto"/>
              </w:rPr>
              <w:t>1</w:t>
            </w: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1"/>
              <w:spacing w:after="0" w:line="216" w:lineRule="exact"/>
              <w:rPr>
                <w:sz w:val="20"/>
                <w:szCs w:val="20"/>
                <w:color w:val="auto"/>
              </w:rPr>
            </w:pPr>
            <w:r>
              <w:rPr>
                <w:rFonts w:ascii="Arial" w:cs="Arial" w:eastAsia="Arial" w:hAnsi="Arial"/>
                <w:sz w:val="20"/>
                <w:szCs w:val="20"/>
                <w:color w:val="auto"/>
              </w:rPr>
              <w:t>—</w:t>
            </w: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1"/>
              <w:spacing w:after="0" w:line="216" w:lineRule="exact"/>
              <w:rPr>
                <w:sz w:val="20"/>
                <w:szCs w:val="20"/>
                <w:color w:val="auto"/>
              </w:rPr>
            </w:pPr>
            <w:r>
              <w:rPr>
                <w:rFonts w:ascii="Arial" w:cs="Arial" w:eastAsia="Arial" w:hAnsi="Arial"/>
                <w:sz w:val="20"/>
                <w:szCs w:val="20"/>
                <w:color w:val="auto"/>
              </w:rPr>
              <w:t>4</w:t>
            </w: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1"/>
              <w:spacing w:after="0" w:line="216" w:lineRule="exact"/>
              <w:rPr>
                <w:sz w:val="20"/>
                <w:szCs w:val="20"/>
                <w:color w:val="auto"/>
              </w:rPr>
            </w:pPr>
            <w:r>
              <w:rPr>
                <w:rFonts w:ascii="Arial" w:cs="Arial" w:eastAsia="Arial" w:hAnsi="Arial"/>
                <w:sz w:val="20"/>
                <w:szCs w:val="20"/>
                <w:color w:val="auto"/>
              </w:rPr>
              <w:t>—</w:t>
            </w:r>
          </w:p>
        </w:tc>
      </w:tr>
      <w:tr>
        <w:trPr>
          <w:trHeight w:val="249"/>
        </w:trPr>
        <w:tc>
          <w:tcPr>
            <w:tcW w:w="5280" w:type="dxa"/>
            <w:vAlign w:val="bottom"/>
            <w:tcBorders>
              <w:bottom w:val="single" w:sz="8" w:color="auto"/>
            </w:tcBorders>
            <w:shd w:val="clear" w:color="auto" w:fill="CFF0FC"/>
          </w:tcPr>
          <w:p>
            <w:pPr>
              <w:spacing w:after="0" w:line="209" w:lineRule="exact"/>
              <w:rPr>
                <w:sz w:val="20"/>
                <w:szCs w:val="20"/>
                <w:color w:val="auto"/>
              </w:rPr>
            </w:pPr>
            <w:r>
              <w:rPr>
                <w:rFonts w:ascii="Arial" w:cs="Arial" w:eastAsia="Arial" w:hAnsi="Arial"/>
                <w:sz w:val="20"/>
                <w:szCs w:val="20"/>
                <w:color w:val="auto"/>
              </w:rPr>
              <w:t>Adjusted EBITDA from continuing operations</w:t>
            </w:r>
          </w:p>
        </w:tc>
        <w:tc>
          <w:tcPr>
            <w:tcW w:w="340" w:type="dxa"/>
            <w:vAlign w:val="bottom"/>
            <w:tcBorders>
              <w:bottom w:val="single" w:sz="8" w:color="auto"/>
            </w:tcBorders>
            <w:shd w:val="clear" w:color="auto" w:fill="CFF0FC"/>
          </w:tcPr>
          <w:p>
            <w:pPr>
              <w:jc w:val="right"/>
              <w:ind w:right="1"/>
              <w:spacing w:after="0" w:line="209" w:lineRule="exact"/>
              <w:rPr>
                <w:sz w:val="20"/>
                <w:szCs w:val="20"/>
                <w:color w:val="auto"/>
              </w:rPr>
            </w:pPr>
            <w:r>
              <w:rPr>
                <w:rFonts w:ascii="Arial" w:cs="Arial" w:eastAsia="Arial" w:hAnsi="Arial"/>
                <w:sz w:val="20"/>
                <w:szCs w:val="20"/>
                <w:color w:val="auto"/>
              </w:rPr>
              <w:t>$</w:t>
            </w:r>
          </w:p>
        </w:tc>
        <w:tc>
          <w:tcPr>
            <w:tcW w:w="1080" w:type="dxa"/>
            <w:vAlign w:val="bottom"/>
            <w:tcBorders>
              <w:bottom w:val="single" w:sz="8" w:color="auto"/>
            </w:tcBorders>
            <w:shd w:val="clear" w:color="auto" w:fill="CFF0FC"/>
          </w:tcPr>
          <w:p>
            <w:pPr>
              <w:jc w:val="right"/>
              <w:ind w:right="21"/>
              <w:spacing w:after="0" w:line="209" w:lineRule="exact"/>
              <w:rPr>
                <w:sz w:val="20"/>
                <w:szCs w:val="20"/>
                <w:color w:val="auto"/>
              </w:rPr>
            </w:pPr>
            <w:r>
              <w:rPr>
                <w:rFonts w:ascii="Arial" w:cs="Arial" w:eastAsia="Arial" w:hAnsi="Arial"/>
                <w:sz w:val="20"/>
                <w:szCs w:val="20"/>
                <w:color w:val="auto"/>
              </w:rPr>
              <w:t>808</w:t>
            </w:r>
          </w:p>
        </w:tc>
        <w:tc>
          <w:tcPr>
            <w:tcW w:w="360" w:type="dxa"/>
            <w:vAlign w:val="bottom"/>
            <w:tcBorders>
              <w:bottom w:val="single" w:sz="8" w:color="auto"/>
            </w:tcBorders>
            <w:shd w:val="clear" w:color="auto" w:fill="CFF0FC"/>
          </w:tcPr>
          <w:p>
            <w:pPr>
              <w:jc w:val="right"/>
              <w:ind w:right="21"/>
              <w:spacing w:after="0" w:line="209" w:lineRule="exact"/>
              <w:rPr>
                <w:sz w:val="20"/>
                <w:szCs w:val="20"/>
                <w:color w:val="auto"/>
              </w:rPr>
            </w:pPr>
            <w:r>
              <w:rPr>
                <w:rFonts w:ascii="Arial" w:cs="Arial" w:eastAsia="Arial" w:hAnsi="Arial"/>
                <w:sz w:val="20"/>
                <w:szCs w:val="20"/>
                <w:color w:val="auto"/>
              </w:rPr>
              <w:t>$</w:t>
            </w:r>
          </w:p>
        </w:tc>
        <w:tc>
          <w:tcPr>
            <w:tcW w:w="1060" w:type="dxa"/>
            <w:vAlign w:val="bottom"/>
            <w:tcBorders>
              <w:bottom w:val="single" w:sz="8" w:color="auto"/>
            </w:tcBorders>
            <w:shd w:val="clear" w:color="auto" w:fill="CFF0FC"/>
          </w:tcPr>
          <w:p>
            <w:pPr>
              <w:jc w:val="right"/>
              <w:ind w:right="21"/>
              <w:spacing w:after="0" w:line="209" w:lineRule="exact"/>
              <w:rPr>
                <w:sz w:val="20"/>
                <w:szCs w:val="20"/>
                <w:color w:val="auto"/>
              </w:rPr>
            </w:pPr>
            <w:r>
              <w:rPr>
                <w:rFonts w:ascii="Arial" w:cs="Arial" w:eastAsia="Arial" w:hAnsi="Arial"/>
                <w:sz w:val="20"/>
                <w:szCs w:val="20"/>
                <w:color w:val="auto"/>
              </w:rPr>
              <w:t>667</w:t>
            </w:r>
          </w:p>
        </w:tc>
        <w:tc>
          <w:tcPr>
            <w:tcW w:w="360" w:type="dxa"/>
            <w:vAlign w:val="bottom"/>
            <w:tcBorders>
              <w:bottom w:val="single" w:sz="8" w:color="auto"/>
            </w:tcBorders>
            <w:shd w:val="clear" w:color="auto" w:fill="CFF0FC"/>
          </w:tcPr>
          <w:p>
            <w:pPr>
              <w:jc w:val="right"/>
              <w:ind w:right="21"/>
              <w:spacing w:after="0" w:line="209" w:lineRule="exact"/>
              <w:rPr>
                <w:sz w:val="20"/>
                <w:szCs w:val="20"/>
                <w:color w:val="auto"/>
              </w:rPr>
            </w:pPr>
            <w:r>
              <w:rPr>
                <w:rFonts w:ascii="Arial" w:cs="Arial" w:eastAsia="Arial" w:hAnsi="Arial"/>
                <w:sz w:val="20"/>
                <w:szCs w:val="20"/>
                <w:color w:val="auto"/>
              </w:rPr>
              <w:t>$</w:t>
            </w:r>
          </w:p>
        </w:tc>
        <w:tc>
          <w:tcPr>
            <w:tcW w:w="1060" w:type="dxa"/>
            <w:vAlign w:val="bottom"/>
            <w:tcBorders>
              <w:bottom w:val="single" w:sz="8" w:color="auto"/>
            </w:tcBorders>
            <w:shd w:val="clear" w:color="auto" w:fill="CFF0FC"/>
          </w:tcPr>
          <w:p>
            <w:pPr>
              <w:jc w:val="right"/>
              <w:ind w:right="21"/>
              <w:spacing w:after="0" w:line="209" w:lineRule="exact"/>
              <w:rPr>
                <w:sz w:val="20"/>
                <w:szCs w:val="20"/>
                <w:color w:val="auto"/>
              </w:rPr>
            </w:pPr>
            <w:r>
              <w:rPr>
                <w:rFonts w:ascii="Arial" w:cs="Arial" w:eastAsia="Arial" w:hAnsi="Arial"/>
                <w:sz w:val="20"/>
                <w:szCs w:val="20"/>
                <w:color w:val="auto"/>
              </w:rPr>
              <w:t>1,809</w:t>
            </w:r>
          </w:p>
        </w:tc>
        <w:tc>
          <w:tcPr>
            <w:tcW w:w="440" w:type="dxa"/>
            <w:vAlign w:val="bottom"/>
            <w:tcBorders>
              <w:bottom w:val="single" w:sz="8" w:color="auto"/>
            </w:tcBorders>
            <w:shd w:val="clear" w:color="auto" w:fill="CFF0FC"/>
          </w:tcPr>
          <w:p>
            <w:pPr>
              <w:jc w:val="right"/>
              <w:ind w:right="101"/>
              <w:spacing w:after="0" w:line="209" w:lineRule="exact"/>
              <w:rPr>
                <w:sz w:val="20"/>
                <w:szCs w:val="20"/>
                <w:color w:val="auto"/>
              </w:rPr>
            </w:pPr>
            <w:r>
              <w:rPr>
                <w:rFonts w:ascii="Arial" w:cs="Arial" w:eastAsia="Arial" w:hAnsi="Arial"/>
                <w:sz w:val="20"/>
                <w:szCs w:val="20"/>
                <w:color w:val="auto"/>
              </w:rPr>
              <w:t>$</w:t>
            </w:r>
          </w:p>
        </w:tc>
        <w:tc>
          <w:tcPr>
            <w:tcW w:w="1260" w:type="dxa"/>
            <w:vAlign w:val="bottom"/>
            <w:tcBorders>
              <w:bottom w:val="single" w:sz="8" w:color="auto"/>
            </w:tcBorders>
            <w:shd w:val="clear" w:color="auto" w:fill="CFF0FC"/>
          </w:tcPr>
          <w:p>
            <w:pPr>
              <w:jc w:val="right"/>
              <w:ind w:right="21"/>
              <w:spacing w:after="0" w:line="209" w:lineRule="exact"/>
              <w:rPr>
                <w:sz w:val="20"/>
                <w:szCs w:val="20"/>
                <w:color w:val="auto"/>
              </w:rPr>
            </w:pPr>
            <w:r>
              <w:rPr>
                <w:rFonts w:ascii="Arial" w:cs="Arial" w:eastAsia="Arial" w:hAnsi="Arial"/>
                <w:sz w:val="20"/>
                <w:szCs w:val="20"/>
                <w:color w:val="auto"/>
              </w:rPr>
              <w:t>1,551</w:t>
            </w:r>
          </w:p>
        </w:tc>
      </w:tr>
      <w:tr>
        <w:trPr>
          <w:trHeight w:val="652"/>
        </w:trPr>
        <w:tc>
          <w:tcPr>
            <w:tcW w:w="5280" w:type="dxa"/>
            <w:vAlign w:val="bottom"/>
          </w:tcPr>
          <w:p>
            <w:pPr>
              <w:spacing w:after="0"/>
              <w:rPr>
                <w:sz w:val="24"/>
                <w:szCs w:val="24"/>
                <w:color w:val="auto"/>
              </w:rPr>
            </w:pPr>
          </w:p>
        </w:tc>
        <w:tc>
          <w:tcPr>
            <w:tcW w:w="1420" w:type="dxa"/>
            <w:vAlign w:val="bottom"/>
            <w:gridSpan w:val="2"/>
          </w:tcPr>
          <w:p>
            <w:pPr>
              <w:jc w:val="right"/>
              <w:ind w:right="861"/>
              <w:spacing w:after="0"/>
              <w:rPr>
                <w:sz w:val="20"/>
                <w:szCs w:val="20"/>
                <w:color w:val="auto"/>
              </w:rPr>
            </w:pPr>
            <w:r>
              <w:rPr>
                <w:rFonts w:ascii="Arial" w:cs="Arial" w:eastAsia="Arial" w:hAnsi="Arial"/>
                <w:sz w:val="20"/>
                <w:szCs w:val="20"/>
                <w:color w:val="auto"/>
              </w:rPr>
              <w:t>15</w:t>
            </w: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740"/>
        </w:trPr>
        <w:tc>
          <w:tcPr>
            <w:tcW w:w="52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-2734310</wp:posOffset>
            </wp:positionV>
            <wp:extent cx="3703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703320" cy="8890"/>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8" w:name="page19"/>
    <w:bookmarkEnd w:id="18"/>
    <w:p>
      <w:pPr>
        <w:spacing w:after="0"/>
        <w:rPr>
          <w:sz w:val="20"/>
          <w:szCs w:val="20"/>
          <w:color w:val="auto"/>
        </w:rPr>
      </w:pPr>
      <w:r>
        <w:rPr>
          <w:rFonts w:ascii="Arial" w:cs="Arial" w:eastAsia="Arial" w:hAnsi="Arial"/>
          <w:sz w:val="22"/>
          <w:szCs w:val="22"/>
          <w:color w:val="auto"/>
        </w:rPr>
        <w:t>Appendix</w:t>
      </w:r>
    </w:p>
    <w:p>
      <w:pPr>
        <w:spacing w:after="0" w:line="200" w:lineRule="exact"/>
        <w:rPr>
          <w:sz w:val="20"/>
          <w:szCs w:val="20"/>
          <w:color w:val="auto"/>
        </w:rPr>
      </w:pPr>
    </w:p>
    <w:p>
      <w:pPr>
        <w:spacing w:after="0" w:line="225" w:lineRule="exact"/>
        <w:rPr>
          <w:sz w:val="20"/>
          <w:szCs w:val="20"/>
          <w:color w:val="auto"/>
        </w:rPr>
      </w:pPr>
    </w:p>
    <w:p>
      <w:pPr>
        <w:ind w:left="3840"/>
        <w:spacing w:after="0"/>
        <w:rPr>
          <w:sz w:val="20"/>
          <w:szCs w:val="20"/>
          <w:color w:val="auto"/>
        </w:rPr>
      </w:pPr>
      <w:r>
        <w:rPr>
          <w:rFonts w:ascii="Arial" w:cs="Arial" w:eastAsia="Arial" w:hAnsi="Arial"/>
          <w:sz w:val="20"/>
          <w:szCs w:val="20"/>
          <w:b w:val="1"/>
          <w:bCs w:val="1"/>
          <w:color w:val="auto"/>
        </w:rPr>
        <w:t>MARTIN MARIETTA MATERIALS, INC.</w:t>
      </w:r>
    </w:p>
    <w:p>
      <w:pPr>
        <w:spacing w:after="0" w:line="6" w:lineRule="exact"/>
        <w:rPr>
          <w:sz w:val="20"/>
          <w:szCs w:val="20"/>
          <w:color w:val="auto"/>
        </w:rPr>
      </w:pPr>
    </w:p>
    <w:p>
      <w:pPr>
        <w:ind w:left="4140"/>
        <w:spacing w:after="0"/>
        <w:rPr>
          <w:sz w:val="20"/>
          <w:szCs w:val="20"/>
          <w:color w:val="auto"/>
        </w:rPr>
      </w:pPr>
      <w:r>
        <w:rPr>
          <w:rFonts w:ascii="Arial" w:cs="Arial" w:eastAsia="Arial" w:hAnsi="Arial"/>
          <w:sz w:val="20"/>
          <w:szCs w:val="20"/>
          <w:b w:val="1"/>
          <w:bCs w:val="1"/>
          <w:color w:val="auto"/>
        </w:rPr>
        <w:t>Non-GAAP Financial Measures</w:t>
      </w:r>
    </w:p>
    <w:p>
      <w:pPr>
        <w:spacing w:after="0" w:line="182" w:lineRule="exact"/>
        <w:rPr>
          <w:sz w:val="20"/>
          <w:szCs w:val="20"/>
          <w:color w:val="auto"/>
        </w:rPr>
      </w:pPr>
    </w:p>
    <w:p>
      <w:pPr>
        <w:spacing w:after="0" w:line="270" w:lineRule="auto"/>
        <w:rPr>
          <w:sz w:val="20"/>
          <w:szCs w:val="20"/>
          <w:color w:val="auto"/>
        </w:rPr>
      </w:pPr>
      <w:r>
        <w:rPr>
          <w:rFonts w:ascii="Arial" w:cs="Arial" w:eastAsia="Arial" w:hAnsi="Arial"/>
          <w:sz w:val="20"/>
          <w:szCs w:val="20"/>
          <w:b w:val="1"/>
          <w:bCs w:val="1"/>
          <w:color w:val="auto"/>
        </w:rPr>
        <w:t>Reconciliation of 2026 Net Earnings from Continuing Operations Attributable to Martin Marietta Guidance to 2026 Adjusted EBITDA from Continuing Operations Guidance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00" w:type="dxa"/>
            <w:vAlign w:val="bottom"/>
            <w:vMerge w:val="restart"/>
            <w:shd w:val="clear" w:color="auto" w:fill="007DC6"/>
          </w:tcPr>
          <w:p>
            <w:pPr>
              <w:spacing w:after="0"/>
              <w:rPr>
                <w:sz w:val="20"/>
                <w:szCs w:val="20"/>
                <w:color w:val="auto"/>
              </w:rPr>
            </w:pPr>
            <w:r>
              <w:rPr>
                <w:rFonts w:ascii="Arial" w:cs="Arial" w:eastAsia="Arial" w:hAnsi="Arial"/>
                <w:sz w:val="20"/>
                <w:szCs w:val="20"/>
                <w:b w:val="1"/>
                <w:bCs w:val="1"/>
                <w:color w:val="FFFFFF"/>
              </w:rPr>
              <w:t>(in millions)</w:t>
            </w:r>
          </w:p>
        </w:tc>
        <w:tc>
          <w:tcPr>
            <w:tcW w:w="580" w:type="dxa"/>
            <w:vAlign w:val="bottom"/>
            <w:shd w:val="clear" w:color="auto" w:fill="007DC6"/>
          </w:tcPr>
          <w:p>
            <w:pPr>
              <w:spacing w:after="0"/>
              <w:rPr>
                <w:sz w:val="19"/>
                <w:szCs w:val="19"/>
                <w:color w:val="auto"/>
              </w:rPr>
            </w:pPr>
          </w:p>
        </w:tc>
        <w:tc>
          <w:tcPr>
            <w:tcW w:w="1560" w:type="dxa"/>
            <w:vAlign w:val="bottom"/>
            <w:shd w:val="clear" w:color="auto" w:fill="007DC6"/>
          </w:tcPr>
          <w:p>
            <w:pPr>
              <w:jc w:val="right"/>
              <w:ind w:right="261"/>
              <w:spacing w:after="0"/>
              <w:rPr>
                <w:sz w:val="20"/>
                <w:szCs w:val="20"/>
                <w:color w:val="auto"/>
              </w:rPr>
            </w:pPr>
            <w:r>
              <w:rPr>
                <w:rFonts w:ascii="Arial" w:cs="Arial" w:eastAsia="Arial" w:hAnsi="Arial"/>
                <w:sz w:val="20"/>
                <w:szCs w:val="20"/>
                <w:b w:val="1"/>
                <w:bCs w:val="1"/>
                <w:color w:val="FFFFFF"/>
              </w:rPr>
              <w:t>Mid-Point of</w:t>
            </w:r>
          </w:p>
        </w:tc>
        <w:tc>
          <w:tcPr>
            <w:tcW w:w="0" w:type="dxa"/>
            <w:vAlign w:val="bottom"/>
          </w:tcPr>
          <w:p>
            <w:pPr>
              <w:spacing w:after="0"/>
              <w:rPr>
                <w:sz w:val="1"/>
                <w:szCs w:val="1"/>
                <w:color w:val="auto"/>
              </w:rPr>
            </w:pPr>
          </w:p>
        </w:tc>
      </w:tr>
      <w:tr>
        <w:trPr>
          <w:trHeight w:val="240"/>
        </w:trPr>
        <w:tc>
          <w:tcPr>
            <w:tcW w:w="9100" w:type="dxa"/>
            <w:vAlign w:val="bottom"/>
            <w:vMerge w:val="continue"/>
            <w:shd w:val="clear" w:color="auto" w:fill="007DC6"/>
          </w:tcPr>
          <w:p>
            <w:pPr>
              <w:spacing w:after="0"/>
              <w:rPr>
                <w:sz w:val="20"/>
                <w:szCs w:val="20"/>
                <w:color w:val="auto"/>
              </w:rPr>
            </w:pPr>
          </w:p>
        </w:tc>
        <w:tc>
          <w:tcPr>
            <w:tcW w:w="580" w:type="dxa"/>
            <w:vAlign w:val="bottom"/>
            <w:shd w:val="clear" w:color="auto" w:fill="007DC6"/>
          </w:tcPr>
          <w:p>
            <w:pPr>
              <w:spacing w:after="0"/>
              <w:rPr>
                <w:sz w:val="20"/>
                <w:szCs w:val="20"/>
                <w:color w:val="auto"/>
              </w:rPr>
            </w:pPr>
          </w:p>
        </w:tc>
        <w:tc>
          <w:tcPr>
            <w:tcW w:w="1560" w:type="dxa"/>
            <w:vAlign w:val="bottom"/>
            <w:shd w:val="clear" w:color="auto" w:fill="007DC6"/>
          </w:tcPr>
          <w:p>
            <w:pPr>
              <w:jc w:val="right"/>
              <w:ind w:right="501"/>
              <w:spacing w:after="0"/>
              <w:rPr>
                <w:sz w:val="20"/>
                <w:szCs w:val="20"/>
                <w:color w:val="auto"/>
              </w:rPr>
            </w:pPr>
            <w:r>
              <w:rPr>
                <w:rFonts w:ascii="Arial" w:cs="Arial" w:eastAsia="Arial" w:hAnsi="Arial"/>
                <w:sz w:val="20"/>
                <w:szCs w:val="20"/>
                <w:b w:val="1"/>
                <w:bCs w:val="1"/>
                <w:color w:val="FFFFFF"/>
              </w:rPr>
              <w:t>Range</w:t>
            </w:r>
          </w:p>
        </w:tc>
        <w:tc>
          <w:tcPr>
            <w:tcW w:w="0" w:type="dxa"/>
            <w:vAlign w:val="bottom"/>
          </w:tcPr>
          <w:p>
            <w:pPr>
              <w:spacing w:after="0"/>
              <w:rPr>
                <w:sz w:val="1"/>
                <w:szCs w:val="1"/>
                <w:color w:val="auto"/>
              </w:rPr>
            </w:pPr>
          </w:p>
        </w:tc>
      </w:tr>
      <w:tr>
        <w:trPr>
          <w:trHeight w:val="216"/>
        </w:trPr>
        <w:tc>
          <w:tcPr>
            <w:tcW w:w="910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Net earnings from continuing operations attributable to Martin Marietta</w:t>
            </w:r>
          </w:p>
        </w:tc>
        <w:tc>
          <w:tcPr>
            <w:tcW w:w="58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w:t>
            </w:r>
          </w:p>
        </w:tc>
        <w:tc>
          <w:tcPr>
            <w:tcW w:w="1560" w:type="dxa"/>
            <w:vAlign w:val="bottom"/>
            <w:shd w:val="clear" w:color="auto" w:fill="CFF0FC"/>
          </w:tcPr>
          <w:p>
            <w:pPr>
              <w:jc w:val="right"/>
              <w:ind w:right="21"/>
              <w:spacing w:after="0" w:line="216" w:lineRule="exact"/>
              <w:rPr>
                <w:sz w:val="20"/>
                <w:szCs w:val="20"/>
                <w:color w:val="auto"/>
              </w:rPr>
            </w:pPr>
            <w:r>
              <w:rPr>
                <w:rFonts w:ascii="Arial" w:cs="Arial" w:eastAsia="Arial" w:hAnsi="Arial"/>
                <w:sz w:val="20"/>
                <w:szCs w:val="20"/>
                <w:color w:val="auto"/>
              </w:rPr>
              <w:t>800</w:t>
            </w:r>
          </w:p>
        </w:tc>
        <w:tc>
          <w:tcPr>
            <w:tcW w:w="0" w:type="dxa"/>
            <w:vAlign w:val="bottom"/>
          </w:tcPr>
          <w:p>
            <w:pPr>
              <w:spacing w:after="0"/>
              <w:rPr>
                <w:sz w:val="1"/>
                <w:szCs w:val="1"/>
                <w:color w:val="auto"/>
              </w:rPr>
            </w:pPr>
          </w:p>
        </w:tc>
      </w:tr>
      <w:tr>
        <w:trPr>
          <w:trHeight w:val="216"/>
        </w:trPr>
        <w:tc>
          <w:tcPr>
            <w:tcW w:w="9100" w:type="dxa"/>
            <w:vAlign w:val="bottom"/>
          </w:tcPr>
          <w:p>
            <w:pPr>
              <w:spacing w:after="0" w:line="216" w:lineRule="exact"/>
              <w:rPr>
                <w:sz w:val="20"/>
                <w:szCs w:val="20"/>
                <w:color w:val="auto"/>
              </w:rPr>
            </w:pPr>
            <w:r>
              <w:rPr>
                <w:rFonts w:ascii="Arial" w:cs="Arial" w:eastAsia="Arial" w:hAnsi="Arial"/>
                <w:sz w:val="20"/>
                <w:szCs w:val="20"/>
                <w:color w:val="auto"/>
              </w:rPr>
              <w:t>Add back:</w:t>
            </w:r>
          </w:p>
        </w:tc>
        <w:tc>
          <w:tcPr>
            <w:tcW w:w="5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FF0FC"/>
          </w:tcPr>
          <w:p>
            <w:pPr>
              <w:ind w:left="180"/>
              <w:spacing w:after="0" w:line="216" w:lineRule="exact"/>
              <w:rPr>
                <w:sz w:val="20"/>
                <w:szCs w:val="20"/>
                <w:color w:val="auto"/>
              </w:rPr>
            </w:pPr>
            <w:r>
              <w:rPr>
                <w:rFonts w:ascii="Arial" w:cs="Arial" w:eastAsia="Arial" w:hAnsi="Arial"/>
                <w:sz w:val="20"/>
                <w:szCs w:val="20"/>
                <w:color w:val="auto"/>
              </w:rPr>
              <w:t>Interest expense, net of interest income</w:t>
            </w:r>
          </w:p>
        </w:tc>
        <w:tc>
          <w:tcPr>
            <w:tcW w:w="58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21"/>
              <w:spacing w:after="0" w:line="216" w:lineRule="exact"/>
              <w:rPr>
                <w:sz w:val="20"/>
                <w:szCs w:val="20"/>
                <w:color w:val="auto"/>
              </w:rPr>
            </w:pPr>
            <w:r>
              <w:rPr>
                <w:rFonts w:ascii="Arial" w:cs="Arial" w:eastAsia="Arial" w:hAnsi="Arial"/>
                <w:sz w:val="20"/>
                <w:szCs w:val="20"/>
                <w:color w:val="auto"/>
              </w:rPr>
              <w:t>403</w:t>
            </w:r>
          </w:p>
        </w:tc>
        <w:tc>
          <w:tcPr>
            <w:tcW w:w="0" w:type="dxa"/>
            <w:vAlign w:val="bottom"/>
          </w:tcPr>
          <w:p>
            <w:pPr>
              <w:spacing w:after="0"/>
              <w:rPr>
                <w:sz w:val="1"/>
                <w:szCs w:val="1"/>
                <w:color w:val="auto"/>
              </w:rPr>
            </w:pPr>
          </w:p>
        </w:tc>
      </w:tr>
      <w:tr>
        <w:trPr>
          <w:trHeight w:val="216"/>
        </w:trPr>
        <w:tc>
          <w:tcPr>
            <w:tcW w:w="9100" w:type="dxa"/>
            <w:vAlign w:val="bottom"/>
          </w:tcPr>
          <w:p>
            <w:pPr>
              <w:ind w:left="180"/>
              <w:spacing w:after="0" w:line="216" w:lineRule="exact"/>
              <w:rPr>
                <w:sz w:val="20"/>
                <w:szCs w:val="20"/>
                <w:color w:val="auto"/>
              </w:rPr>
            </w:pPr>
            <w:r>
              <w:rPr>
                <w:rFonts w:ascii="Arial" w:cs="Arial" w:eastAsia="Arial" w:hAnsi="Arial"/>
                <w:sz w:val="20"/>
                <w:szCs w:val="20"/>
                <w:color w:val="auto"/>
              </w:rPr>
              <w:t>Income tax expense for controlling interests</w:t>
            </w:r>
          </w:p>
        </w:tc>
        <w:tc>
          <w:tcPr>
            <w:tcW w:w="580" w:type="dxa"/>
            <w:vAlign w:val="bottom"/>
          </w:tcPr>
          <w:p>
            <w:pPr>
              <w:spacing w:after="0"/>
              <w:rPr>
                <w:sz w:val="18"/>
                <w:szCs w:val="18"/>
                <w:color w:val="auto"/>
              </w:rPr>
            </w:pPr>
          </w:p>
        </w:tc>
        <w:tc>
          <w:tcPr>
            <w:tcW w:w="1560" w:type="dxa"/>
            <w:vAlign w:val="bottom"/>
          </w:tcPr>
          <w:p>
            <w:pPr>
              <w:jc w:val="right"/>
              <w:ind w:right="21"/>
              <w:spacing w:after="0" w:line="216" w:lineRule="exact"/>
              <w:rPr>
                <w:sz w:val="20"/>
                <w:szCs w:val="20"/>
                <w:color w:val="auto"/>
              </w:rPr>
            </w:pPr>
            <w:r>
              <w:rPr>
                <w:rFonts w:ascii="Arial" w:cs="Arial" w:eastAsia="Arial" w:hAnsi="Arial"/>
                <w:sz w:val="20"/>
                <w:szCs w:val="20"/>
                <w:color w:val="auto"/>
              </w:rPr>
              <w:t>203</w:t>
            </w:r>
          </w:p>
        </w:tc>
        <w:tc>
          <w:tcPr>
            <w:tcW w:w="0" w:type="dxa"/>
            <w:vAlign w:val="bottom"/>
          </w:tcPr>
          <w:p>
            <w:pPr>
              <w:spacing w:after="0"/>
              <w:rPr>
                <w:sz w:val="1"/>
                <w:szCs w:val="1"/>
                <w:color w:val="auto"/>
              </w:rPr>
            </w:pPr>
          </w:p>
        </w:tc>
      </w:tr>
      <w:tr>
        <w:trPr>
          <w:trHeight w:val="194"/>
        </w:trPr>
        <w:tc>
          <w:tcPr>
            <w:tcW w:w="9100" w:type="dxa"/>
            <w:vAlign w:val="bottom"/>
            <w:shd w:val="clear" w:color="auto" w:fill="CFF0FC"/>
          </w:tcPr>
          <w:p>
            <w:pPr>
              <w:ind w:left="180"/>
              <w:spacing w:after="0" w:line="194" w:lineRule="exact"/>
              <w:rPr>
                <w:sz w:val="20"/>
                <w:szCs w:val="20"/>
                <w:color w:val="auto"/>
              </w:rPr>
            </w:pPr>
            <w:r>
              <w:rPr>
                <w:rFonts w:ascii="Arial" w:cs="Arial" w:eastAsia="Arial" w:hAnsi="Arial"/>
                <w:sz w:val="20"/>
                <w:szCs w:val="20"/>
                <w:color w:val="auto"/>
              </w:rPr>
              <w:t>Depreciation, depletion and amortization expense and earnings/loss from nonconsolidated equity</w:t>
            </w:r>
          </w:p>
        </w:tc>
        <w:tc>
          <w:tcPr>
            <w:tcW w:w="580" w:type="dxa"/>
            <w:vAlign w:val="bottom"/>
            <w:shd w:val="clear" w:color="auto" w:fill="CFF0FC"/>
          </w:tcPr>
          <w:p>
            <w:pPr>
              <w:spacing w:after="0"/>
              <w:rPr>
                <w:sz w:val="16"/>
                <w:szCs w:val="16"/>
                <w:color w:val="auto"/>
              </w:rPr>
            </w:pPr>
          </w:p>
        </w:tc>
        <w:tc>
          <w:tcPr>
            <w:tcW w:w="15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9100" w:type="dxa"/>
            <w:vAlign w:val="bottom"/>
            <w:shd w:val="clear" w:color="auto" w:fill="CFF0FC"/>
          </w:tcPr>
          <w:p>
            <w:pPr>
              <w:ind w:left="180"/>
              <w:spacing w:after="0"/>
              <w:rPr>
                <w:sz w:val="20"/>
                <w:szCs w:val="20"/>
                <w:color w:val="auto"/>
              </w:rPr>
            </w:pPr>
            <w:r>
              <w:rPr>
                <w:rFonts w:ascii="Arial" w:cs="Arial" w:eastAsia="Arial" w:hAnsi="Arial"/>
                <w:sz w:val="20"/>
                <w:szCs w:val="20"/>
                <w:color w:val="auto"/>
              </w:rPr>
              <w:t>affiliates</w:t>
            </w:r>
          </w:p>
        </w:tc>
        <w:tc>
          <w:tcPr>
            <w:tcW w:w="580" w:type="dxa"/>
            <w:vAlign w:val="bottom"/>
            <w:shd w:val="clear" w:color="auto" w:fill="CFF0FC"/>
          </w:tcPr>
          <w:p>
            <w:pPr>
              <w:spacing w:after="0"/>
              <w:rPr>
                <w:sz w:val="20"/>
                <w:szCs w:val="20"/>
                <w:color w:val="auto"/>
              </w:rPr>
            </w:pPr>
          </w:p>
        </w:tc>
        <w:tc>
          <w:tcPr>
            <w:tcW w:w="156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864</w:t>
            </w:r>
          </w:p>
        </w:tc>
        <w:tc>
          <w:tcPr>
            <w:tcW w:w="0" w:type="dxa"/>
            <w:vAlign w:val="bottom"/>
          </w:tcPr>
          <w:p>
            <w:pPr>
              <w:spacing w:after="0"/>
              <w:rPr>
                <w:sz w:val="1"/>
                <w:szCs w:val="1"/>
                <w:color w:val="auto"/>
              </w:rPr>
            </w:pPr>
          </w:p>
        </w:tc>
      </w:tr>
      <w:tr>
        <w:trPr>
          <w:trHeight w:val="216"/>
        </w:trPr>
        <w:tc>
          <w:tcPr>
            <w:tcW w:w="9100" w:type="dxa"/>
            <w:vAlign w:val="bottom"/>
          </w:tcPr>
          <w:p>
            <w:pPr>
              <w:ind w:left="180"/>
              <w:spacing w:after="0" w:line="216" w:lineRule="exact"/>
              <w:rPr>
                <w:sz w:val="20"/>
                <w:szCs w:val="20"/>
                <w:color w:val="auto"/>
              </w:rPr>
            </w:pPr>
            <w:r>
              <w:rPr>
                <w:rFonts w:ascii="Arial" w:cs="Arial" w:eastAsia="Arial" w:hAnsi="Arial"/>
                <w:sz w:val="20"/>
                <w:szCs w:val="20"/>
                <w:color w:val="auto"/>
              </w:rPr>
              <w:t>Acquisition, divestiture and integration expenses</w:t>
            </w:r>
          </w:p>
        </w:tc>
        <w:tc>
          <w:tcPr>
            <w:tcW w:w="580" w:type="dxa"/>
            <w:vAlign w:val="bottom"/>
          </w:tcPr>
          <w:p>
            <w:pPr>
              <w:spacing w:after="0"/>
              <w:rPr>
                <w:sz w:val="18"/>
                <w:szCs w:val="18"/>
                <w:color w:val="auto"/>
              </w:rPr>
            </w:pPr>
          </w:p>
        </w:tc>
        <w:tc>
          <w:tcPr>
            <w:tcW w:w="1560" w:type="dxa"/>
            <w:vAlign w:val="bottom"/>
          </w:tcPr>
          <w:p>
            <w:pPr>
              <w:jc w:val="right"/>
              <w:ind w:right="21"/>
              <w:spacing w:after="0" w:line="216" w:lineRule="exact"/>
              <w:rPr>
                <w:sz w:val="20"/>
                <w:szCs w:val="20"/>
                <w:color w:val="auto"/>
              </w:rPr>
            </w:pPr>
            <w:r>
              <w:rPr>
                <w:rFonts w:ascii="Arial" w:cs="Arial" w:eastAsia="Arial" w:hAnsi="Arial"/>
                <w:sz w:val="20"/>
                <w:szCs w:val="20"/>
                <w:color w:val="auto"/>
              </w:rPr>
              <w:t>96</w:t>
            </w:r>
          </w:p>
        </w:tc>
        <w:tc>
          <w:tcPr>
            <w:tcW w:w="0" w:type="dxa"/>
            <w:vAlign w:val="bottom"/>
          </w:tcPr>
          <w:p>
            <w:pPr>
              <w:spacing w:after="0"/>
              <w:rPr>
                <w:sz w:val="1"/>
                <w:szCs w:val="1"/>
                <w:color w:val="auto"/>
              </w:rPr>
            </w:pPr>
          </w:p>
        </w:tc>
      </w:tr>
      <w:tr>
        <w:trPr>
          <w:trHeight w:val="216"/>
        </w:trPr>
        <w:tc>
          <w:tcPr>
            <w:tcW w:w="9100" w:type="dxa"/>
            <w:vAlign w:val="bottom"/>
            <w:shd w:val="clear" w:color="auto" w:fill="CFF0FC"/>
          </w:tcPr>
          <w:p>
            <w:pPr>
              <w:ind w:left="180"/>
              <w:spacing w:after="0" w:line="216" w:lineRule="exact"/>
              <w:rPr>
                <w:sz w:val="20"/>
                <w:szCs w:val="20"/>
                <w:color w:val="auto"/>
              </w:rPr>
            </w:pPr>
            <w:r>
              <w:rPr>
                <w:rFonts w:ascii="Arial" w:cs="Arial" w:eastAsia="Arial" w:hAnsi="Arial"/>
                <w:sz w:val="20"/>
                <w:szCs w:val="20"/>
                <w:color w:val="auto"/>
              </w:rPr>
              <w:t>Impact of selling acquired inventory after markup to fair value as part of acquisition accounting</w:t>
            </w:r>
          </w:p>
        </w:tc>
        <w:tc>
          <w:tcPr>
            <w:tcW w:w="58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21"/>
              <w:spacing w:after="0" w:line="216" w:lineRule="exact"/>
              <w:rPr>
                <w:sz w:val="20"/>
                <w:szCs w:val="20"/>
                <w:color w:val="auto"/>
              </w:rPr>
            </w:pPr>
            <w:r>
              <w:rPr>
                <w:rFonts w:ascii="Arial" w:cs="Arial" w:eastAsia="Arial" w:hAnsi="Arial"/>
                <w:sz w:val="20"/>
                <w:szCs w:val="20"/>
                <w:color w:val="auto"/>
              </w:rPr>
              <w:t>105</w:t>
            </w:r>
          </w:p>
        </w:tc>
        <w:tc>
          <w:tcPr>
            <w:tcW w:w="0" w:type="dxa"/>
            <w:vAlign w:val="bottom"/>
          </w:tcPr>
          <w:p>
            <w:pPr>
              <w:spacing w:after="0"/>
              <w:rPr>
                <w:sz w:val="1"/>
                <w:szCs w:val="1"/>
                <w:color w:val="auto"/>
              </w:rPr>
            </w:pPr>
          </w:p>
        </w:tc>
      </w:tr>
      <w:tr>
        <w:trPr>
          <w:trHeight w:val="216"/>
        </w:trPr>
        <w:tc>
          <w:tcPr>
            <w:tcW w:w="9100" w:type="dxa"/>
            <w:vAlign w:val="bottom"/>
            <w:tcBorders>
              <w:bottom w:val="single" w:sz="8" w:color="auto"/>
            </w:tcBorders>
          </w:tcPr>
          <w:p>
            <w:pPr>
              <w:ind w:left="180"/>
              <w:spacing w:after="0" w:line="216" w:lineRule="exact"/>
              <w:rPr>
                <w:sz w:val="20"/>
                <w:szCs w:val="20"/>
                <w:color w:val="auto"/>
              </w:rPr>
            </w:pPr>
            <w:r>
              <w:rPr>
                <w:rFonts w:ascii="Arial" w:cs="Arial" w:eastAsia="Arial" w:hAnsi="Arial"/>
                <w:sz w:val="20"/>
                <w:szCs w:val="20"/>
                <w:color w:val="auto"/>
              </w:rPr>
              <w:t>Asset and portfolio rationalization charge</w:t>
            </w:r>
          </w:p>
        </w:tc>
        <w:tc>
          <w:tcPr>
            <w:tcW w:w="5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1"/>
              <w:spacing w:after="0" w:line="216" w:lineRule="exact"/>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50"/>
        </w:trPr>
        <w:tc>
          <w:tcPr>
            <w:tcW w:w="9100" w:type="dxa"/>
            <w:vAlign w:val="bottom"/>
            <w:tcBorders>
              <w:bottom w:val="single" w:sz="8" w:color="auto"/>
            </w:tcBorders>
            <w:shd w:val="clear" w:color="auto" w:fill="CFF0FC"/>
          </w:tcPr>
          <w:p>
            <w:pPr>
              <w:spacing w:after="0" w:line="209" w:lineRule="exact"/>
              <w:rPr>
                <w:sz w:val="20"/>
                <w:szCs w:val="20"/>
                <w:color w:val="auto"/>
              </w:rPr>
            </w:pPr>
            <w:r>
              <w:rPr>
                <w:rFonts w:ascii="Arial" w:cs="Arial" w:eastAsia="Arial" w:hAnsi="Arial"/>
                <w:sz w:val="20"/>
                <w:szCs w:val="20"/>
                <w:color w:val="auto"/>
              </w:rPr>
              <w:t>Adjusted EBITDA from continuing operations guidance</w:t>
            </w:r>
          </w:p>
        </w:tc>
        <w:tc>
          <w:tcPr>
            <w:tcW w:w="580" w:type="dxa"/>
            <w:vAlign w:val="bottom"/>
            <w:tcBorders>
              <w:bottom w:val="single" w:sz="8" w:color="auto"/>
            </w:tcBorders>
            <w:shd w:val="clear" w:color="auto" w:fill="CFF0FC"/>
          </w:tcPr>
          <w:p>
            <w:pPr>
              <w:jc w:val="right"/>
              <w:spacing w:after="0" w:line="209" w:lineRule="exact"/>
              <w:rPr>
                <w:sz w:val="20"/>
                <w:szCs w:val="20"/>
                <w:color w:val="auto"/>
              </w:rPr>
            </w:pPr>
            <w:r>
              <w:rPr>
                <w:rFonts w:ascii="Arial" w:cs="Arial" w:eastAsia="Arial" w:hAnsi="Arial"/>
                <w:sz w:val="20"/>
                <w:szCs w:val="20"/>
                <w:color w:val="auto"/>
              </w:rPr>
              <w:t>$</w:t>
            </w:r>
          </w:p>
        </w:tc>
        <w:tc>
          <w:tcPr>
            <w:tcW w:w="1560" w:type="dxa"/>
            <w:vAlign w:val="bottom"/>
            <w:tcBorders>
              <w:bottom w:val="single" w:sz="8" w:color="auto"/>
            </w:tcBorders>
            <w:shd w:val="clear" w:color="auto" w:fill="CFF0FC"/>
          </w:tcPr>
          <w:p>
            <w:pPr>
              <w:jc w:val="right"/>
              <w:ind w:right="21"/>
              <w:spacing w:after="0" w:line="209" w:lineRule="exact"/>
              <w:rPr>
                <w:sz w:val="20"/>
                <w:szCs w:val="20"/>
                <w:color w:val="auto"/>
              </w:rPr>
            </w:pPr>
            <w:r>
              <w:rPr>
                <w:rFonts w:ascii="Arial" w:cs="Arial" w:eastAsia="Arial" w:hAnsi="Arial"/>
                <w:sz w:val="20"/>
                <w:szCs w:val="20"/>
                <w:color w:val="auto"/>
              </w:rPr>
              <w:t>2,475</w:t>
            </w:r>
          </w:p>
        </w:tc>
        <w:tc>
          <w:tcPr>
            <w:tcW w:w="0" w:type="dxa"/>
            <w:vAlign w:val="bottom"/>
          </w:tcPr>
          <w:p>
            <w:pPr>
              <w:spacing w:after="0"/>
              <w:rPr>
                <w:sz w:val="1"/>
                <w:szCs w:val="1"/>
                <w:color w:val="auto"/>
              </w:rPr>
            </w:pPr>
          </w:p>
        </w:tc>
      </w:tr>
      <w:tr>
        <w:trPr>
          <w:trHeight w:val="598"/>
        </w:trPr>
        <w:tc>
          <w:tcPr>
            <w:tcW w:w="9100" w:type="dxa"/>
            <w:vAlign w:val="bottom"/>
          </w:tcPr>
          <w:p>
            <w:pPr>
              <w:ind w:left="5520"/>
              <w:spacing w:after="0"/>
              <w:rPr>
                <w:sz w:val="20"/>
                <w:szCs w:val="20"/>
                <w:color w:val="auto"/>
              </w:rPr>
            </w:pPr>
            <w:r>
              <w:rPr>
                <w:rFonts w:ascii="Arial" w:cs="Arial" w:eastAsia="Arial" w:hAnsi="Arial"/>
                <w:sz w:val="20"/>
                <w:szCs w:val="20"/>
                <w:color w:val="auto"/>
              </w:rPr>
              <w:t>16</w:t>
            </w:r>
          </w:p>
        </w:tc>
        <w:tc>
          <w:tcPr>
            <w:tcW w:w="5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0"/>
        </w:trPr>
        <w:tc>
          <w:tcPr>
            <w:tcW w:w="9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9" w:name="page20"/>
    <w:bookmarkEnd w:id="19"/>
    <w:p>
      <w:pPr>
        <w:spacing w:after="0"/>
        <w:rPr>
          <w:sz w:val="20"/>
          <w:szCs w:val="20"/>
          <w:color w:val="auto"/>
        </w:rPr>
      </w:pPr>
      <w:r>
        <w:rPr>
          <w:rFonts w:ascii="Arial" w:cs="Arial" w:eastAsia="Arial" w:hAnsi="Arial"/>
          <w:sz w:val="22"/>
          <w:szCs w:val="22"/>
          <w:color w:val="auto"/>
        </w:rPr>
        <w:t>Appendix</w:t>
      </w:r>
    </w:p>
    <w:p>
      <w:pPr>
        <w:spacing w:after="0" w:line="200" w:lineRule="exact"/>
        <w:rPr>
          <w:sz w:val="20"/>
          <w:szCs w:val="20"/>
          <w:color w:val="auto"/>
        </w:rPr>
      </w:pPr>
    </w:p>
    <w:p>
      <w:pPr>
        <w:spacing w:after="0" w:line="225" w:lineRule="exact"/>
        <w:rPr>
          <w:sz w:val="20"/>
          <w:szCs w:val="20"/>
          <w:color w:val="auto"/>
        </w:rPr>
      </w:pPr>
    </w:p>
    <w:p>
      <w:pPr>
        <w:ind w:left="3840"/>
        <w:spacing w:after="0"/>
        <w:rPr>
          <w:sz w:val="20"/>
          <w:szCs w:val="20"/>
          <w:color w:val="auto"/>
        </w:rPr>
      </w:pPr>
      <w:r>
        <w:rPr>
          <w:rFonts w:ascii="Arial" w:cs="Arial" w:eastAsia="Arial" w:hAnsi="Arial"/>
          <w:sz w:val="20"/>
          <w:szCs w:val="20"/>
          <w:b w:val="1"/>
          <w:bCs w:val="1"/>
          <w:color w:val="auto"/>
        </w:rPr>
        <w:t>MARTIN MARIETTA MATERIALS, INC.</w:t>
      </w:r>
    </w:p>
    <w:p>
      <w:pPr>
        <w:spacing w:after="0" w:line="6" w:lineRule="exact"/>
        <w:rPr>
          <w:sz w:val="20"/>
          <w:szCs w:val="20"/>
          <w:color w:val="auto"/>
        </w:rPr>
      </w:pPr>
    </w:p>
    <w:p>
      <w:pPr>
        <w:ind w:left="4140"/>
        <w:spacing w:after="0"/>
        <w:rPr>
          <w:sz w:val="20"/>
          <w:szCs w:val="20"/>
          <w:color w:val="auto"/>
        </w:rPr>
      </w:pPr>
      <w:r>
        <w:rPr>
          <w:rFonts w:ascii="Arial" w:cs="Arial" w:eastAsia="Arial" w:hAnsi="Arial"/>
          <w:sz w:val="20"/>
          <w:szCs w:val="20"/>
          <w:b w:val="1"/>
          <w:bCs w:val="1"/>
          <w:color w:val="auto"/>
        </w:rPr>
        <w:t>Non-GAAP Financial Measures</w:t>
      </w:r>
    </w:p>
    <w:p>
      <w:pPr>
        <w:spacing w:after="0" w:line="184"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Adjusted earnings per diluted share from continuing operations is a non-GAAP financial measure used by the Company and by investors to evaluate operating performance and enhance comparability across reporting periods. The Company calculates Adjusted earnings per diluted share from continuing operations by excluding the impact of certain items that management believes are not indicative of the Company's underlying performance from period to period, including impacts directly related to acquisition and divestiture activity as well as asset and portfolio rationalization charges. The Company has elected to add back, for purposes of its Adjusted earnings per diluted share from continuing operations calculation, acquisition, divestiture and integration expenses, the impact of selling acquired inventory after its markup to fair value as part of acquisition accounting and the revaluation of deferred tax liabilities, only for transactions with consideration of at least $2.0 billion for the Building Materials business or $200 million for the Specialties business.</w:t>
      </w:r>
    </w:p>
    <w:p>
      <w:pPr>
        <w:spacing w:after="0" w:line="176"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Adjusted earnings per diluted share from continuing operations is not defined by accounting principles generally accepted in the United States (GAAP) and, as such, should not be construed as an alternative to earnings per diluted share from continuing operations. For further information on Adjusted earnings per diluted share from continuing operations, refer to the Company’s website at www.martinmarietta.com.</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20"/>
          <w:szCs w:val="20"/>
          <w:b w:val="1"/>
          <w:bCs w:val="1"/>
          <w:color w:val="auto"/>
        </w:rPr>
        <w:t>Reconciliation of Earnings per Diluted Share from Continuing Operations to Adjusted Earnings per Diluted Share from Continuing Operations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shd w:val="clear" w:color="auto" w:fill="007DC6"/>
          </w:tcPr>
          <w:p>
            <w:pPr>
              <w:spacing w:after="0"/>
              <w:rPr>
                <w:sz w:val="19"/>
                <w:szCs w:val="19"/>
                <w:color w:val="auto"/>
              </w:rPr>
            </w:pPr>
          </w:p>
        </w:tc>
        <w:tc>
          <w:tcPr>
            <w:tcW w:w="300" w:type="dxa"/>
            <w:vAlign w:val="bottom"/>
            <w:shd w:val="clear" w:color="auto" w:fill="007DC6"/>
          </w:tcPr>
          <w:p>
            <w:pPr>
              <w:spacing w:after="0"/>
              <w:rPr>
                <w:sz w:val="19"/>
                <w:szCs w:val="19"/>
                <w:color w:val="auto"/>
              </w:rPr>
            </w:pPr>
          </w:p>
        </w:tc>
        <w:tc>
          <w:tcPr>
            <w:tcW w:w="2400" w:type="dxa"/>
            <w:vAlign w:val="bottom"/>
            <w:gridSpan w:val="3"/>
            <w:shd w:val="clear" w:color="auto" w:fill="007DC6"/>
          </w:tcPr>
          <w:p>
            <w:pPr>
              <w:jc w:val="right"/>
              <w:ind w:right="281"/>
              <w:spacing w:after="0"/>
              <w:rPr>
                <w:sz w:val="20"/>
                <w:szCs w:val="20"/>
                <w:color w:val="auto"/>
              </w:rPr>
            </w:pPr>
            <w:r>
              <w:rPr>
                <w:rFonts w:ascii="Arial" w:cs="Arial" w:eastAsia="Arial" w:hAnsi="Arial"/>
                <w:sz w:val="20"/>
                <w:szCs w:val="20"/>
                <w:b w:val="1"/>
                <w:bCs w:val="1"/>
                <w:color w:val="FFFFFF"/>
              </w:rPr>
              <w:t>Three Months Ended</w:t>
            </w:r>
          </w:p>
        </w:tc>
        <w:tc>
          <w:tcPr>
            <w:tcW w:w="320" w:type="dxa"/>
            <w:vAlign w:val="bottom"/>
            <w:shd w:val="clear" w:color="auto" w:fill="007DC6"/>
          </w:tcPr>
          <w:p>
            <w:pPr>
              <w:spacing w:after="0"/>
              <w:rPr>
                <w:sz w:val="19"/>
                <w:szCs w:val="19"/>
                <w:color w:val="auto"/>
              </w:rPr>
            </w:pPr>
          </w:p>
        </w:tc>
        <w:tc>
          <w:tcPr>
            <w:tcW w:w="2400" w:type="dxa"/>
            <w:vAlign w:val="bottom"/>
            <w:gridSpan w:val="3"/>
            <w:shd w:val="clear" w:color="auto" w:fill="007DC6"/>
          </w:tcPr>
          <w:p>
            <w:pPr>
              <w:jc w:val="right"/>
              <w:ind w:right="341"/>
              <w:spacing w:after="0"/>
              <w:rPr>
                <w:sz w:val="20"/>
                <w:szCs w:val="20"/>
                <w:color w:val="auto"/>
              </w:rPr>
            </w:pPr>
            <w:r>
              <w:rPr>
                <w:rFonts w:ascii="Arial" w:cs="Arial" w:eastAsia="Arial" w:hAnsi="Arial"/>
                <w:sz w:val="20"/>
                <w:szCs w:val="20"/>
                <w:b w:val="1"/>
                <w:bCs w:val="1"/>
                <w:color w:val="FFFFFF"/>
              </w:rPr>
              <w:t>Nine Months Ended</w:t>
            </w:r>
          </w:p>
        </w:tc>
      </w:tr>
      <w:tr>
        <w:trPr>
          <w:trHeight w:val="229"/>
        </w:trPr>
        <w:tc>
          <w:tcPr>
            <w:tcW w:w="5820" w:type="dxa"/>
            <w:vAlign w:val="bottom"/>
            <w:shd w:val="clear" w:color="auto" w:fill="007DC6"/>
          </w:tcPr>
          <w:p>
            <w:pPr>
              <w:spacing w:after="0"/>
              <w:rPr>
                <w:sz w:val="19"/>
                <w:szCs w:val="19"/>
                <w:color w:val="auto"/>
              </w:rPr>
            </w:pPr>
          </w:p>
        </w:tc>
        <w:tc>
          <w:tcPr>
            <w:tcW w:w="300" w:type="dxa"/>
            <w:vAlign w:val="bottom"/>
            <w:shd w:val="clear" w:color="auto" w:fill="007DC6"/>
          </w:tcPr>
          <w:p>
            <w:pPr>
              <w:spacing w:after="0"/>
              <w:rPr>
                <w:sz w:val="19"/>
                <w:szCs w:val="19"/>
                <w:color w:val="auto"/>
              </w:rPr>
            </w:pPr>
          </w:p>
        </w:tc>
        <w:tc>
          <w:tcPr>
            <w:tcW w:w="2400" w:type="dxa"/>
            <w:vAlign w:val="bottom"/>
            <w:gridSpan w:val="3"/>
            <w:shd w:val="clear" w:color="auto" w:fill="007DC6"/>
          </w:tcPr>
          <w:p>
            <w:pPr>
              <w:jc w:val="right"/>
              <w:ind w:right="581"/>
              <w:spacing w:after="0"/>
              <w:rPr>
                <w:sz w:val="20"/>
                <w:szCs w:val="20"/>
                <w:color w:val="auto"/>
              </w:rPr>
            </w:pPr>
            <w:r>
              <w:rPr>
                <w:rFonts w:ascii="Arial" w:cs="Arial" w:eastAsia="Arial" w:hAnsi="Arial"/>
                <w:sz w:val="20"/>
                <w:szCs w:val="20"/>
                <w:b w:val="1"/>
                <w:bCs w:val="1"/>
                <w:color w:val="FFFFFF"/>
              </w:rPr>
              <w:t>September 30,</w:t>
            </w:r>
          </w:p>
        </w:tc>
        <w:tc>
          <w:tcPr>
            <w:tcW w:w="320" w:type="dxa"/>
            <w:vAlign w:val="bottom"/>
            <w:shd w:val="clear" w:color="auto" w:fill="007DC6"/>
          </w:tcPr>
          <w:p>
            <w:pPr>
              <w:spacing w:after="0"/>
              <w:rPr>
                <w:sz w:val="19"/>
                <w:szCs w:val="19"/>
                <w:color w:val="auto"/>
              </w:rPr>
            </w:pPr>
          </w:p>
        </w:tc>
        <w:tc>
          <w:tcPr>
            <w:tcW w:w="2400" w:type="dxa"/>
            <w:vAlign w:val="bottom"/>
            <w:gridSpan w:val="3"/>
            <w:shd w:val="clear" w:color="auto" w:fill="007DC6"/>
          </w:tcPr>
          <w:p>
            <w:pPr>
              <w:jc w:val="right"/>
              <w:ind w:right="581"/>
              <w:spacing w:after="0"/>
              <w:rPr>
                <w:sz w:val="20"/>
                <w:szCs w:val="20"/>
                <w:color w:val="auto"/>
              </w:rPr>
            </w:pPr>
            <w:r>
              <w:rPr>
                <w:rFonts w:ascii="Arial" w:cs="Arial" w:eastAsia="Arial" w:hAnsi="Arial"/>
                <w:sz w:val="20"/>
                <w:szCs w:val="20"/>
                <w:b w:val="1"/>
                <w:bCs w:val="1"/>
                <w:color w:val="FFFFFF"/>
              </w:rPr>
              <w:t>September 30,</w:t>
            </w:r>
          </w:p>
        </w:tc>
      </w:tr>
      <w:tr>
        <w:trPr>
          <w:trHeight w:val="240"/>
        </w:trPr>
        <w:tc>
          <w:tcPr>
            <w:tcW w:w="5820" w:type="dxa"/>
            <w:vAlign w:val="bottom"/>
            <w:shd w:val="clear" w:color="auto" w:fill="007DC6"/>
          </w:tcPr>
          <w:p>
            <w:pPr>
              <w:spacing w:after="0"/>
              <w:rPr>
                <w:sz w:val="20"/>
                <w:szCs w:val="20"/>
                <w:color w:val="auto"/>
              </w:rPr>
            </w:pPr>
            <w:r>
              <w:rPr>
                <w:rFonts w:ascii="Arial" w:cs="Arial" w:eastAsia="Arial" w:hAnsi="Arial"/>
                <w:sz w:val="20"/>
                <w:szCs w:val="20"/>
                <w:b w:val="1"/>
                <w:bCs w:val="1"/>
                <w:color w:val="FFFFFF"/>
              </w:rPr>
              <w:t>(per diluted share)</w:t>
            </w:r>
          </w:p>
        </w:tc>
        <w:tc>
          <w:tcPr>
            <w:tcW w:w="300" w:type="dxa"/>
            <w:vAlign w:val="bottom"/>
            <w:shd w:val="clear" w:color="auto" w:fill="007DC6"/>
          </w:tcPr>
          <w:p>
            <w:pPr>
              <w:spacing w:after="0"/>
              <w:rPr>
                <w:sz w:val="20"/>
                <w:szCs w:val="20"/>
                <w:color w:val="auto"/>
              </w:rPr>
            </w:pPr>
          </w:p>
        </w:tc>
        <w:tc>
          <w:tcPr>
            <w:tcW w:w="1060" w:type="dxa"/>
            <w:vAlign w:val="bottom"/>
            <w:shd w:val="clear" w:color="auto" w:fill="007DC6"/>
          </w:tcPr>
          <w:p>
            <w:pPr>
              <w:jc w:val="right"/>
              <w:ind w:right="361"/>
              <w:spacing w:after="0"/>
              <w:rPr>
                <w:sz w:val="20"/>
                <w:szCs w:val="20"/>
                <w:color w:val="auto"/>
              </w:rPr>
            </w:pPr>
            <w:r>
              <w:rPr>
                <w:rFonts w:ascii="Arial" w:cs="Arial" w:eastAsia="Arial" w:hAnsi="Arial"/>
                <w:sz w:val="20"/>
                <w:szCs w:val="20"/>
                <w:b w:val="1"/>
                <w:bCs w:val="1"/>
                <w:color w:val="FFFFFF"/>
              </w:rPr>
              <w:t>2026</w:t>
            </w:r>
          </w:p>
        </w:tc>
        <w:tc>
          <w:tcPr>
            <w:tcW w:w="320" w:type="dxa"/>
            <w:vAlign w:val="bottom"/>
            <w:shd w:val="clear" w:color="auto" w:fill="007DC6"/>
          </w:tcPr>
          <w:p>
            <w:pPr>
              <w:spacing w:after="0"/>
              <w:rPr>
                <w:sz w:val="20"/>
                <w:szCs w:val="20"/>
                <w:color w:val="auto"/>
              </w:rPr>
            </w:pPr>
          </w:p>
        </w:tc>
        <w:tc>
          <w:tcPr>
            <w:tcW w:w="1020" w:type="dxa"/>
            <w:vAlign w:val="bottom"/>
            <w:shd w:val="clear" w:color="auto" w:fill="007DC6"/>
          </w:tcPr>
          <w:p>
            <w:pPr>
              <w:jc w:val="right"/>
              <w:ind w:right="361"/>
              <w:spacing w:after="0"/>
              <w:rPr>
                <w:sz w:val="20"/>
                <w:szCs w:val="20"/>
                <w:color w:val="auto"/>
              </w:rPr>
            </w:pPr>
            <w:r>
              <w:rPr>
                <w:rFonts w:ascii="Arial" w:cs="Arial" w:eastAsia="Arial" w:hAnsi="Arial"/>
                <w:sz w:val="20"/>
                <w:szCs w:val="20"/>
                <w:b w:val="1"/>
                <w:bCs w:val="1"/>
                <w:color w:val="FFFFFF"/>
              </w:rPr>
              <w:t>2025</w:t>
            </w:r>
          </w:p>
        </w:tc>
        <w:tc>
          <w:tcPr>
            <w:tcW w:w="320" w:type="dxa"/>
            <w:vAlign w:val="bottom"/>
            <w:shd w:val="clear" w:color="auto" w:fill="007DC6"/>
          </w:tcPr>
          <w:p>
            <w:pPr>
              <w:spacing w:after="0"/>
              <w:rPr>
                <w:sz w:val="20"/>
                <w:szCs w:val="20"/>
                <w:color w:val="auto"/>
              </w:rPr>
            </w:pPr>
          </w:p>
        </w:tc>
        <w:tc>
          <w:tcPr>
            <w:tcW w:w="1040" w:type="dxa"/>
            <w:vAlign w:val="bottom"/>
            <w:shd w:val="clear" w:color="auto" w:fill="007DC6"/>
          </w:tcPr>
          <w:p>
            <w:pPr>
              <w:jc w:val="right"/>
              <w:ind w:right="361"/>
              <w:spacing w:after="0"/>
              <w:rPr>
                <w:sz w:val="20"/>
                <w:szCs w:val="20"/>
                <w:color w:val="auto"/>
              </w:rPr>
            </w:pPr>
            <w:r>
              <w:rPr>
                <w:rFonts w:ascii="Arial" w:cs="Arial" w:eastAsia="Arial" w:hAnsi="Arial"/>
                <w:sz w:val="20"/>
                <w:szCs w:val="20"/>
                <w:b w:val="1"/>
                <w:bCs w:val="1"/>
                <w:color w:val="FFFFFF"/>
              </w:rPr>
              <w:t>2026</w:t>
            </w:r>
          </w:p>
        </w:tc>
        <w:tc>
          <w:tcPr>
            <w:tcW w:w="340" w:type="dxa"/>
            <w:vAlign w:val="bottom"/>
            <w:shd w:val="clear" w:color="auto" w:fill="007DC6"/>
          </w:tcPr>
          <w:p>
            <w:pPr>
              <w:spacing w:after="0"/>
              <w:rPr>
                <w:sz w:val="20"/>
                <w:szCs w:val="20"/>
                <w:color w:val="auto"/>
              </w:rPr>
            </w:pPr>
          </w:p>
        </w:tc>
        <w:tc>
          <w:tcPr>
            <w:tcW w:w="1020" w:type="dxa"/>
            <w:vAlign w:val="bottom"/>
            <w:shd w:val="clear" w:color="auto" w:fill="007DC6"/>
          </w:tcPr>
          <w:p>
            <w:pPr>
              <w:jc w:val="right"/>
              <w:ind w:right="361"/>
              <w:spacing w:after="0"/>
              <w:rPr>
                <w:sz w:val="20"/>
                <w:szCs w:val="20"/>
                <w:color w:val="auto"/>
              </w:rPr>
            </w:pPr>
            <w:r>
              <w:rPr>
                <w:rFonts w:ascii="Arial" w:cs="Arial" w:eastAsia="Arial" w:hAnsi="Arial"/>
                <w:sz w:val="20"/>
                <w:szCs w:val="20"/>
                <w:b w:val="1"/>
                <w:bCs w:val="1"/>
                <w:color w:val="FFFFFF"/>
              </w:rPr>
              <w:t>2025</w:t>
            </w:r>
          </w:p>
        </w:tc>
      </w:tr>
      <w:tr>
        <w:trPr>
          <w:trHeight w:val="216"/>
        </w:trPr>
        <w:tc>
          <w:tcPr>
            <w:tcW w:w="582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Earnings per diluted share from continuing operations</w:t>
            </w:r>
          </w:p>
        </w:tc>
        <w:tc>
          <w:tcPr>
            <w:tcW w:w="30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w:t>
            </w:r>
          </w:p>
        </w:tc>
        <w:tc>
          <w:tcPr>
            <w:tcW w:w="1060" w:type="dxa"/>
            <w:vAlign w:val="bottom"/>
            <w:shd w:val="clear" w:color="auto" w:fill="CFF0FC"/>
          </w:tcPr>
          <w:p>
            <w:pPr>
              <w:jc w:val="right"/>
              <w:ind w:right="21"/>
              <w:spacing w:after="0" w:line="216" w:lineRule="exact"/>
              <w:rPr>
                <w:sz w:val="20"/>
                <w:szCs w:val="20"/>
                <w:color w:val="auto"/>
              </w:rPr>
            </w:pPr>
            <w:r>
              <w:rPr>
                <w:rFonts w:ascii="Arial" w:cs="Arial" w:eastAsia="Arial" w:hAnsi="Arial"/>
                <w:sz w:val="20"/>
                <w:szCs w:val="20"/>
                <w:color w:val="auto"/>
              </w:rPr>
              <w:t>3.94</w:t>
            </w:r>
          </w:p>
        </w:tc>
        <w:tc>
          <w:tcPr>
            <w:tcW w:w="320" w:type="dxa"/>
            <w:vAlign w:val="bottom"/>
            <w:shd w:val="clear" w:color="auto" w:fill="CFF0FC"/>
          </w:tcPr>
          <w:p>
            <w:pPr>
              <w:jc w:val="right"/>
              <w:ind w:right="1"/>
              <w:spacing w:after="0" w:line="216" w:lineRule="exact"/>
              <w:rPr>
                <w:sz w:val="20"/>
                <w:szCs w:val="20"/>
                <w:color w:val="auto"/>
              </w:rPr>
            </w:pPr>
            <w:r>
              <w:rPr>
                <w:rFonts w:ascii="Arial" w:cs="Arial" w:eastAsia="Arial" w:hAnsi="Arial"/>
                <w:sz w:val="20"/>
                <w:szCs w:val="20"/>
                <w:color w:val="auto"/>
              </w:rPr>
              <w:t>$</w:t>
            </w:r>
          </w:p>
        </w:tc>
        <w:tc>
          <w:tcPr>
            <w:tcW w:w="1020" w:type="dxa"/>
            <w:vAlign w:val="bottom"/>
            <w:shd w:val="clear" w:color="auto" w:fill="CFF0FC"/>
          </w:tcPr>
          <w:p>
            <w:pPr>
              <w:jc w:val="right"/>
              <w:ind w:right="21"/>
              <w:spacing w:after="0" w:line="216" w:lineRule="exact"/>
              <w:rPr>
                <w:sz w:val="20"/>
                <w:szCs w:val="20"/>
                <w:color w:val="auto"/>
              </w:rPr>
            </w:pPr>
            <w:r>
              <w:rPr>
                <w:rFonts w:ascii="Arial" w:cs="Arial" w:eastAsia="Arial" w:hAnsi="Arial"/>
                <w:sz w:val="20"/>
                <w:szCs w:val="20"/>
                <w:color w:val="auto"/>
              </w:rPr>
              <w:t>5.97</w:t>
            </w:r>
          </w:p>
        </w:tc>
        <w:tc>
          <w:tcPr>
            <w:tcW w:w="320" w:type="dxa"/>
            <w:vAlign w:val="bottom"/>
            <w:shd w:val="clear" w:color="auto" w:fill="CFF0FC"/>
          </w:tcPr>
          <w:p>
            <w:pPr>
              <w:jc w:val="right"/>
              <w:ind w:right="1"/>
              <w:spacing w:after="0" w:line="216" w:lineRule="exact"/>
              <w:rPr>
                <w:sz w:val="20"/>
                <w:szCs w:val="20"/>
                <w:color w:val="auto"/>
              </w:rPr>
            </w:pPr>
            <w:r>
              <w:rPr>
                <w:rFonts w:ascii="Arial" w:cs="Arial" w:eastAsia="Arial" w:hAnsi="Arial"/>
                <w:sz w:val="20"/>
                <w:szCs w:val="20"/>
                <w:color w:val="auto"/>
              </w:rPr>
              <w:t>$</w:t>
            </w:r>
          </w:p>
        </w:tc>
        <w:tc>
          <w:tcPr>
            <w:tcW w:w="1040" w:type="dxa"/>
            <w:vAlign w:val="bottom"/>
            <w:shd w:val="clear" w:color="auto" w:fill="CFF0FC"/>
          </w:tcPr>
          <w:p>
            <w:pPr>
              <w:jc w:val="right"/>
              <w:ind w:right="21"/>
              <w:spacing w:after="0" w:line="216" w:lineRule="exact"/>
              <w:rPr>
                <w:sz w:val="20"/>
                <w:szCs w:val="20"/>
                <w:color w:val="auto"/>
              </w:rPr>
            </w:pPr>
            <w:r>
              <w:rPr>
                <w:rFonts w:ascii="Arial" w:cs="Arial" w:eastAsia="Arial" w:hAnsi="Arial"/>
                <w:sz w:val="20"/>
                <w:szCs w:val="20"/>
                <w:color w:val="auto"/>
              </w:rPr>
              <w:t>9.55</w:t>
            </w:r>
          </w:p>
        </w:tc>
        <w:tc>
          <w:tcPr>
            <w:tcW w:w="340" w:type="dxa"/>
            <w:vAlign w:val="bottom"/>
            <w:shd w:val="clear" w:color="auto" w:fill="CFF0FC"/>
          </w:tcPr>
          <w:p>
            <w:pPr>
              <w:jc w:val="right"/>
              <w:ind w:right="21"/>
              <w:spacing w:after="0" w:line="216" w:lineRule="exact"/>
              <w:rPr>
                <w:sz w:val="20"/>
                <w:szCs w:val="20"/>
                <w:color w:val="auto"/>
              </w:rPr>
            </w:pPr>
            <w:r>
              <w:rPr>
                <w:rFonts w:ascii="Arial" w:cs="Arial" w:eastAsia="Arial" w:hAnsi="Arial"/>
                <w:sz w:val="20"/>
                <w:szCs w:val="20"/>
                <w:color w:val="auto"/>
              </w:rPr>
              <w:t>$</w:t>
            </w:r>
          </w:p>
        </w:tc>
        <w:tc>
          <w:tcPr>
            <w:tcW w:w="1020" w:type="dxa"/>
            <w:vAlign w:val="bottom"/>
            <w:shd w:val="clear" w:color="auto" w:fill="CFF0FC"/>
          </w:tcPr>
          <w:p>
            <w:pPr>
              <w:jc w:val="right"/>
              <w:ind w:right="21"/>
              <w:spacing w:after="0" w:line="216" w:lineRule="exact"/>
              <w:rPr>
                <w:sz w:val="20"/>
                <w:szCs w:val="20"/>
                <w:color w:val="auto"/>
              </w:rPr>
            </w:pPr>
            <w:r>
              <w:rPr>
                <w:rFonts w:ascii="Arial" w:cs="Arial" w:eastAsia="Arial" w:hAnsi="Arial"/>
                <w:sz w:val="20"/>
                <w:szCs w:val="20"/>
                <w:color w:val="auto"/>
              </w:rPr>
              <w:t>12.49</w:t>
            </w:r>
          </w:p>
        </w:tc>
      </w:tr>
      <w:tr>
        <w:trPr>
          <w:trHeight w:val="216"/>
        </w:trPr>
        <w:tc>
          <w:tcPr>
            <w:tcW w:w="5820" w:type="dxa"/>
            <w:vAlign w:val="bottom"/>
          </w:tcPr>
          <w:p>
            <w:pPr>
              <w:spacing w:after="0" w:line="216" w:lineRule="exact"/>
              <w:rPr>
                <w:sz w:val="20"/>
                <w:szCs w:val="20"/>
                <w:color w:val="auto"/>
              </w:rPr>
            </w:pPr>
            <w:r>
              <w:rPr>
                <w:rFonts w:ascii="Arial" w:cs="Arial" w:eastAsia="Arial" w:hAnsi="Arial"/>
                <w:sz w:val="20"/>
                <w:szCs w:val="20"/>
                <w:color w:val="auto"/>
              </w:rPr>
              <w:t>Add back:</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820" w:type="dxa"/>
            <w:vAlign w:val="bottom"/>
            <w:shd w:val="clear" w:color="auto" w:fill="CFF0FC"/>
          </w:tcPr>
          <w:p>
            <w:pPr>
              <w:ind w:left="120"/>
              <w:spacing w:after="0" w:line="216" w:lineRule="exact"/>
              <w:rPr>
                <w:sz w:val="20"/>
                <w:szCs w:val="20"/>
                <w:color w:val="auto"/>
              </w:rPr>
            </w:pPr>
            <w:r>
              <w:rPr>
                <w:rFonts w:ascii="Arial" w:cs="Arial" w:eastAsia="Arial" w:hAnsi="Arial"/>
                <w:sz w:val="20"/>
                <w:szCs w:val="20"/>
                <w:color w:val="auto"/>
              </w:rPr>
              <w:t>Acquisition, divestiture and integration expenses</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21"/>
              <w:spacing w:after="0" w:line="216" w:lineRule="exact"/>
              <w:rPr>
                <w:sz w:val="20"/>
                <w:szCs w:val="20"/>
                <w:color w:val="auto"/>
              </w:rPr>
            </w:pPr>
            <w:r>
              <w:rPr>
                <w:rFonts w:ascii="Arial" w:cs="Arial" w:eastAsia="Arial" w:hAnsi="Arial"/>
                <w:sz w:val="20"/>
                <w:szCs w:val="20"/>
                <w:color w:val="auto"/>
              </w:rPr>
              <w:t>1.09</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21"/>
              <w:spacing w:after="0" w:line="216" w:lineRule="exact"/>
              <w:rPr>
                <w:sz w:val="20"/>
                <w:szCs w:val="20"/>
                <w:color w:val="auto"/>
              </w:rPr>
            </w:pPr>
            <w:r>
              <w:rPr>
                <w:rFonts w:ascii="Arial" w:cs="Arial" w:eastAsia="Arial" w:hAnsi="Arial"/>
                <w:sz w:val="20"/>
                <w:szCs w:val="20"/>
                <w:color w:val="auto"/>
              </w:rPr>
              <w:t>0.08</w:t>
            </w: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21"/>
              <w:spacing w:after="0" w:line="216" w:lineRule="exact"/>
              <w:rPr>
                <w:sz w:val="20"/>
                <w:szCs w:val="20"/>
                <w:color w:val="auto"/>
              </w:rPr>
            </w:pPr>
            <w:r>
              <w:rPr>
                <w:rFonts w:ascii="Arial" w:cs="Arial" w:eastAsia="Arial" w:hAnsi="Arial"/>
                <w:sz w:val="20"/>
                <w:szCs w:val="20"/>
                <w:color w:val="auto"/>
              </w:rPr>
              <w:t>1.34</w:t>
            </w:r>
          </w:p>
        </w:tc>
        <w:tc>
          <w:tcPr>
            <w:tcW w:w="3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21"/>
              <w:spacing w:after="0" w:line="216" w:lineRule="exact"/>
              <w:rPr>
                <w:sz w:val="20"/>
                <w:szCs w:val="20"/>
                <w:color w:val="auto"/>
              </w:rPr>
            </w:pPr>
            <w:r>
              <w:rPr>
                <w:rFonts w:ascii="Arial" w:cs="Arial" w:eastAsia="Arial" w:hAnsi="Arial"/>
                <w:sz w:val="20"/>
                <w:szCs w:val="20"/>
                <w:color w:val="auto"/>
              </w:rPr>
              <w:t>0.08</w:t>
            </w:r>
          </w:p>
        </w:tc>
      </w:tr>
      <w:tr>
        <w:trPr>
          <w:trHeight w:val="194"/>
        </w:trPr>
        <w:tc>
          <w:tcPr>
            <w:tcW w:w="5820" w:type="dxa"/>
            <w:vAlign w:val="bottom"/>
          </w:tcPr>
          <w:p>
            <w:pPr>
              <w:ind w:left="120"/>
              <w:spacing w:after="0" w:line="194" w:lineRule="exact"/>
              <w:rPr>
                <w:sz w:val="20"/>
                <w:szCs w:val="20"/>
                <w:color w:val="auto"/>
              </w:rPr>
            </w:pPr>
            <w:r>
              <w:rPr>
                <w:rFonts w:ascii="Arial" w:cs="Arial" w:eastAsia="Arial" w:hAnsi="Arial"/>
                <w:sz w:val="20"/>
                <w:szCs w:val="20"/>
                <w:color w:val="auto"/>
              </w:rPr>
              <w:t>Impact of selling acquired inventory after markup to fair value as</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8"/>
        </w:trPr>
        <w:tc>
          <w:tcPr>
            <w:tcW w:w="5820" w:type="dxa"/>
            <w:vAlign w:val="bottom"/>
          </w:tcPr>
          <w:p>
            <w:pPr>
              <w:ind w:left="120"/>
              <w:spacing w:after="0"/>
              <w:rPr>
                <w:sz w:val="20"/>
                <w:szCs w:val="20"/>
                <w:color w:val="auto"/>
              </w:rPr>
            </w:pPr>
            <w:r>
              <w:rPr>
                <w:rFonts w:ascii="Arial" w:cs="Arial" w:eastAsia="Arial" w:hAnsi="Arial"/>
                <w:sz w:val="20"/>
                <w:szCs w:val="20"/>
                <w:color w:val="auto"/>
              </w:rPr>
              <w:t>part of acquisition accounting</w:t>
            </w:r>
          </w:p>
        </w:tc>
        <w:tc>
          <w:tcPr>
            <w:tcW w:w="30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0.43</w:t>
            </w:r>
          </w:p>
        </w:tc>
        <w:tc>
          <w:tcPr>
            <w:tcW w:w="32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Arial" w:cs="Arial" w:eastAsia="Arial" w:hAnsi="Arial"/>
                <w:sz w:val="20"/>
                <w:szCs w:val="20"/>
                <w:color w:val="auto"/>
              </w:rPr>
              <w:t>0.07</w:t>
            </w:r>
          </w:p>
        </w:tc>
        <w:tc>
          <w:tcPr>
            <w:tcW w:w="320" w:type="dxa"/>
            <w:vAlign w:val="bottom"/>
          </w:tcPr>
          <w:p>
            <w:pPr>
              <w:spacing w:after="0"/>
              <w:rPr>
                <w:sz w:val="20"/>
                <w:szCs w:val="20"/>
                <w:color w:val="auto"/>
              </w:rPr>
            </w:pPr>
          </w:p>
        </w:tc>
        <w:tc>
          <w:tcPr>
            <w:tcW w:w="1040" w:type="dxa"/>
            <w:vAlign w:val="bottom"/>
          </w:tcPr>
          <w:p>
            <w:pPr>
              <w:jc w:val="right"/>
              <w:ind w:right="21"/>
              <w:spacing w:after="0"/>
              <w:rPr>
                <w:sz w:val="20"/>
                <w:szCs w:val="20"/>
                <w:color w:val="auto"/>
              </w:rPr>
            </w:pPr>
            <w:r>
              <w:rPr>
                <w:rFonts w:ascii="Arial" w:cs="Arial" w:eastAsia="Arial" w:hAnsi="Arial"/>
                <w:sz w:val="20"/>
                <w:szCs w:val="20"/>
                <w:color w:val="auto"/>
              </w:rPr>
              <w:t>1.29</w:t>
            </w:r>
          </w:p>
        </w:tc>
        <w:tc>
          <w:tcPr>
            <w:tcW w:w="34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Arial" w:cs="Arial" w:eastAsia="Arial" w:hAnsi="Arial"/>
                <w:sz w:val="20"/>
                <w:szCs w:val="20"/>
                <w:color w:val="auto"/>
              </w:rPr>
              <w:t>0.07</w:t>
            </w:r>
          </w:p>
        </w:tc>
      </w:tr>
      <w:tr>
        <w:trPr>
          <w:trHeight w:val="216"/>
        </w:trPr>
        <w:tc>
          <w:tcPr>
            <w:tcW w:w="5820" w:type="dxa"/>
            <w:vAlign w:val="bottom"/>
            <w:shd w:val="clear" w:color="auto" w:fill="CFF0FC"/>
          </w:tcPr>
          <w:p>
            <w:pPr>
              <w:ind w:left="120"/>
              <w:spacing w:after="0" w:line="216" w:lineRule="exact"/>
              <w:rPr>
                <w:sz w:val="20"/>
                <w:szCs w:val="20"/>
                <w:color w:val="auto"/>
              </w:rPr>
            </w:pPr>
            <w:r>
              <w:rPr>
                <w:rFonts w:ascii="Arial" w:cs="Arial" w:eastAsia="Arial" w:hAnsi="Arial"/>
                <w:sz w:val="20"/>
                <w:szCs w:val="20"/>
                <w:color w:val="auto"/>
              </w:rPr>
              <w:t>Asset and portfolio rationalization charge</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21"/>
              <w:spacing w:after="0" w:line="216" w:lineRule="exact"/>
              <w:rPr>
                <w:sz w:val="20"/>
                <w:szCs w:val="20"/>
                <w:color w:val="auto"/>
              </w:rPr>
            </w:pPr>
            <w:r>
              <w:rPr>
                <w:rFonts w:ascii="Arial" w:cs="Arial" w:eastAsia="Arial" w:hAnsi="Arial"/>
                <w:sz w:val="20"/>
                <w:szCs w:val="20"/>
                <w:color w:val="auto"/>
              </w:rPr>
              <w:t>0.01</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21"/>
              <w:spacing w:after="0" w:line="216" w:lineRule="exact"/>
              <w:rPr>
                <w:sz w:val="20"/>
                <w:szCs w:val="20"/>
                <w:color w:val="auto"/>
              </w:rPr>
            </w:pPr>
            <w:r>
              <w:rPr>
                <w:rFonts w:ascii="Arial" w:cs="Arial" w:eastAsia="Arial" w:hAnsi="Arial"/>
                <w:sz w:val="20"/>
                <w:szCs w:val="20"/>
                <w:color w:val="auto"/>
              </w:rPr>
              <w:t>—</w:t>
            </w: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21"/>
              <w:spacing w:after="0" w:line="216" w:lineRule="exact"/>
              <w:rPr>
                <w:sz w:val="20"/>
                <w:szCs w:val="20"/>
                <w:color w:val="auto"/>
              </w:rPr>
            </w:pPr>
            <w:r>
              <w:rPr>
                <w:rFonts w:ascii="Arial" w:cs="Arial" w:eastAsia="Arial" w:hAnsi="Arial"/>
                <w:sz w:val="20"/>
                <w:szCs w:val="20"/>
                <w:color w:val="auto"/>
              </w:rPr>
              <w:t>0.05</w:t>
            </w:r>
          </w:p>
        </w:tc>
        <w:tc>
          <w:tcPr>
            <w:tcW w:w="3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21"/>
              <w:spacing w:after="0" w:line="216" w:lineRule="exact"/>
              <w:rPr>
                <w:sz w:val="20"/>
                <w:szCs w:val="20"/>
                <w:color w:val="auto"/>
              </w:rPr>
            </w:pPr>
            <w:r>
              <w:rPr>
                <w:rFonts w:ascii="Arial" w:cs="Arial" w:eastAsia="Arial" w:hAnsi="Arial"/>
                <w:sz w:val="20"/>
                <w:szCs w:val="20"/>
                <w:color w:val="auto"/>
              </w:rPr>
              <w:t>—</w:t>
            </w:r>
          </w:p>
        </w:tc>
      </w:tr>
      <w:tr>
        <w:trPr>
          <w:trHeight w:val="216"/>
        </w:trPr>
        <w:tc>
          <w:tcPr>
            <w:tcW w:w="5820" w:type="dxa"/>
            <w:vAlign w:val="bottom"/>
            <w:tcBorders>
              <w:bottom w:val="single" w:sz="8" w:color="auto"/>
            </w:tcBorders>
          </w:tcPr>
          <w:p>
            <w:pPr>
              <w:ind w:left="120"/>
              <w:spacing w:after="0" w:line="216" w:lineRule="exact"/>
              <w:rPr>
                <w:sz w:val="20"/>
                <w:szCs w:val="20"/>
                <w:color w:val="auto"/>
              </w:rPr>
            </w:pPr>
            <w:r>
              <w:rPr>
                <w:rFonts w:ascii="Arial" w:cs="Arial" w:eastAsia="Arial" w:hAnsi="Arial"/>
                <w:sz w:val="20"/>
                <w:szCs w:val="20"/>
                <w:color w:val="auto"/>
              </w:rPr>
              <w:t>Revaluation of deferred tax liabilities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1"/>
              <w:spacing w:after="0" w:line="216" w:lineRule="exact"/>
              <w:rPr>
                <w:sz w:val="20"/>
                <w:szCs w:val="20"/>
                <w:color w:val="auto"/>
              </w:rPr>
            </w:pPr>
            <w:r>
              <w:rPr>
                <w:rFonts w:ascii="Arial" w:cs="Arial" w:eastAsia="Arial" w:hAnsi="Arial"/>
                <w:sz w:val="20"/>
                <w:szCs w:val="20"/>
                <w:color w:val="auto"/>
              </w:rPr>
              <w:t>—</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1"/>
              <w:spacing w:after="0" w:line="216" w:lineRule="exact"/>
              <w:rPr>
                <w:sz w:val="20"/>
                <w:szCs w:val="20"/>
                <w:color w:val="auto"/>
              </w:rPr>
            </w:pPr>
            <w:r>
              <w:rPr>
                <w:rFonts w:ascii="Arial" w:cs="Arial" w:eastAsia="Arial" w:hAnsi="Arial"/>
                <w:sz w:val="20"/>
                <w:szCs w:val="20"/>
                <w:color w:val="auto"/>
              </w:rPr>
              <w:t>—</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1"/>
              <w:spacing w:after="0" w:line="216" w:lineRule="exact"/>
              <w:rPr>
                <w:sz w:val="20"/>
                <w:szCs w:val="20"/>
                <w:color w:val="auto"/>
              </w:rPr>
            </w:pPr>
            <w:r>
              <w:rPr>
                <w:rFonts w:ascii="Arial" w:cs="Arial" w:eastAsia="Arial" w:hAnsi="Arial"/>
                <w:sz w:val="20"/>
                <w:szCs w:val="20"/>
                <w:color w:val="auto"/>
              </w:rPr>
              <w:t>0.25</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1"/>
              <w:spacing w:after="0" w:line="216" w:lineRule="exact"/>
              <w:rPr>
                <w:sz w:val="20"/>
                <w:szCs w:val="20"/>
                <w:color w:val="auto"/>
              </w:rPr>
            </w:pPr>
            <w:r>
              <w:rPr>
                <w:rFonts w:ascii="Arial" w:cs="Arial" w:eastAsia="Arial" w:hAnsi="Arial"/>
                <w:sz w:val="20"/>
                <w:szCs w:val="20"/>
                <w:color w:val="auto"/>
              </w:rPr>
              <w:t>—</w:t>
            </w:r>
          </w:p>
        </w:tc>
      </w:tr>
      <w:tr>
        <w:trPr>
          <w:trHeight w:val="250"/>
        </w:trPr>
        <w:tc>
          <w:tcPr>
            <w:tcW w:w="5820" w:type="dxa"/>
            <w:vAlign w:val="bottom"/>
            <w:tcBorders>
              <w:bottom w:val="single" w:sz="8" w:color="auto"/>
            </w:tcBorders>
            <w:shd w:val="clear" w:color="auto" w:fill="CFF0FC"/>
          </w:tcPr>
          <w:p>
            <w:pPr>
              <w:spacing w:after="0" w:line="209" w:lineRule="exact"/>
              <w:rPr>
                <w:sz w:val="20"/>
                <w:szCs w:val="20"/>
                <w:color w:val="auto"/>
              </w:rPr>
            </w:pPr>
            <w:r>
              <w:rPr>
                <w:rFonts w:ascii="Arial" w:cs="Arial" w:eastAsia="Arial" w:hAnsi="Arial"/>
                <w:sz w:val="20"/>
                <w:szCs w:val="20"/>
                <w:color w:val="auto"/>
              </w:rPr>
              <w:t>Adjusted earnings per diluted share from continuing operations</w:t>
            </w:r>
          </w:p>
        </w:tc>
        <w:tc>
          <w:tcPr>
            <w:tcW w:w="300" w:type="dxa"/>
            <w:vAlign w:val="bottom"/>
            <w:tcBorders>
              <w:bottom w:val="single" w:sz="8" w:color="auto"/>
            </w:tcBorders>
            <w:shd w:val="clear" w:color="auto" w:fill="CFF0FC"/>
          </w:tcPr>
          <w:p>
            <w:pPr>
              <w:jc w:val="right"/>
              <w:spacing w:after="0" w:line="209" w:lineRule="exact"/>
              <w:rPr>
                <w:sz w:val="20"/>
                <w:szCs w:val="20"/>
                <w:color w:val="auto"/>
              </w:rPr>
            </w:pPr>
            <w:r>
              <w:rPr>
                <w:rFonts w:ascii="Arial" w:cs="Arial" w:eastAsia="Arial" w:hAnsi="Arial"/>
                <w:sz w:val="20"/>
                <w:szCs w:val="20"/>
                <w:color w:val="auto"/>
              </w:rPr>
              <w:t>$</w:t>
            </w:r>
          </w:p>
        </w:tc>
        <w:tc>
          <w:tcPr>
            <w:tcW w:w="1060" w:type="dxa"/>
            <w:vAlign w:val="bottom"/>
            <w:tcBorders>
              <w:bottom w:val="single" w:sz="8" w:color="auto"/>
            </w:tcBorders>
            <w:shd w:val="clear" w:color="auto" w:fill="CFF0FC"/>
          </w:tcPr>
          <w:p>
            <w:pPr>
              <w:jc w:val="right"/>
              <w:ind w:right="21"/>
              <w:spacing w:after="0" w:line="209" w:lineRule="exact"/>
              <w:rPr>
                <w:sz w:val="20"/>
                <w:szCs w:val="20"/>
                <w:color w:val="auto"/>
              </w:rPr>
            </w:pPr>
            <w:r>
              <w:rPr>
                <w:rFonts w:ascii="Arial" w:cs="Arial" w:eastAsia="Arial" w:hAnsi="Arial"/>
                <w:sz w:val="20"/>
                <w:szCs w:val="20"/>
                <w:color w:val="auto"/>
              </w:rPr>
              <w:t>5.47</w:t>
            </w:r>
          </w:p>
        </w:tc>
        <w:tc>
          <w:tcPr>
            <w:tcW w:w="320" w:type="dxa"/>
            <w:vAlign w:val="bottom"/>
            <w:tcBorders>
              <w:bottom w:val="single" w:sz="8" w:color="auto"/>
            </w:tcBorders>
            <w:shd w:val="clear" w:color="auto" w:fill="CFF0FC"/>
          </w:tcPr>
          <w:p>
            <w:pPr>
              <w:jc w:val="right"/>
              <w:ind w:right="1"/>
              <w:spacing w:after="0" w:line="209" w:lineRule="exact"/>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shd w:val="clear" w:color="auto" w:fill="CFF0FC"/>
          </w:tcPr>
          <w:p>
            <w:pPr>
              <w:jc w:val="right"/>
              <w:ind w:right="21"/>
              <w:spacing w:after="0" w:line="209" w:lineRule="exact"/>
              <w:rPr>
                <w:sz w:val="20"/>
                <w:szCs w:val="20"/>
                <w:color w:val="auto"/>
              </w:rPr>
            </w:pPr>
            <w:r>
              <w:rPr>
                <w:rFonts w:ascii="Arial" w:cs="Arial" w:eastAsia="Arial" w:hAnsi="Arial"/>
                <w:sz w:val="20"/>
                <w:szCs w:val="20"/>
                <w:color w:val="auto"/>
              </w:rPr>
              <w:t>6.12</w:t>
            </w:r>
          </w:p>
        </w:tc>
        <w:tc>
          <w:tcPr>
            <w:tcW w:w="320" w:type="dxa"/>
            <w:vAlign w:val="bottom"/>
            <w:tcBorders>
              <w:bottom w:val="single" w:sz="8" w:color="auto"/>
            </w:tcBorders>
            <w:shd w:val="clear" w:color="auto" w:fill="CFF0FC"/>
          </w:tcPr>
          <w:p>
            <w:pPr>
              <w:jc w:val="right"/>
              <w:ind w:right="1"/>
              <w:spacing w:after="0" w:line="209" w:lineRule="exact"/>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shd w:val="clear" w:color="auto" w:fill="CFF0FC"/>
          </w:tcPr>
          <w:p>
            <w:pPr>
              <w:jc w:val="right"/>
              <w:ind w:right="21"/>
              <w:spacing w:after="0" w:line="209" w:lineRule="exact"/>
              <w:rPr>
                <w:sz w:val="20"/>
                <w:szCs w:val="20"/>
                <w:color w:val="auto"/>
              </w:rPr>
            </w:pPr>
            <w:r>
              <w:rPr>
                <w:rFonts w:ascii="Arial" w:cs="Arial" w:eastAsia="Arial" w:hAnsi="Arial"/>
                <w:sz w:val="20"/>
                <w:szCs w:val="20"/>
                <w:color w:val="auto"/>
              </w:rPr>
              <w:t>12.48</w:t>
            </w:r>
          </w:p>
        </w:tc>
        <w:tc>
          <w:tcPr>
            <w:tcW w:w="340" w:type="dxa"/>
            <w:vAlign w:val="bottom"/>
            <w:tcBorders>
              <w:bottom w:val="single" w:sz="8" w:color="auto"/>
            </w:tcBorders>
            <w:shd w:val="clear" w:color="auto" w:fill="CFF0FC"/>
          </w:tcPr>
          <w:p>
            <w:pPr>
              <w:jc w:val="right"/>
              <w:ind w:right="21"/>
              <w:spacing w:after="0" w:line="209" w:lineRule="exact"/>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shd w:val="clear" w:color="auto" w:fill="CFF0FC"/>
          </w:tcPr>
          <w:p>
            <w:pPr>
              <w:jc w:val="right"/>
              <w:ind w:right="21"/>
              <w:spacing w:after="0" w:line="209" w:lineRule="exact"/>
              <w:rPr>
                <w:sz w:val="20"/>
                <w:szCs w:val="20"/>
                <w:color w:val="auto"/>
              </w:rPr>
            </w:pPr>
            <w:r>
              <w:rPr>
                <w:rFonts w:ascii="Arial" w:cs="Arial" w:eastAsia="Arial" w:hAnsi="Arial"/>
                <w:sz w:val="20"/>
                <w:szCs w:val="20"/>
                <w:color w:val="auto"/>
              </w:rPr>
              <w:t>12.64</w:t>
            </w:r>
          </w:p>
        </w:tc>
      </w:tr>
      <w:tr>
        <w:trPr>
          <w:trHeight w:val="652"/>
        </w:trPr>
        <w:tc>
          <w:tcPr>
            <w:tcW w:w="5820" w:type="dxa"/>
            <w:vAlign w:val="bottom"/>
          </w:tcPr>
          <w:p>
            <w:pPr>
              <w:ind w:left="5520"/>
              <w:spacing w:after="0"/>
              <w:rPr>
                <w:sz w:val="20"/>
                <w:szCs w:val="20"/>
                <w:color w:val="auto"/>
              </w:rPr>
            </w:pPr>
            <w:r>
              <w:rPr>
                <w:rFonts w:ascii="Arial" w:cs="Arial" w:eastAsia="Arial" w:hAnsi="Arial"/>
                <w:sz w:val="20"/>
                <w:szCs w:val="20"/>
                <w:color w:val="auto"/>
              </w:rPr>
              <w:t>17</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739"/>
        </w:trPr>
        <w:tc>
          <w:tcPr>
            <w:tcW w:w="5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-2185670</wp:posOffset>
            </wp:positionV>
            <wp:extent cx="336867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20" w:name="page21"/>
    <w:bookmarkEnd w:id="20"/>
    <w:p>
      <w:pPr>
        <w:spacing w:after="0"/>
        <w:rPr>
          <w:sz w:val="20"/>
          <w:szCs w:val="20"/>
          <w:color w:val="auto"/>
        </w:rPr>
      </w:pPr>
      <w:r>
        <w:rPr>
          <w:rFonts w:ascii="Arial" w:cs="Arial" w:eastAsia="Arial" w:hAnsi="Arial"/>
          <w:sz w:val="22"/>
          <w:szCs w:val="22"/>
          <w:color w:val="auto"/>
        </w:rPr>
        <w:t>Appendix</w:t>
      </w:r>
    </w:p>
    <w:p>
      <w:pPr>
        <w:spacing w:after="0" w:line="200" w:lineRule="exact"/>
        <w:rPr>
          <w:sz w:val="20"/>
          <w:szCs w:val="20"/>
          <w:color w:val="auto"/>
        </w:rPr>
      </w:pPr>
    </w:p>
    <w:p>
      <w:pPr>
        <w:spacing w:after="0" w:line="225" w:lineRule="exact"/>
        <w:rPr>
          <w:sz w:val="20"/>
          <w:szCs w:val="20"/>
          <w:color w:val="auto"/>
        </w:rPr>
      </w:pPr>
    </w:p>
    <w:p>
      <w:pPr>
        <w:ind w:left="3840"/>
        <w:spacing w:after="0"/>
        <w:rPr>
          <w:sz w:val="20"/>
          <w:szCs w:val="20"/>
          <w:color w:val="auto"/>
        </w:rPr>
      </w:pPr>
      <w:r>
        <w:rPr>
          <w:rFonts w:ascii="Arial" w:cs="Arial" w:eastAsia="Arial" w:hAnsi="Arial"/>
          <w:sz w:val="20"/>
          <w:szCs w:val="20"/>
          <w:b w:val="1"/>
          <w:bCs w:val="1"/>
          <w:color w:val="auto"/>
        </w:rPr>
        <w:t>MARTIN MARIETTA MATERIALS, INC.</w:t>
      </w:r>
    </w:p>
    <w:p>
      <w:pPr>
        <w:spacing w:after="0" w:line="6" w:lineRule="exact"/>
        <w:rPr>
          <w:sz w:val="20"/>
          <w:szCs w:val="20"/>
          <w:color w:val="auto"/>
        </w:rPr>
      </w:pPr>
    </w:p>
    <w:p>
      <w:pPr>
        <w:ind w:left="4140"/>
        <w:spacing w:after="0"/>
        <w:rPr>
          <w:sz w:val="20"/>
          <w:szCs w:val="20"/>
          <w:color w:val="auto"/>
        </w:rPr>
      </w:pPr>
      <w:r>
        <w:rPr>
          <w:rFonts w:ascii="Arial" w:cs="Arial" w:eastAsia="Arial" w:hAnsi="Arial"/>
          <w:sz w:val="20"/>
          <w:szCs w:val="20"/>
          <w:b w:val="1"/>
          <w:bCs w:val="1"/>
          <w:color w:val="auto"/>
        </w:rPr>
        <w:t>Non-GAAP Financial Measures</w:t>
      </w:r>
    </w:p>
    <w:p>
      <w:pPr>
        <w:spacing w:after="0" w:line="184"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Aggregates cash gross profit and Specialties cash gross profit are non-GAAP financial measures used by the Company and by investors to evaluate operating performance and enhance comparability across reporting periods. For each respective product line, the Company calculates cash gross profit by adding back to gross profit the noncash charges for depreciation, depletion and amortization and the impact of selling acquired inventory after markup to fair value as part of acquisition accounting for that product line.</w:t>
      </w:r>
    </w:p>
    <w:p>
      <w:pPr>
        <w:spacing w:after="0" w:line="175"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Aggregates cash gross profit and Specialties cash gross profit are not defined by accounting principles generally accepted in the United States (GAAP) and, as such, should not be construed as alternatives to gross profit, the most directly comparable GAAP financial measure. For further information on aggregates cash gross profit and Specialties cash gross profit, refer to the Company’s website at www.martinmarietta.com.</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7120" w:type="dxa"/>
            <w:vAlign w:val="bottom"/>
            <w:gridSpan w:val="4"/>
          </w:tcPr>
          <w:p>
            <w:pPr>
              <w:spacing w:after="0"/>
              <w:rPr>
                <w:sz w:val="20"/>
                <w:szCs w:val="20"/>
                <w:color w:val="auto"/>
              </w:rPr>
            </w:pPr>
            <w:r>
              <w:rPr>
                <w:rFonts w:ascii="Arial" w:cs="Arial" w:eastAsia="Arial" w:hAnsi="Arial"/>
                <w:sz w:val="20"/>
                <w:szCs w:val="20"/>
                <w:b w:val="1"/>
                <w:bCs w:val="1"/>
                <w:color w:val="auto"/>
                <w:w w:val="99"/>
              </w:rPr>
              <w:t>Reconciliation of Aggregates Gross Profit to Aggregates Cash Gross Profit</w:t>
            </w:r>
          </w:p>
        </w:tc>
        <w:tc>
          <w:tcPr>
            <w:tcW w:w="10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74"/>
        </w:trPr>
        <w:tc>
          <w:tcPr>
            <w:tcW w:w="52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500" w:type="dxa"/>
            <w:vAlign w:val="bottom"/>
            <w:gridSpan w:val="3"/>
          </w:tcPr>
          <w:p>
            <w:pPr>
              <w:spacing w:after="0"/>
              <w:rPr>
                <w:sz w:val="6"/>
                <w:szCs w:val="6"/>
                <w:color w:val="auto"/>
              </w:rPr>
            </w:pPr>
          </w:p>
        </w:tc>
        <w:tc>
          <w:tcPr>
            <w:tcW w:w="360" w:type="dxa"/>
            <w:vAlign w:val="bottom"/>
          </w:tcPr>
          <w:p>
            <w:pPr>
              <w:spacing w:after="0"/>
              <w:rPr>
                <w:sz w:val="6"/>
                <w:szCs w:val="6"/>
                <w:color w:val="auto"/>
              </w:rPr>
            </w:pPr>
          </w:p>
        </w:tc>
        <w:tc>
          <w:tcPr>
            <w:tcW w:w="2760" w:type="dxa"/>
            <w:vAlign w:val="bottom"/>
            <w:gridSpan w:val="3"/>
          </w:tcPr>
          <w:p>
            <w:pPr>
              <w:spacing w:after="0"/>
              <w:rPr>
                <w:sz w:val="6"/>
                <w:szCs w:val="6"/>
                <w:color w:val="auto"/>
              </w:rPr>
            </w:pPr>
          </w:p>
        </w:tc>
      </w:tr>
      <w:tr>
        <w:trPr>
          <w:trHeight w:val="192"/>
        </w:trPr>
        <w:tc>
          <w:tcPr>
            <w:tcW w:w="5280" w:type="dxa"/>
            <w:vAlign w:val="bottom"/>
            <w:shd w:val="clear" w:color="auto" w:fill="007DC6"/>
          </w:tcPr>
          <w:p>
            <w:pPr>
              <w:spacing w:after="0"/>
              <w:rPr>
                <w:sz w:val="16"/>
                <w:szCs w:val="16"/>
                <w:color w:val="auto"/>
              </w:rPr>
            </w:pPr>
          </w:p>
        </w:tc>
        <w:tc>
          <w:tcPr>
            <w:tcW w:w="340" w:type="dxa"/>
            <w:vAlign w:val="bottom"/>
            <w:shd w:val="clear" w:color="auto" w:fill="007DC6"/>
          </w:tcPr>
          <w:p>
            <w:pPr>
              <w:spacing w:after="0"/>
              <w:rPr>
                <w:sz w:val="16"/>
                <w:szCs w:val="16"/>
                <w:color w:val="auto"/>
              </w:rPr>
            </w:pPr>
          </w:p>
        </w:tc>
        <w:tc>
          <w:tcPr>
            <w:tcW w:w="2500" w:type="dxa"/>
            <w:vAlign w:val="bottom"/>
            <w:gridSpan w:val="3"/>
            <w:shd w:val="clear" w:color="auto" w:fill="007DC6"/>
          </w:tcPr>
          <w:p>
            <w:pPr>
              <w:jc w:val="center"/>
              <w:ind w:right="241"/>
              <w:spacing w:after="0" w:line="192" w:lineRule="exact"/>
              <w:rPr>
                <w:sz w:val="20"/>
                <w:szCs w:val="20"/>
                <w:color w:val="auto"/>
              </w:rPr>
            </w:pPr>
            <w:r>
              <w:rPr>
                <w:rFonts w:ascii="Arial" w:cs="Arial" w:eastAsia="Arial" w:hAnsi="Arial"/>
                <w:sz w:val="20"/>
                <w:szCs w:val="20"/>
                <w:b w:val="1"/>
                <w:bCs w:val="1"/>
                <w:color w:val="FFFFFF"/>
                <w:w w:val="99"/>
              </w:rPr>
              <w:t>Three Months Ended</w:t>
            </w:r>
          </w:p>
        </w:tc>
        <w:tc>
          <w:tcPr>
            <w:tcW w:w="360" w:type="dxa"/>
            <w:vAlign w:val="bottom"/>
            <w:shd w:val="clear" w:color="auto" w:fill="007DC6"/>
          </w:tcPr>
          <w:p>
            <w:pPr>
              <w:spacing w:after="0"/>
              <w:rPr>
                <w:sz w:val="16"/>
                <w:szCs w:val="16"/>
                <w:color w:val="auto"/>
              </w:rPr>
            </w:pPr>
          </w:p>
        </w:tc>
        <w:tc>
          <w:tcPr>
            <w:tcW w:w="2760" w:type="dxa"/>
            <w:vAlign w:val="bottom"/>
            <w:gridSpan w:val="3"/>
            <w:shd w:val="clear" w:color="auto" w:fill="007DC6"/>
          </w:tcPr>
          <w:p>
            <w:pPr>
              <w:jc w:val="right"/>
              <w:ind w:right="541"/>
              <w:spacing w:after="0" w:line="192" w:lineRule="exact"/>
              <w:rPr>
                <w:sz w:val="20"/>
                <w:szCs w:val="20"/>
                <w:color w:val="auto"/>
              </w:rPr>
            </w:pPr>
            <w:r>
              <w:rPr>
                <w:rFonts w:ascii="Arial" w:cs="Arial" w:eastAsia="Arial" w:hAnsi="Arial"/>
                <w:sz w:val="20"/>
                <w:szCs w:val="20"/>
                <w:b w:val="1"/>
                <w:bCs w:val="1"/>
                <w:color w:val="FFFFFF"/>
              </w:rPr>
              <w:t>Nine Months Ended</w:t>
            </w:r>
          </w:p>
        </w:tc>
      </w:tr>
      <w:tr>
        <w:trPr>
          <w:trHeight w:val="229"/>
        </w:trPr>
        <w:tc>
          <w:tcPr>
            <w:tcW w:w="5280" w:type="dxa"/>
            <w:vAlign w:val="bottom"/>
            <w:shd w:val="clear" w:color="auto" w:fill="007DC6"/>
          </w:tcPr>
          <w:p>
            <w:pPr>
              <w:spacing w:after="0"/>
              <w:rPr>
                <w:sz w:val="19"/>
                <w:szCs w:val="19"/>
                <w:color w:val="auto"/>
              </w:rPr>
            </w:pPr>
          </w:p>
        </w:tc>
        <w:tc>
          <w:tcPr>
            <w:tcW w:w="340" w:type="dxa"/>
            <w:vAlign w:val="bottom"/>
            <w:shd w:val="clear" w:color="auto" w:fill="007DC6"/>
          </w:tcPr>
          <w:p>
            <w:pPr>
              <w:spacing w:after="0"/>
              <w:rPr>
                <w:sz w:val="19"/>
                <w:szCs w:val="19"/>
                <w:color w:val="auto"/>
              </w:rPr>
            </w:pPr>
          </w:p>
        </w:tc>
        <w:tc>
          <w:tcPr>
            <w:tcW w:w="2500" w:type="dxa"/>
            <w:vAlign w:val="bottom"/>
            <w:gridSpan w:val="3"/>
            <w:shd w:val="clear" w:color="auto" w:fill="007DC6"/>
          </w:tcPr>
          <w:p>
            <w:pPr>
              <w:jc w:val="center"/>
              <w:ind w:right="241"/>
              <w:spacing w:after="0"/>
              <w:rPr>
                <w:sz w:val="20"/>
                <w:szCs w:val="20"/>
                <w:color w:val="auto"/>
              </w:rPr>
            </w:pPr>
            <w:r>
              <w:rPr>
                <w:rFonts w:ascii="Arial" w:cs="Arial" w:eastAsia="Arial" w:hAnsi="Arial"/>
                <w:sz w:val="20"/>
                <w:szCs w:val="20"/>
                <w:b w:val="1"/>
                <w:bCs w:val="1"/>
                <w:color w:val="FFFFFF"/>
                <w:w w:val="99"/>
              </w:rPr>
              <w:t>September 30,</w:t>
            </w:r>
          </w:p>
        </w:tc>
        <w:tc>
          <w:tcPr>
            <w:tcW w:w="360" w:type="dxa"/>
            <w:vAlign w:val="bottom"/>
            <w:shd w:val="clear" w:color="auto" w:fill="007DC6"/>
          </w:tcPr>
          <w:p>
            <w:pPr>
              <w:spacing w:after="0"/>
              <w:rPr>
                <w:sz w:val="19"/>
                <w:szCs w:val="19"/>
                <w:color w:val="auto"/>
              </w:rPr>
            </w:pPr>
          </w:p>
        </w:tc>
        <w:tc>
          <w:tcPr>
            <w:tcW w:w="2760" w:type="dxa"/>
            <w:vAlign w:val="bottom"/>
            <w:gridSpan w:val="3"/>
            <w:shd w:val="clear" w:color="auto" w:fill="007DC6"/>
          </w:tcPr>
          <w:p>
            <w:pPr>
              <w:jc w:val="right"/>
              <w:ind w:right="781"/>
              <w:spacing w:after="0"/>
              <w:rPr>
                <w:sz w:val="20"/>
                <w:szCs w:val="20"/>
                <w:color w:val="auto"/>
              </w:rPr>
            </w:pPr>
            <w:r>
              <w:rPr>
                <w:rFonts w:ascii="Arial" w:cs="Arial" w:eastAsia="Arial" w:hAnsi="Arial"/>
                <w:sz w:val="20"/>
                <w:szCs w:val="20"/>
                <w:b w:val="1"/>
                <w:bCs w:val="1"/>
                <w:color w:val="FFFFFF"/>
              </w:rPr>
              <w:t>September 30,</w:t>
            </w:r>
          </w:p>
        </w:tc>
      </w:tr>
      <w:tr>
        <w:trPr>
          <w:trHeight w:val="240"/>
        </w:trPr>
        <w:tc>
          <w:tcPr>
            <w:tcW w:w="5280" w:type="dxa"/>
            <w:vAlign w:val="bottom"/>
            <w:shd w:val="clear" w:color="auto" w:fill="007DC6"/>
          </w:tcPr>
          <w:p>
            <w:pPr>
              <w:spacing w:after="0"/>
              <w:rPr>
                <w:sz w:val="20"/>
                <w:szCs w:val="20"/>
                <w:color w:val="auto"/>
              </w:rPr>
            </w:pPr>
            <w:r>
              <w:rPr>
                <w:rFonts w:ascii="Arial" w:cs="Arial" w:eastAsia="Arial" w:hAnsi="Arial"/>
                <w:sz w:val="20"/>
                <w:szCs w:val="20"/>
                <w:b w:val="1"/>
                <w:bCs w:val="1"/>
                <w:color w:val="FFFFFF"/>
              </w:rPr>
              <w:t>(in millions, except per ton)</w:t>
            </w:r>
          </w:p>
        </w:tc>
        <w:tc>
          <w:tcPr>
            <w:tcW w:w="340" w:type="dxa"/>
            <w:vAlign w:val="bottom"/>
            <w:shd w:val="clear" w:color="auto" w:fill="007DC6"/>
          </w:tcPr>
          <w:p>
            <w:pPr>
              <w:spacing w:after="0"/>
              <w:rPr>
                <w:sz w:val="20"/>
                <w:szCs w:val="20"/>
                <w:color w:val="auto"/>
              </w:rPr>
            </w:pPr>
          </w:p>
        </w:tc>
        <w:tc>
          <w:tcPr>
            <w:tcW w:w="1080" w:type="dxa"/>
            <w:vAlign w:val="bottom"/>
            <w:shd w:val="clear" w:color="auto" w:fill="007DC6"/>
          </w:tcPr>
          <w:p>
            <w:pPr>
              <w:jc w:val="right"/>
              <w:ind w:right="381"/>
              <w:spacing w:after="0"/>
              <w:rPr>
                <w:sz w:val="20"/>
                <w:szCs w:val="20"/>
                <w:color w:val="auto"/>
              </w:rPr>
            </w:pPr>
            <w:r>
              <w:rPr>
                <w:rFonts w:ascii="Arial" w:cs="Arial" w:eastAsia="Arial" w:hAnsi="Arial"/>
                <w:sz w:val="20"/>
                <w:szCs w:val="20"/>
                <w:b w:val="1"/>
                <w:bCs w:val="1"/>
                <w:color w:val="FFFFFF"/>
              </w:rPr>
              <w:t>2026</w:t>
            </w:r>
          </w:p>
        </w:tc>
        <w:tc>
          <w:tcPr>
            <w:tcW w:w="420" w:type="dxa"/>
            <w:vAlign w:val="bottom"/>
            <w:shd w:val="clear" w:color="auto" w:fill="007DC6"/>
          </w:tcPr>
          <w:p>
            <w:pPr>
              <w:spacing w:after="0"/>
              <w:rPr>
                <w:sz w:val="20"/>
                <w:szCs w:val="20"/>
                <w:color w:val="auto"/>
              </w:rPr>
            </w:pPr>
          </w:p>
        </w:tc>
        <w:tc>
          <w:tcPr>
            <w:tcW w:w="1000" w:type="dxa"/>
            <w:vAlign w:val="bottom"/>
            <w:shd w:val="clear" w:color="auto" w:fill="007DC6"/>
          </w:tcPr>
          <w:p>
            <w:pPr>
              <w:jc w:val="right"/>
              <w:ind w:right="381"/>
              <w:spacing w:after="0"/>
              <w:rPr>
                <w:sz w:val="20"/>
                <w:szCs w:val="20"/>
                <w:color w:val="auto"/>
              </w:rPr>
            </w:pPr>
            <w:r>
              <w:rPr>
                <w:rFonts w:ascii="Arial" w:cs="Arial" w:eastAsia="Arial" w:hAnsi="Arial"/>
                <w:sz w:val="20"/>
                <w:szCs w:val="20"/>
                <w:b w:val="1"/>
                <w:bCs w:val="1"/>
                <w:color w:val="FFFFFF"/>
              </w:rPr>
              <w:t>2025</w:t>
            </w:r>
          </w:p>
        </w:tc>
        <w:tc>
          <w:tcPr>
            <w:tcW w:w="360" w:type="dxa"/>
            <w:vAlign w:val="bottom"/>
            <w:shd w:val="clear" w:color="auto" w:fill="007DC6"/>
          </w:tcPr>
          <w:p>
            <w:pPr>
              <w:spacing w:after="0"/>
              <w:rPr>
                <w:sz w:val="20"/>
                <w:szCs w:val="20"/>
                <w:color w:val="auto"/>
              </w:rPr>
            </w:pPr>
          </w:p>
        </w:tc>
        <w:tc>
          <w:tcPr>
            <w:tcW w:w="1060" w:type="dxa"/>
            <w:vAlign w:val="bottom"/>
            <w:shd w:val="clear" w:color="auto" w:fill="007DC6"/>
          </w:tcPr>
          <w:p>
            <w:pPr>
              <w:jc w:val="right"/>
              <w:ind w:right="381"/>
              <w:spacing w:after="0"/>
              <w:rPr>
                <w:sz w:val="20"/>
                <w:szCs w:val="20"/>
                <w:color w:val="auto"/>
              </w:rPr>
            </w:pPr>
            <w:r>
              <w:rPr>
                <w:rFonts w:ascii="Arial" w:cs="Arial" w:eastAsia="Arial" w:hAnsi="Arial"/>
                <w:sz w:val="20"/>
                <w:szCs w:val="20"/>
                <w:b w:val="1"/>
                <w:bCs w:val="1"/>
                <w:color w:val="FFFFFF"/>
              </w:rPr>
              <w:t>2026</w:t>
            </w:r>
          </w:p>
        </w:tc>
        <w:tc>
          <w:tcPr>
            <w:tcW w:w="440" w:type="dxa"/>
            <w:vAlign w:val="bottom"/>
            <w:shd w:val="clear" w:color="auto" w:fill="007DC6"/>
          </w:tcPr>
          <w:p>
            <w:pPr>
              <w:spacing w:after="0"/>
              <w:rPr>
                <w:sz w:val="20"/>
                <w:szCs w:val="20"/>
                <w:color w:val="auto"/>
              </w:rPr>
            </w:pPr>
          </w:p>
        </w:tc>
        <w:tc>
          <w:tcPr>
            <w:tcW w:w="1260" w:type="dxa"/>
            <w:vAlign w:val="bottom"/>
            <w:shd w:val="clear" w:color="auto" w:fill="007DC6"/>
          </w:tcPr>
          <w:p>
            <w:pPr>
              <w:jc w:val="right"/>
              <w:ind w:right="541"/>
              <w:spacing w:after="0"/>
              <w:rPr>
                <w:sz w:val="20"/>
                <w:szCs w:val="20"/>
                <w:color w:val="auto"/>
              </w:rPr>
            </w:pPr>
            <w:r>
              <w:rPr>
                <w:rFonts w:ascii="Arial" w:cs="Arial" w:eastAsia="Arial" w:hAnsi="Arial"/>
                <w:sz w:val="20"/>
                <w:szCs w:val="20"/>
                <w:b w:val="1"/>
                <w:bCs w:val="1"/>
                <w:color w:val="FFFFFF"/>
              </w:rPr>
              <w:t>2025</w:t>
            </w:r>
          </w:p>
        </w:tc>
      </w:tr>
      <w:tr>
        <w:trPr>
          <w:trHeight w:val="216"/>
        </w:trPr>
        <w:tc>
          <w:tcPr>
            <w:tcW w:w="528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Aggregates gross profit</w:t>
            </w:r>
          </w:p>
        </w:tc>
        <w:tc>
          <w:tcPr>
            <w:tcW w:w="340" w:type="dxa"/>
            <w:vAlign w:val="bottom"/>
            <w:shd w:val="clear" w:color="auto" w:fill="CFF0FC"/>
          </w:tcPr>
          <w:p>
            <w:pPr>
              <w:jc w:val="right"/>
              <w:ind w:right="1"/>
              <w:spacing w:after="0" w:line="216" w:lineRule="exact"/>
              <w:rPr>
                <w:sz w:val="20"/>
                <w:szCs w:val="20"/>
                <w:color w:val="auto"/>
              </w:rPr>
            </w:pPr>
            <w:r>
              <w:rPr>
                <w:rFonts w:ascii="Arial" w:cs="Arial" w:eastAsia="Arial" w:hAnsi="Arial"/>
                <w:sz w:val="20"/>
                <w:szCs w:val="20"/>
                <w:color w:val="auto"/>
              </w:rPr>
              <w:t>$</w:t>
            </w:r>
          </w:p>
        </w:tc>
        <w:tc>
          <w:tcPr>
            <w:tcW w:w="1080" w:type="dxa"/>
            <w:vAlign w:val="bottom"/>
            <w:shd w:val="clear" w:color="auto" w:fill="CFF0FC"/>
          </w:tcPr>
          <w:p>
            <w:pPr>
              <w:jc w:val="right"/>
              <w:ind w:right="21"/>
              <w:spacing w:after="0" w:line="216" w:lineRule="exact"/>
              <w:rPr>
                <w:sz w:val="20"/>
                <w:szCs w:val="20"/>
                <w:color w:val="auto"/>
              </w:rPr>
            </w:pPr>
            <w:r>
              <w:rPr>
                <w:rFonts w:ascii="Arial" w:cs="Arial" w:eastAsia="Arial" w:hAnsi="Arial"/>
                <w:sz w:val="20"/>
                <w:szCs w:val="20"/>
                <w:color w:val="auto"/>
              </w:rPr>
              <w:t>512</w:t>
            </w:r>
          </w:p>
        </w:tc>
        <w:tc>
          <w:tcPr>
            <w:tcW w:w="420" w:type="dxa"/>
            <w:vAlign w:val="bottom"/>
            <w:shd w:val="clear" w:color="auto" w:fill="CFF0FC"/>
          </w:tcPr>
          <w:p>
            <w:pPr>
              <w:jc w:val="right"/>
              <w:ind w:right="81"/>
              <w:spacing w:after="0" w:line="216" w:lineRule="exact"/>
              <w:rPr>
                <w:sz w:val="20"/>
                <w:szCs w:val="20"/>
                <w:color w:val="auto"/>
              </w:rPr>
            </w:pPr>
            <w:r>
              <w:rPr>
                <w:rFonts w:ascii="Arial" w:cs="Arial" w:eastAsia="Arial" w:hAnsi="Arial"/>
                <w:sz w:val="20"/>
                <w:szCs w:val="20"/>
                <w:color w:val="auto"/>
              </w:rPr>
              <w:t>$</w:t>
            </w:r>
          </w:p>
        </w:tc>
        <w:tc>
          <w:tcPr>
            <w:tcW w:w="1000" w:type="dxa"/>
            <w:vAlign w:val="bottom"/>
            <w:shd w:val="clear" w:color="auto" w:fill="CFF0FC"/>
          </w:tcPr>
          <w:p>
            <w:pPr>
              <w:jc w:val="right"/>
              <w:ind w:right="21"/>
              <w:spacing w:after="0" w:line="216" w:lineRule="exact"/>
              <w:rPr>
                <w:sz w:val="20"/>
                <w:szCs w:val="20"/>
                <w:color w:val="auto"/>
              </w:rPr>
            </w:pPr>
            <w:r>
              <w:rPr>
                <w:rFonts w:ascii="Arial" w:cs="Arial" w:eastAsia="Arial" w:hAnsi="Arial"/>
                <w:sz w:val="20"/>
                <w:szCs w:val="20"/>
                <w:color w:val="auto"/>
              </w:rPr>
              <w:t>531</w:t>
            </w:r>
          </w:p>
        </w:tc>
        <w:tc>
          <w:tcPr>
            <w:tcW w:w="360" w:type="dxa"/>
            <w:vAlign w:val="bottom"/>
            <w:shd w:val="clear" w:color="auto" w:fill="CFF0FC"/>
          </w:tcPr>
          <w:p>
            <w:pPr>
              <w:jc w:val="right"/>
              <w:ind w:right="21"/>
              <w:spacing w:after="0" w:line="216" w:lineRule="exact"/>
              <w:rPr>
                <w:sz w:val="20"/>
                <w:szCs w:val="20"/>
                <w:color w:val="auto"/>
              </w:rPr>
            </w:pPr>
            <w:r>
              <w:rPr>
                <w:rFonts w:ascii="Arial" w:cs="Arial" w:eastAsia="Arial" w:hAnsi="Arial"/>
                <w:sz w:val="20"/>
                <w:szCs w:val="20"/>
                <w:color w:val="auto"/>
              </w:rPr>
              <w:t>$</w:t>
            </w:r>
          </w:p>
        </w:tc>
        <w:tc>
          <w:tcPr>
            <w:tcW w:w="1060" w:type="dxa"/>
            <w:vAlign w:val="bottom"/>
            <w:shd w:val="clear" w:color="auto" w:fill="CFF0FC"/>
          </w:tcPr>
          <w:p>
            <w:pPr>
              <w:jc w:val="right"/>
              <w:ind w:right="21"/>
              <w:spacing w:after="0" w:line="216" w:lineRule="exact"/>
              <w:rPr>
                <w:sz w:val="20"/>
                <w:szCs w:val="20"/>
                <w:color w:val="auto"/>
              </w:rPr>
            </w:pPr>
            <w:r>
              <w:rPr>
                <w:rFonts w:ascii="Arial" w:cs="Arial" w:eastAsia="Arial" w:hAnsi="Arial"/>
                <w:sz w:val="20"/>
                <w:szCs w:val="20"/>
                <w:color w:val="auto"/>
              </w:rPr>
              <w:t>1,217</w:t>
            </w:r>
          </w:p>
        </w:tc>
        <w:tc>
          <w:tcPr>
            <w:tcW w:w="440" w:type="dxa"/>
            <w:vAlign w:val="bottom"/>
            <w:shd w:val="clear" w:color="auto" w:fill="CFF0FC"/>
          </w:tcPr>
          <w:p>
            <w:pPr>
              <w:jc w:val="right"/>
              <w:ind w:right="101"/>
              <w:spacing w:after="0" w:line="216" w:lineRule="exact"/>
              <w:rPr>
                <w:sz w:val="20"/>
                <w:szCs w:val="20"/>
                <w:color w:val="auto"/>
              </w:rPr>
            </w:pPr>
            <w:r>
              <w:rPr>
                <w:rFonts w:ascii="Arial" w:cs="Arial" w:eastAsia="Arial" w:hAnsi="Arial"/>
                <w:sz w:val="20"/>
                <w:szCs w:val="20"/>
                <w:color w:val="auto"/>
              </w:rPr>
              <w:t>$</w:t>
            </w:r>
          </w:p>
        </w:tc>
        <w:tc>
          <w:tcPr>
            <w:tcW w:w="1260" w:type="dxa"/>
            <w:vAlign w:val="bottom"/>
            <w:shd w:val="clear" w:color="auto" w:fill="CFF0FC"/>
          </w:tcPr>
          <w:p>
            <w:pPr>
              <w:jc w:val="right"/>
              <w:ind w:right="21"/>
              <w:spacing w:after="0" w:line="216" w:lineRule="exact"/>
              <w:rPr>
                <w:sz w:val="20"/>
                <w:szCs w:val="20"/>
                <w:color w:val="auto"/>
              </w:rPr>
            </w:pPr>
            <w:r>
              <w:rPr>
                <w:rFonts w:ascii="Arial" w:cs="Arial" w:eastAsia="Arial" w:hAnsi="Arial"/>
                <w:sz w:val="20"/>
                <w:szCs w:val="20"/>
                <w:color w:val="auto"/>
              </w:rPr>
              <w:t>1,257</w:t>
            </w:r>
          </w:p>
        </w:tc>
      </w:tr>
      <w:tr>
        <w:trPr>
          <w:trHeight w:val="216"/>
        </w:trPr>
        <w:tc>
          <w:tcPr>
            <w:tcW w:w="5280" w:type="dxa"/>
            <w:vAlign w:val="bottom"/>
          </w:tcPr>
          <w:p>
            <w:pPr>
              <w:spacing w:after="0" w:line="216" w:lineRule="exact"/>
              <w:rPr>
                <w:sz w:val="20"/>
                <w:szCs w:val="20"/>
                <w:color w:val="auto"/>
              </w:rPr>
            </w:pPr>
            <w:r>
              <w:rPr>
                <w:rFonts w:ascii="Arial" w:cs="Arial" w:eastAsia="Arial" w:hAnsi="Arial"/>
                <w:sz w:val="20"/>
                <w:szCs w:val="20"/>
                <w:color w:val="auto"/>
              </w:rPr>
              <w:t>Add back:</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94"/>
        </w:trPr>
        <w:tc>
          <w:tcPr>
            <w:tcW w:w="5280" w:type="dxa"/>
            <w:vAlign w:val="bottom"/>
            <w:shd w:val="clear" w:color="auto" w:fill="CFF0FC"/>
          </w:tcPr>
          <w:p>
            <w:pPr>
              <w:ind w:left="100"/>
              <w:spacing w:after="0" w:line="194" w:lineRule="exact"/>
              <w:rPr>
                <w:sz w:val="20"/>
                <w:szCs w:val="20"/>
                <w:color w:val="auto"/>
              </w:rPr>
            </w:pPr>
            <w:r>
              <w:rPr>
                <w:rFonts w:ascii="Arial" w:cs="Arial" w:eastAsia="Arial" w:hAnsi="Arial"/>
                <w:sz w:val="20"/>
                <w:szCs w:val="20"/>
                <w:color w:val="auto"/>
              </w:rPr>
              <w:t>Aggregates depreciation, depletion and amortization</w:t>
            </w:r>
          </w:p>
        </w:tc>
        <w:tc>
          <w:tcPr>
            <w:tcW w:w="34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r>
      <w:tr>
        <w:trPr>
          <w:trHeight w:val="238"/>
        </w:trPr>
        <w:tc>
          <w:tcPr>
            <w:tcW w:w="5280" w:type="dxa"/>
            <w:vAlign w:val="bottom"/>
            <w:shd w:val="clear" w:color="auto" w:fill="CFF0FC"/>
          </w:tcPr>
          <w:p>
            <w:pPr>
              <w:ind w:left="100"/>
              <w:spacing w:after="0"/>
              <w:rPr>
                <w:sz w:val="20"/>
                <w:szCs w:val="20"/>
                <w:color w:val="auto"/>
              </w:rPr>
            </w:pPr>
            <w:r>
              <w:rPr>
                <w:rFonts w:ascii="Arial" w:cs="Arial" w:eastAsia="Arial" w:hAnsi="Arial"/>
                <w:sz w:val="20"/>
                <w:szCs w:val="20"/>
                <w:color w:val="auto"/>
              </w:rPr>
              <w:t>expense</w:t>
            </w:r>
          </w:p>
        </w:tc>
        <w:tc>
          <w:tcPr>
            <w:tcW w:w="34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179</w:t>
            </w:r>
          </w:p>
        </w:tc>
        <w:tc>
          <w:tcPr>
            <w:tcW w:w="42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124</w:t>
            </w:r>
          </w:p>
        </w:tc>
        <w:tc>
          <w:tcPr>
            <w:tcW w:w="36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477</w:t>
            </w:r>
          </w:p>
        </w:tc>
        <w:tc>
          <w:tcPr>
            <w:tcW w:w="44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361</w:t>
            </w:r>
          </w:p>
        </w:tc>
      </w:tr>
      <w:tr>
        <w:trPr>
          <w:trHeight w:val="194"/>
        </w:trPr>
        <w:tc>
          <w:tcPr>
            <w:tcW w:w="5280" w:type="dxa"/>
            <w:vAlign w:val="bottom"/>
          </w:tcPr>
          <w:p>
            <w:pPr>
              <w:ind w:left="100"/>
              <w:spacing w:after="0" w:line="194" w:lineRule="exact"/>
              <w:rPr>
                <w:sz w:val="20"/>
                <w:szCs w:val="20"/>
                <w:color w:val="auto"/>
              </w:rPr>
            </w:pPr>
            <w:r>
              <w:rPr>
                <w:rFonts w:ascii="Arial" w:cs="Arial" w:eastAsia="Arial" w:hAnsi="Arial"/>
                <w:sz w:val="20"/>
                <w:szCs w:val="20"/>
                <w:color w:val="auto"/>
              </w:rPr>
              <w:t>Aggregates impact of selling acquired inventory after</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8"/>
        </w:trPr>
        <w:tc>
          <w:tcPr>
            <w:tcW w:w="528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markup to fair value as part of acquisition accounting</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5</w:t>
            </w:r>
          </w:p>
        </w:tc>
        <w:tc>
          <w:tcPr>
            <w:tcW w:w="4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78</w:t>
            </w:r>
          </w:p>
        </w:tc>
        <w:tc>
          <w:tcPr>
            <w:tcW w:w="4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1</w:t>
            </w:r>
          </w:p>
        </w:tc>
      </w:tr>
      <w:tr>
        <w:trPr>
          <w:trHeight w:val="209"/>
        </w:trPr>
        <w:tc>
          <w:tcPr>
            <w:tcW w:w="5280" w:type="dxa"/>
            <w:vAlign w:val="bottom"/>
            <w:tcBorders>
              <w:bottom w:val="single" w:sz="8" w:color="auto"/>
            </w:tcBorders>
            <w:shd w:val="clear" w:color="auto" w:fill="CFF0FC"/>
          </w:tcPr>
          <w:p>
            <w:pPr>
              <w:spacing w:after="0" w:line="209" w:lineRule="exact"/>
              <w:rPr>
                <w:sz w:val="20"/>
                <w:szCs w:val="20"/>
                <w:color w:val="auto"/>
              </w:rPr>
            </w:pPr>
            <w:r>
              <w:rPr>
                <w:rFonts w:ascii="Arial" w:cs="Arial" w:eastAsia="Arial" w:hAnsi="Arial"/>
                <w:sz w:val="20"/>
                <w:szCs w:val="20"/>
                <w:color w:val="auto"/>
              </w:rPr>
              <w:t>Aggregates cash gross profit</w:t>
            </w:r>
          </w:p>
        </w:tc>
        <w:tc>
          <w:tcPr>
            <w:tcW w:w="340" w:type="dxa"/>
            <w:vAlign w:val="bottom"/>
            <w:tcBorders>
              <w:bottom w:val="single" w:sz="8" w:color="auto"/>
            </w:tcBorders>
            <w:shd w:val="clear" w:color="auto" w:fill="CFF0FC"/>
          </w:tcPr>
          <w:p>
            <w:pPr>
              <w:jc w:val="right"/>
              <w:ind w:right="1"/>
              <w:spacing w:after="0" w:line="209" w:lineRule="exact"/>
              <w:rPr>
                <w:sz w:val="20"/>
                <w:szCs w:val="20"/>
                <w:color w:val="auto"/>
              </w:rPr>
            </w:pPr>
            <w:r>
              <w:rPr>
                <w:rFonts w:ascii="Arial" w:cs="Arial" w:eastAsia="Arial" w:hAnsi="Arial"/>
                <w:sz w:val="20"/>
                <w:szCs w:val="20"/>
                <w:color w:val="auto"/>
              </w:rPr>
              <w:t>$</w:t>
            </w:r>
          </w:p>
        </w:tc>
        <w:tc>
          <w:tcPr>
            <w:tcW w:w="1080" w:type="dxa"/>
            <w:vAlign w:val="bottom"/>
            <w:tcBorders>
              <w:bottom w:val="single" w:sz="8" w:color="auto"/>
            </w:tcBorders>
            <w:shd w:val="clear" w:color="auto" w:fill="CFF0FC"/>
          </w:tcPr>
          <w:p>
            <w:pPr>
              <w:jc w:val="right"/>
              <w:ind w:right="21"/>
              <w:spacing w:after="0" w:line="209" w:lineRule="exact"/>
              <w:rPr>
                <w:sz w:val="20"/>
                <w:szCs w:val="20"/>
                <w:color w:val="auto"/>
              </w:rPr>
            </w:pPr>
            <w:r>
              <w:rPr>
                <w:rFonts w:ascii="Arial" w:cs="Arial" w:eastAsia="Arial" w:hAnsi="Arial"/>
                <w:sz w:val="20"/>
                <w:szCs w:val="20"/>
                <w:color w:val="auto"/>
              </w:rPr>
              <w:t>696</w:t>
            </w:r>
          </w:p>
        </w:tc>
        <w:tc>
          <w:tcPr>
            <w:tcW w:w="420" w:type="dxa"/>
            <w:vAlign w:val="bottom"/>
            <w:tcBorders>
              <w:bottom w:val="single" w:sz="8" w:color="auto"/>
            </w:tcBorders>
            <w:shd w:val="clear" w:color="auto" w:fill="CFF0FC"/>
          </w:tcPr>
          <w:p>
            <w:pPr>
              <w:jc w:val="right"/>
              <w:ind w:right="81"/>
              <w:spacing w:after="0" w:line="209" w:lineRule="exact"/>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shd w:val="clear" w:color="auto" w:fill="CFF0FC"/>
          </w:tcPr>
          <w:p>
            <w:pPr>
              <w:jc w:val="right"/>
              <w:ind w:right="21"/>
              <w:spacing w:after="0" w:line="209" w:lineRule="exact"/>
              <w:rPr>
                <w:sz w:val="20"/>
                <w:szCs w:val="20"/>
                <w:color w:val="auto"/>
              </w:rPr>
            </w:pPr>
            <w:r>
              <w:rPr>
                <w:rFonts w:ascii="Arial" w:cs="Arial" w:eastAsia="Arial" w:hAnsi="Arial"/>
                <w:sz w:val="20"/>
                <w:szCs w:val="20"/>
                <w:color w:val="auto"/>
              </w:rPr>
              <w:t>655</w:t>
            </w:r>
          </w:p>
        </w:tc>
        <w:tc>
          <w:tcPr>
            <w:tcW w:w="360" w:type="dxa"/>
            <w:vAlign w:val="bottom"/>
            <w:tcBorders>
              <w:bottom w:val="single" w:sz="8" w:color="auto"/>
            </w:tcBorders>
            <w:shd w:val="clear" w:color="auto" w:fill="CFF0FC"/>
          </w:tcPr>
          <w:p>
            <w:pPr>
              <w:jc w:val="right"/>
              <w:ind w:right="21"/>
              <w:spacing w:after="0" w:line="209" w:lineRule="exact"/>
              <w:rPr>
                <w:sz w:val="20"/>
                <w:szCs w:val="20"/>
                <w:color w:val="auto"/>
              </w:rPr>
            </w:pPr>
            <w:r>
              <w:rPr>
                <w:rFonts w:ascii="Arial" w:cs="Arial" w:eastAsia="Arial" w:hAnsi="Arial"/>
                <w:sz w:val="20"/>
                <w:szCs w:val="20"/>
                <w:color w:val="auto"/>
              </w:rPr>
              <w:t>$</w:t>
            </w:r>
          </w:p>
        </w:tc>
        <w:tc>
          <w:tcPr>
            <w:tcW w:w="1060" w:type="dxa"/>
            <w:vAlign w:val="bottom"/>
            <w:tcBorders>
              <w:bottom w:val="single" w:sz="8" w:color="auto"/>
            </w:tcBorders>
            <w:shd w:val="clear" w:color="auto" w:fill="CFF0FC"/>
          </w:tcPr>
          <w:p>
            <w:pPr>
              <w:jc w:val="right"/>
              <w:ind w:right="21"/>
              <w:spacing w:after="0" w:line="209" w:lineRule="exact"/>
              <w:rPr>
                <w:sz w:val="20"/>
                <w:szCs w:val="20"/>
                <w:color w:val="auto"/>
              </w:rPr>
            </w:pPr>
            <w:r>
              <w:rPr>
                <w:rFonts w:ascii="Arial" w:cs="Arial" w:eastAsia="Arial" w:hAnsi="Arial"/>
                <w:sz w:val="20"/>
                <w:szCs w:val="20"/>
                <w:color w:val="auto"/>
              </w:rPr>
              <w:t>1,772</w:t>
            </w:r>
          </w:p>
        </w:tc>
        <w:tc>
          <w:tcPr>
            <w:tcW w:w="440" w:type="dxa"/>
            <w:vAlign w:val="bottom"/>
            <w:tcBorders>
              <w:bottom w:val="single" w:sz="8" w:color="auto"/>
            </w:tcBorders>
            <w:shd w:val="clear" w:color="auto" w:fill="CFF0FC"/>
          </w:tcPr>
          <w:p>
            <w:pPr>
              <w:jc w:val="right"/>
              <w:ind w:right="101"/>
              <w:spacing w:after="0" w:line="209" w:lineRule="exact"/>
              <w:rPr>
                <w:sz w:val="20"/>
                <w:szCs w:val="20"/>
                <w:color w:val="auto"/>
              </w:rPr>
            </w:pPr>
            <w:r>
              <w:rPr>
                <w:rFonts w:ascii="Arial" w:cs="Arial" w:eastAsia="Arial" w:hAnsi="Arial"/>
                <w:sz w:val="20"/>
                <w:szCs w:val="20"/>
                <w:color w:val="auto"/>
              </w:rPr>
              <w:t>$</w:t>
            </w:r>
          </w:p>
        </w:tc>
        <w:tc>
          <w:tcPr>
            <w:tcW w:w="1260" w:type="dxa"/>
            <w:vAlign w:val="bottom"/>
            <w:tcBorders>
              <w:bottom w:val="single" w:sz="8" w:color="auto"/>
            </w:tcBorders>
            <w:shd w:val="clear" w:color="auto" w:fill="CFF0FC"/>
          </w:tcPr>
          <w:p>
            <w:pPr>
              <w:jc w:val="right"/>
              <w:ind w:right="21"/>
              <w:spacing w:after="0" w:line="209" w:lineRule="exact"/>
              <w:rPr>
                <w:sz w:val="20"/>
                <w:szCs w:val="20"/>
                <w:color w:val="auto"/>
              </w:rPr>
            </w:pPr>
            <w:r>
              <w:rPr>
                <w:rFonts w:ascii="Arial" w:cs="Arial" w:eastAsia="Arial" w:hAnsi="Arial"/>
                <w:sz w:val="20"/>
                <w:szCs w:val="20"/>
                <w:color w:val="auto"/>
              </w:rPr>
              <w:t>1,619</w:t>
            </w:r>
          </w:p>
        </w:tc>
      </w:tr>
      <w:tr>
        <w:trPr>
          <w:trHeight w:val="210"/>
        </w:trPr>
        <w:tc>
          <w:tcPr>
            <w:tcW w:w="5280" w:type="dxa"/>
            <w:vAlign w:val="bottom"/>
            <w:tcBorders>
              <w:bottom w:val="single" w:sz="8" w:color="auto"/>
            </w:tcBorders>
          </w:tcPr>
          <w:p>
            <w:pPr>
              <w:spacing w:after="0" w:line="209" w:lineRule="exact"/>
              <w:rPr>
                <w:sz w:val="20"/>
                <w:szCs w:val="20"/>
                <w:color w:val="auto"/>
              </w:rPr>
            </w:pPr>
            <w:r>
              <w:rPr>
                <w:rFonts w:ascii="Arial" w:cs="Arial" w:eastAsia="Arial" w:hAnsi="Arial"/>
                <w:sz w:val="20"/>
                <w:szCs w:val="20"/>
                <w:color w:val="auto"/>
              </w:rPr>
              <w:t>Shipments</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1"/>
              <w:spacing w:after="0" w:line="209" w:lineRule="exact"/>
              <w:rPr>
                <w:sz w:val="20"/>
                <w:szCs w:val="20"/>
                <w:color w:val="auto"/>
              </w:rPr>
            </w:pPr>
            <w:r>
              <w:rPr>
                <w:rFonts w:ascii="Arial" w:cs="Arial" w:eastAsia="Arial" w:hAnsi="Arial"/>
                <w:sz w:val="20"/>
                <w:szCs w:val="20"/>
                <w:color w:val="auto"/>
              </w:rPr>
              <w:t>67.1</w:t>
            </w: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1"/>
              <w:spacing w:after="0" w:line="209" w:lineRule="exact"/>
              <w:rPr>
                <w:sz w:val="20"/>
                <w:szCs w:val="20"/>
                <w:color w:val="auto"/>
              </w:rPr>
            </w:pPr>
            <w:r>
              <w:rPr>
                <w:rFonts w:ascii="Arial" w:cs="Arial" w:eastAsia="Arial" w:hAnsi="Arial"/>
                <w:sz w:val="20"/>
                <w:szCs w:val="20"/>
                <w:color w:val="auto"/>
              </w:rPr>
              <w:t>57.9</w:t>
            </w: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1"/>
              <w:spacing w:after="0" w:line="209" w:lineRule="exact"/>
              <w:rPr>
                <w:sz w:val="20"/>
                <w:szCs w:val="20"/>
                <w:color w:val="auto"/>
              </w:rPr>
            </w:pPr>
            <w:r>
              <w:rPr>
                <w:rFonts w:ascii="Arial" w:cs="Arial" w:eastAsia="Arial" w:hAnsi="Arial"/>
                <w:sz w:val="20"/>
                <w:szCs w:val="20"/>
                <w:color w:val="auto"/>
              </w:rPr>
              <w:t>172.6</w:t>
            </w: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1"/>
              <w:spacing w:after="0" w:line="209" w:lineRule="exact"/>
              <w:rPr>
                <w:sz w:val="20"/>
                <w:szCs w:val="20"/>
                <w:color w:val="auto"/>
              </w:rPr>
            </w:pPr>
            <w:r>
              <w:rPr>
                <w:rFonts w:ascii="Arial" w:cs="Arial" w:eastAsia="Arial" w:hAnsi="Arial"/>
                <w:sz w:val="20"/>
                <w:szCs w:val="20"/>
                <w:color w:val="auto"/>
              </w:rPr>
              <w:t>149.6</w:t>
            </w:r>
          </w:p>
        </w:tc>
      </w:tr>
      <w:tr>
        <w:trPr>
          <w:trHeight w:val="250"/>
        </w:trPr>
        <w:tc>
          <w:tcPr>
            <w:tcW w:w="5280" w:type="dxa"/>
            <w:vAlign w:val="bottom"/>
            <w:tcBorders>
              <w:bottom w:val="single" w:sz="8" w:color="auto"/>
            </w:tcBorders>
            <w:shd w:val="clear" w:color="auto" w:fill="CFF0FC"/>
          </w:tcPr>
          <w:p>
            <w:pPr>
              <w:spacing w:after="0" w:line="209" w:lineRule="exact"/>
              <w:rPr>
                <w:sz w:val="20"/>
                <w:szCs w:val="20"/>
                <w:color w:val="auto"/>
              </w:rPr>
            </w:pPr>
            <w:r>
              <w:rPr>
                <w:rFonts w:ascii="Arial" w:cs="Arial" w:eastAsia="Arial" w:hAnsi="Arial"/>
                <w:sz w:val="20"/>
                <w:szCs w:val="20"/>
                <w:color w:val="auto"/>
              </w:rPr>
              <w:t>Aggregates cash gross profit per ton</w:t>
            </w:r>
          </w:p>
        </w:tc>
        <w:tc>
          <w:tcPr>
            <w:tcW w:w="340" w:type="dxa"/>
            <w:vAlign w:val="bottom"/>
            <w:tcBorders>
              <w:bottom w:val="single" w:sz="8" w:color="auto"/>
            </w:tcBorders>
            <w:shd w:val="clear" w:color="auto" w:fill="CFF0FC"/>
          </w:tcPr>
          <w:p>
            <w:pPr>
              <w:jc w:val="right"/>
              <w:ind w:right="1"/>
              <w:spacing w:after="0" w:line="209" w:lineRule="exact"/>
              <w:rPr>
                <w:sz w:val="20"/>
                <w:szCs w:val="20"/>
                <w:color w:val="auto"/>
              </w:rPr>
            </w:pPr>
            <w:r>
              <w:rPr>
                <w:rFonts w:ascii="Arial" w:cs="Arial" w:eastAsia="Arial" w:hAnsi="Arial"/>
                <w:sz w:val="20"/>
                <w:szCs w:val="20"/>
                <w:color w:val="auto"/>
              </w:rPr>
              <w:t>$</w:t>
            </w:r>
          </w:p>
        </w:tc>
        <w:tc>
          <w:tcPr>
            <w:tcW w:w="1080" w:type="dxa"/>
            <w:vAlign w:val="bottom"/>
            <w:tcBorders>
              <w:bottom w:val="single" w:sz="8" w:color="auto"/>
            </w:tcBorders>
            <w:shd w:val="clear" w:color="auto" w:fill="CFF0FC"/>
          </w:tcPr>
          <w:p>
            <w:pPr>
              <w:jc w:val="right"/>
              <w:ind w:right="21"/>
              <w:spacing w:after="0" w:line="209" w:lineRule="exact"/>
              <w:rPr>
                <w:sz w:val="20"/>
                <w:szCs w:val="20"/>
                <w:color w:val="auto"/>
              </w:rPr>
            </w:pPr>
            <w:r>
              <w:rPr>
                <w:rFonts w:ascii="Arial" w:cs="Arial" w:eastAsia="Arial" w:hAnsi="Arial"/>
                <w:sz w:val="20"/>
                <w:szCs w:val="20"/>
                <w:color w:val="auto"/>
              </w:rPr>
              <w:t>10.36</w:t>
            </w:r>
          </w:p>
        </w:tc>
        <w:tc>
          <w:tcPr>
            <w:tcW w:w="420" w:type="dxa"/>
            <w:vAlign w:val="bottom"/>
            <w:tcBorders>
              <w:bottom w:val="single" w:sz="8" w:color="auto"/>
            </w:tcBorders>
            <w:shd w:val="clear" w:color="auto" w:fill="CFF0FC"/>
          </w:tcPr>
          <w:p>
            <w:pPr>
              <w:jc w:val="right"/>
              <w:ind w:right="81"/>
              <w:spacing w:after="0" w:line="209" w:lineRule="exact"/>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shd w:val="clear" w:color="auto" w:fill="CFF0FC"/>
          </w:tcPr>
          <w:p>
            <w:pPr>
              <w:jc w:val="right"/>
              <w:ind w:right="21"/>
              <w:spacing w:after="0" w:line="209" w:lineRule="exact"/>
              <w:rPr>
                <w:sz w:val="20"/>
                <w:szCs w:val="20"/>
                <w:color w:val="auto"/>
              </w:rPr>
            </w:pPr>
            <w:r>
              <w:rPr>
                <w:rFonts w:ascii="Arial" w:cs="Arial" w:eastAsia="Arial" w:hAnsi="Arial"/>
                <w:sz w:val="20"/>
                <w:szCs w:val="20"/>
                <w:color w:val="auto"/>
              </w:rPr>
              <w:t>11.31</w:t>
            </w:r>
          </w:p>
        </w:tc>
        <w:tc>
          <w:tcPr>
            <w:tcW w:w="360" w:type="dxa"/>
            <w:vAlign w:val="bottom"/>
            <w:tcBorders>
              <w:bottom w:val="single" w:sz="8" w:color="auto"/>
            </w:tcBorders>
            <w:shd w:val="clear" w:color="auto" w:fill="CFF0FC"/>
          </w:tcPr>
          <w:p>
            <w:pPr>
              <w:jc w:val="right"/>
              <w:ind w:right="21"/>
              <w:spacing w:after="0" w:line="209" w:lineRule="exact"/>
              <w:rPr>
                <w:sz w:val="20"/>
                <w:szCs w:val="20"/>
                <w:color w:val="auto"/>
              </w:rPr>
            </w:pPr>
            <w:r>
              <w:rPr>
                <w:rFonts w:ascii="Arial" w:cs="Arial" w:eastAsia="Arial" w:hAnsi="Arial"/>
                <w:sz w:val="20"/>
                <w:szCs w:val="20"/>
                <w:color w:val="auto"/>
              </w:rPr>
              <w:t>$</w:t>
            </w:r>
          </w:p>
        </w:tc>
        <w:tc>
          <w:tcPr>
            <w:tcW w:w="1060" w:type="dxa"/>
            <w:vAlign w:val="bottom"/>
            <w:tcBorders>
              <w:bottom w:val="single" w:sz="8" w:color="auto"/>
            </w:tcBorders>
            <w:shd w:val="clear" w:color="auto" w:fill="CFF0FC"/>
          </w:tcPr>
          <w:p>
            <w:pPr>
              <w:jc w:val="right"/>
              <w:ind w:right="21"/>
              <w:spacing w:after="0" w:line="209" w:lineRule="exact"/>
              <w:rPr>
                <w:sz w:val="20"/>
                <w:szCs w:val="20"/>
                <w:color w:val="auto"/>
              </w:rPr>
            </w:pPr>
            <w:r>
              <w:rPr>
                <w:rFonts w:ascii="Arial" w:cs="Arial" w:eastAsia="Arial" w:hAnsi="Arial"/>
                <w:sz w:val="20"/>
                <w:szCs w:val="20"/>
                <w:color w:val="auto"/>
              </w:rPr>
              <w:t>10.27</w:t>
            </w:r>
          </w:p>
        </w:tc>
        <w:tc>
          <w:tcPr>
            <w:tcW w:w="440" w:type="dxa"/>
            <w:vAlign w:val="bottom"/>
            <w:tcBorders>
              <w:bottom w:val="single" w:sz="8" w:color="auto"/>
            </w:tcBorders>
            <w:shd w:val="clear" w:color="auto" w:fill="CFF0FC"/>
          </w:tcPr>
          <w:p>
            <w:pPr>
              <w:jc w:val="right"/>
              <w:ind w:right="101"/>
              <w:spacing w:after="0" w:line="209" w:lineRule="exact"/>
              <w:rPr>
                <w:sz w:val="20"/>
                <w:szCs w:val="20"/>
                <w:color w:val="auto"/>
              </w:rPr>
            </w:pPr>
            <w:r>
              <w:rPr>
                <w:rFonts w:ascii="Arial" w:cs="Arial" w:eastAsia="Arial" w:hAnsi="Arial"/>
                <w:sz w:val="20"/>
                <w:szCs w:val="20"/>
                <w:color w:val="auto"/>
              </w:rPr>
              <w:t>$</w:t>
            </w:r>
          </w:p>
        </w:tc>
        <w:tc>
          <w:tcPr>
            <w:tcW w:w="1260" w:type="dxa"/>
            <w:vAlign w:val="bottom"/>
            <w:tcBorders>
              <w:bottom w:val="single" w:sz="8" w:color="auto"/>
            </w:tcBorders>
            <w:shd w:val="clear" w:color="auto" w:fill="CFF0FC"/>
          </w:tcPr>
          <w:p>
            <w:pPr>
              <w:jc w:val="right"/>
              <w:ind w:right="21"/>
              <w:spacing w:after="0" w:line="209" w:lineRule="exact"/>
              <w:rPr>
                <w:sz w:val="20"/>
                <w:szCs w:val="20"/>
                <w:color w:val="auto"/>
              </w:rPr>
            </w:pPr>
            <w:r>
              <w:rPr>
                <w:rFonts w:ascii="Arial" w:cs="Arial" w:eastAsia="Arial" w:hAnsi="Arial"/>
                <w:sz w:val="20"/>
                <w:szCs w:val="20"/>
                <w:color w:val="auto"/>
              </w:rPr>
              <w:t>10.82</w:t>
            </w:r>
          </w:p>
        </w:tc>
      </w:tr>
      <w:tr>
        <w:trPr>
          <w:trHeight w:val="554"/>
        </w:trPr>
        <w:tc>
          <w:tcPr>
            <w:tcW w:w="7120" w:type="dxa"/>
            <w:vAlign w:val="bottom"/>
            <w:gridSpan w:val="4"/>
          </w:tcPr>
          <w:p>
            <w:pPr>
              <w:spacing w:after="0"/>
              <w:rPr>
                <w:sz w:val="20"/>
                <w:szCs w:val="20"/>
                <w:color w:val="auto"/>
              </w:rPr>
            </w:pPr>
            <w:r>
              <w:rPr>
                <w:rFonts w:ascii="Arial" w:cs="Arial" w:eastAsia="Arial" w:hAnsi="Arial"/>
                <w:sz w:val="20"/>
                <w:szCs w:val="20"/>
                <w:b w:val="1"/>
                <w:bCs w:val="1"/>
                <w:color w:val="auto"/>
              </w:rPr>
              <w:t>Reconciliation of Specialties Gross Profit to Specialties Cash Gross Profit</w:t>
            </w: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74"/>
        </w:trPr>
        <w:tc>
          <w:tcPr>
            <w:tcW w:w="52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500" w:type="dxa"/>
            <w:vAlign w:val="bottom"/>
            <w:gridSpan w:val="3"/>
          </w:tcPr>
          <w:p>
            <w:pPr>
              <w:spacing w:after="0"/>
              <w:rPr>
                <w:sz w:val="6"/>
                <w:szCs w:val="6"/>
                <w:color w:val="auto"/>
              </w:rPr>
            </w:pPr>
          </w:p>
        </w:tc>
        <w:tc>
          <w:tcPr>
            <w:tcW w:w="360" w:type="dxa"/>
            <w:vAlign w:val="bottom"/>
          </w:tcPr>
          <w:p>
            <w:pPr>
              <w:spacing w:after="0"/>
              <w:rPr>
                <w:sz w:val="6"/>
                <w:szCs w:val="6"/>
                <w:color w:val="auto"/>
              </w:rPr>
            </w:pPr>
          </w:p>
        </w:tc>
        <w:tc>
          <w:tcPr>
            <w:tcW w:w="2760" w:type="dxa"/>
            <w:vAlign w:val="bottom"/>
            <w:gridSpan w:val="3"/>
          </w:tcPr>
          <w:p>
            <w:pPr>
              <w:spacing w:after="0"/>
              <w:rPr>
                <w:sz w:val="6"/>
                <w:szCs w:val="6"/>
                <w:color w:val="auto"/>
              </w:rPr>
            </w:pPr>
          </w:p>
        </w:tc>
      </w:tr>
      <w:tr>
        <w:trPr>
          <w:trHeight w:val="192"/>
        </w:trPr>
        <w:tc>
          <w:tcPr>
            <w:tcW w:w="5280" w:type="dxa"/>
            <w:vAlign w:val="bottom"/>
            <w:shd w:val="clear" w:color="auto" w:fill="007DC6"/>
          </w:tcPr>
          <w:p>
            <w:pPr>
              <w:spacing w:after="0"/>
              <w:rPr>
                <w:sz w:val="16"/>
                <w:szCs w:val="16"/>
                <w:color w:val="auto"/>
              </w:rPr>
            </w:pPr>
          </w:p>
        </w:tc>
        <w:tc>
          <w:tcPr>
            <w:tcW w:w="340" w:type="dxa"/>
            <w:vAlign w:val="bottom"/>
            <w:shd w:val="clear" w:color="auto" w:fill="007DC6"/>
          </w:tcPr>
          <w:p>
            <w:pPr>
              <w:spacing w:after="0"/>
              <w:rPr>
                <w:sz w:val="16"/>
                <w:szCs w:val="16"/>
                <w:color w:val="auto"/>
              </w:rPr>
            </w:pPr>
          </w:p>
        </w:tc>
        <w:tc>
          <w:tcPr>
            <w:tcW w:w="2500" w:type="dxa"/>
            <w:vAlign w:val="bottom"/>
            <w:gridSpan w:val="3"/>
            <w:shd w:val="clear" w:color="auto" w:fill="007DC6"/>
          </w:tcPr>
          <w:p>
            <w:pPr>
              <w:jc w:val="center"/>
              <w:ind w:right="241"/>
              <w:spacing w:after="0" w:line="192" w:lineRule="exact"/>
              <w:rPr>
                <w:sz w:val="20"/>
                <w:szCs w:val="20"/>
                <w:color w:val="auto"/>
              </w:rPr>
            </w:pPr>
            <w:r>
              <w:rPr>
                <w:rFonts w:ascii="Arial" w:cs="Arial" w:eastAsia="Arial" w:hAnsi="Arial"/>
                <w:sz w:val="20"/>
                <w:szCs w:val="20"/>
                <w:b w:val="1"/>
                <w:bCs w:val="1"/>
                <w:color w:val="FFFFFF"/>
                <w:w w:val="99"/>
              </w:rPr>
              <w:t>Three Months Ended</w:t>
            </w:r>
          </w:p>
        </w:tc>
        <w:tc>
          <w:tcPr>
            <w:tcW w:w="360" w:type="dxa"/>
            <w:vAlign w:val="bottom"/>
            <w:shd w:val="clear" w:color="auto" w:fill="007DC6"/>
          </w:tcPr>
          <w:p>
            <w:pPr>
              <w:spacing w:after="0"/>
              <w:rPr>
                <w:sz w:val="16"/>
                <w:szCs w:val="16"/>
                <w:color w:val="auto"/>
              </w:rPr>
            </w:pPr>
          </w:p>
        </w:tc>
        <w:tc>
          <w:tcPr>
            <w:tcW w:w="2760" w:type="dxa"/>
            <w:vAlign w:val="bottom"/>
            <w:gridSpan w:val="3"/>
            <w:shd w:val="clear" w:color="auto" w:fill="007DC6"/>
          </w:tcPr>
          <w:p>
            <w:pPr>
              <w:jc w:val="right"/>
              <w:ind w:right="541"/>
              <w:spacing w:after="0" w:line="192" w:lineRule="exact"/>
              <w:rPr>
                <w:sz w:val="20"/>
                <w:szCs w:val="20"/>
                <w:color w:val="auto"/>
              </w:rPr>
            </w:pPr>
            <w:r>
              <w:rPr>
                <w:rFonts w:ascii="Arial" w:cs="Arial" w:eastAsia="Arial" w:hAnsi="Arial"/>
                <w:sz w:val="20"/>
                <w:szCs w:val="20"/>
                <w:b w:val="1"/>
                <w:bCs w:val="1"/>
                <w:color w:val="FFFFFF"/>
              </w:rPr>
              <w:t>Nine Months Ended</w:t>
            </w:r>
          </w:p>
        </w:tc>
      </w:tr>
      <w:tr>
        <w:trPr>
          <w:trHeight w:val="230"/>
        </w:trPr>
        <w:tc>
          <w:tcPr>
            <w:tcW w:w="5280" w:type="dxa"/>
            <w:vAlign w:val="bottom"/>
            <w:shd w:val="clear" w:color="auto" w:fill="007DC6"/>
          </w:tcPr>
          <w:p>
            <w:pPr>
              <w:spacing w:after="0"/>
              <w:rPr>
                <w:sz w:val="19"/>
                <w:szCs w:val="19"/>
                <w:color w:val="auto"/>
              </w:rPr>
            </w:pPr>
          </w:p>
        </w:tc>
        <w:tc>
          <w:tcPr>
            <w:tcW w:w="340" w:type="dxa"/>
            <w:vAlign w:val="bottom"/>
            <w:shd w:val="clear" w:color="auto" w:fill="007DC6"/>
          </w:tcPr>
          <w:p>
            <w:pPr>
              <w:spacing w:after="0"/>
              <w:rPr>
                <w:sz w:val="19"/>
                <w:szCs w:val="19"/>
                <w:color w:val="auto"/>
              </w:rPr>
            </w:pPr>
          </w:p>
        </w:tc>
        <w:tc>
          <w:tcPr>
            <w:tcW w:w="2500" w:type="dxa"/>
            <w:vAlign w:val="bottom"/>
            <w:gridSpan w:val="3"/>
            <w:shd w:val="clear" w:color="auto" w:fill="007DC6"/>
          </w:tcPr>
          <w:p>
            <w:pPr>
              <w:jc w:val="center"/>
              <w:ind w:right="241"/>
              <w:spacing w:after="0"/>
              <w:rPr>
                <w:sz w:val="20"/>
                <w:szCs w:val="20"/>
                <w:color w:val="auto"/>
              </w:rPr>
            </w:pPr>
            <w:r>
              <w:rPr>
                <w:rFonts w:ascii="Arial" w:cs="Arial" w:eastAsia="Arial" w:hAnsi="Arial"/>
                <w:sz w:val="20"/>
                <w:szCs w:val="20"/>
                <w:b w:val="1"/>
                <w:bCs w:val="1"/>
                <w:color w:val="FFFFFF"/>
                <w:w w:val="99"/>
              </w:rPr>
              <w:t>September 30,</w:t>
            </w:r>
          </w:p>
        </w:tc>
        <w:tc>
          <w:tcPr>
            <w:tcW w:w="360" w:type="dxa"/>
            <w:vAlign w:val="bottom"/>
            <w:shd w:val="clear" w:color="auto" w:fill="007DC6"/>
          </w:tcPr>
          <w:p>
            <w:pPr>
              <w:spacing w:after="0"/>
              <w:rPr>
                <w:sz w:val="19"/>
                <w:szCs w:val="19"/>
                <w:color w:val="auto"/>
              </w:rPr>
            </w:pPr>
          </w:p>
        </w:tc>
        <w:tc>
          <w:tcPr>
            <w:tcW w:w="2760" w:type="dxa"/>
            <w:vAlign w:val="bottom"/>
            <w:gridSpan w:val="3"/>
            <w:shd w:val="clear" w:color="auto" w:fill="007DC6"/>
          </w:tcPr>
          <w:p>
            <w:pPr>
              <w:jc w:val="right"/>
              <w:ind w:right="781"/>
              <w:spacing w:after="0"/>
              <w:rPr>
                <w:sz w:val="20"/>
                <w:szCs w:val="20"/>
                <w:color w:val="auto"/>
              </w:rPr>
            </w:pPr>
            <w:r>
              <w:rPr>
                <w:rFonts w:ascii="Arial" w:cs="Arial" w:eastAsia="Arial" w:hAnsi="Arial"/>
                <w:sz w:val="20"/>
                <w:szCs w:val="20"/>
                <w:b w:val="1"/>
                <w:bCs w:val="1"/>
                <w:color w:val="FFFFFF"/>
              </w:rPr>
              <w:t>September 30,</w:t>
            </w:r>
          </w:p>
        </w:tc>
      </w:tr>
      <w:tr>
        <w:trPr>
          <w:trHeight w:val="240"/>
        </w:trPr>
        <w:tc>
          <w:tcPr>
            <w:tcW w:w="5280" w:type="dxa"/>
            <w:vAlign w:val="bottom"/>
            <w:shd w:val="clear" w:color="auto" w:fill="007DC6"/>
          </w:tcPr>
          <w:p>
            <w:pPr>
              <w:spacing w:after="0"/>
              <w:rPr>
                <w:sz w:val="20"/>
                <w:szCs w:val="20"/>
                <w:color w:val="auto"/>
              </w:rPr>
            </w:pPr>
            <w:r>
              <w:rPr>
                <w:rFonts w:ascii="Arial" w:cs="Arial" w:eastAsia="Arial" w:hAnsi="Arial"/>
                <w:sz w:val="20"/>
                <w:szCs w:val="20"/>
                <w:b w:val="1"/>
                <w:bCs w:val="1"/>
                <w:color w:val="FFFFFF"/>
              </w:rPr>
              <w:t>(in millions)</w:t>
            </w:r>
          </w:p>
        </w:tc>
        <w:tc>
          <w:tcPr>
            <w:tcW w:w="340" w:type="dxa"/>
            <w:vAlign w:val="bottom"/>
            <w:shd w:val="clear" w:color="auto" w:fill="007DC6"/>
          </w:tcPr>
          <w:p>
            <w:pPr>
              <w:spacing w:after="0"/>
              <w:rPr>
                <w:sz w:val="20"/>
                <w:szCs w:val="20"/>
                <w:color w:val="auto"/>
              </w:rPr>
            </w:pPr>
          </w:p>
        </w:tc>
        <w:tc>
          <w:tcPr>
            <w:tcW w:w="1080" w:type="dxa"/>
            <w:vAlign w:val="bottom"/>
            <w:shd w:val="clear" w:color="auto" w:fill="007DC6"/>
          </w:tcPr>
          <w:p>
            <w:pPr>
              <w:jc w:val="right"/>
              <w:ind w:right="381"/>
              <w:spacing w:after="0"/>
              <w:rPr>
                <w:sz w:val="20"/>
                <w:szCs w:val="20"/>
                <w:color w:val="auto"/>
              </w:rPr>
            </w:pPr>
            <w:r>
              <w:rPr>
                <w:rFonts w:ascii="Arial" w:cs="Arial" w:eastAsia="Arial" w:hAnsi="Arial"/>
                <w:sz w:val="20"/>
                <w:szCs w:val="20"/>
                <w:b w:val="1"/>
                <w:bCs w:val="1"/>
                <w:color w:val="FFFFFF"/>
              </w:rPr>
              <w:t>2026</w:t>
            </w:r>
          </w:p>
        </w:tc>
        <w:tc>
          <w:tcPr>
            <w:tcW w:w="420" w:type="dxa"/>
            <w:vAlign w:val="bottom"/>
            <w:shd w:val="clear" w:color="auto" w:fill="007DC6"/>
          </w:tcPr>
          <w:p>
            <w:pPr>
              <w:spacing w:after="0"/>
              <w:rPr>
                <w:sz w:val="20"/>
                <w:szCs w:val="20"/>
                <w:color w:val="auto"/>
              </w:rPr>
            </w:pPr>
          </w:p>
        </w:tc>
        <w:tc>
          <w:tcPr>
            <w:tcW w:w="1000" w:type="dxa"/>
            <w:vAlign w:val="bottom"/>
            <w:shd w:val="clear" w:color="auto" w:fill="007DC6"/>
          </w:tcPr>
          <w:p>
            <w:pPr>
              <w:jc w:val="right"/>
              <w:ind w:right="381"/>
              <w:spacing w:after="0"/>
              <w:rPr>
                <w:sz w:val="20"/>
                <w:szCs w:val="20"/>
                <w:color w:val="auto"/>
              </w:rPr>
            </w:pPr>
            <w:r>
              <w:rPr>
                <w:rFonts w:ascii="Arial" w:cs="Arial" w:eastAsia="Arial" w:hAnsi="Arial"/>
                <w:sz w:val="20"/>
                <w:szCs w:val="20"/>
                <w:b w:val="1"/>
                <w:bCs w:val="1"/>
                <w:color w:val="FFFFFF"/>
              </w:rPr>
              <w:t>2025</w:t>
            </w:r>
          </w:p>
        </w:tc>
        <w:tc>
          <w:tcPr>
            <w:tcW w:w="360" w:type="dxa"/>
            <w:vAlign w:val="bottom"/>
            <w:shd w:val="clear" w:color="auto" w:fill="007DC6"/>
          </w:tcPr>
          <w:p>
            <w:pPr>
              <w:spacing w:after="0"/>
              <w:rPr>
                <w:sz w:val="20"/>
                <w:szCs w:val="20"/>
                <w:color w:val="auto"/>
              </w:rPr>
            </w:pPr>
          </w:p>
        </w:tc>
        <w:tc>
          <w:tcPr>
            <w:tcW w:w="1060" w:type="dxa"/>
            <w:vAlign w:val="bottom"/>
            <w:shd w:val="clear" w:color="auto" w:fill="007DC6"/>
          </w:tcPr>
          <w:p>
            <w:pPr>
              <w:jc w:val="right"/>
              <w:ind w:right="381"/>
              <w:spacing w:after="0"/>
              <w:rPr>
                <w:sz w:val="20"/>
                <w:szCs w:val="20"/>
                <w:color w:val="auto"/>
              </w:rPr>
            </w:pPr>
            <w:r>
              <w:rPr>
                <w:rFonts w:ascii="Arial" w:cs="Arial" w:eastAsia="Arial" w:hAnsi="Arial"/>
                <w:sz w:val="20"/>
                <w:szCs w:val="20"/>
                <w:b w:val="1"/>
                <w:bCs w:val="1"/>
                <w:color w:val="FFFFFF"/>
              </w:rPr>
              <w:t>2026</w:t>
            </w:r>
          </w:p>
        </w:tc>
        <w:tc>
          <w:tcPr>
            <w:tcW w:w="440" w:type="dxa"/>
            <w:vAlign w:val="bottom"/>
            <w:shd w:val="clear" w:color="auto" w:fill="007DC6"/>
          </w:tcPr>
          <w:p>
            <w:pPr>
              <w:spacing w:after="0"/>
              <w:rPr>
                <w:sz w:val="20"/>
                <w:szCs w:val="20"/>
                <w:color w:val="auto"/>
              </w:rPr>
            </w:pPr>
          </w:p>
        </w:tc>
        <w:tc>
          <w:tcPr>
            <w:tcW w:w="1260" w:type="dxa"/>
            <w:vAlign w:val="bottom"/>
            <w:shd w:val="clear" w:color="auto" w:fill="007DC6"/>
          </w:tcPr>
          <w:p>
            <w:pPr>
              <w:jc w:val="right"/>
              <w:ind w:right="541"/>
              <w:spacing w:after="0"/>
              <w:rPr>
                <w:sz w:val="20"/>
                <w:szCs w:val="20"/>
                <w:color w:val="auto"/>
              </w:rPr>
            </w:pPr>
            <w:r>
              <w:rPr>
                <w:rFonts w:ascii="Arial" w:cs="Arial" w:eastAsia="Arial" w:hAnsi="Arial"/>
                <w:sz w:val="20"/>
                <w:szCs w:val="20"/>
                <w:b w:val="1"/>
                <w:bCs w:val="1"/>
                <w:color w:val="FFFFFF"/>
              </w:rPr>
              <w:t>2025</w:t>
            </w:r>
          </w:p>
        </w:tc>
      </w:tr>
      <w:tr>
        <w:trPr>
          <w:trHeight w:val="216"/>
        </w:trPr>
        <w:tc>
          <w:tcPr>
            <w:tcW w:w="5280" w:type="dxa"/>
            <w:vAlign w:val="bottom"/>
          </w:tcPr>
          <w:p>
            <w:pPr>
              <w:spacing w:after="0" w:line="216" w:lineRule="exact"/>
              <w:rPr>
                <w:sz w:val="20"/>
                <w:szCs w:val="20"/>
                <w:color w:val="auto"/>
              </w:rPr>
            </w:pPr>
            <w:r>
              <w:rPr>
                <w:rFonts w:ascii="Arial" w:cs="Arial" w:eastAsia="Arial" w:hAnsi="Arial"/>
                <w:sz w:val="20"/>
                <w:szCs w:val="20"/>
                <w:color w:val="auto"/>
              </w:rPr>
              <w:t>Specialties gross profit</w:t>
            </w:r>
          </w:p>
        </w:tc>
        <w:tc>
          <w:tcPr>
            <w:tcW w:w="340" w:type="dxa"/>
            <w:vAlign w:val="bottom"/>
          </w:tcPr>
          <w:p>
            <w:pPr>
              <w:jc w:val="right"/>
              <w:ind w:right="1"/>
              <w:spacing w:after="0" w:line="216" w:lineRule="exact"/>
              <w:rPr>
                <w:sz w:val="20"/>
                <w:szCs w:val="20"/>
                <w:color w:val="auto"/>
              </w:rPr>
            </w:pPr>
            <w:r>
              <w:rPr>
                <w:rFonts w:ascii="Arial" w:cs="Arial" w:eastAsia="Arial" w:hAnsi="Arial"/>
                <w:sz w:val="20"/>
                <w:szCs w:val="20"/>
                <w:color w:val="auto"/>
              </w:rPr>
              <w:t>$</w:t>
            </w:r>
          </w:p>
        </w:tc>
        <w:tc>
          <w:tcPr>
            <w:tcW w:w="1080" w:type="dxa"/>
            <w:vAlign w:val="bottom"/>
          </w:tcPr>
          <w:p>
            <w:pPr>
              <w:jc w:val="right"/>
              <w:ind w:right="21"/>
              <w:spacing w:after="0" w:line="216" w:lineRule="exact"/>
              <w:rPr>
                <w:sz w:val="20"/>
                <w:szCs w:val="20"/>
                <w:color w:val="auto"/>
              </w:rPr>
            </w:pPr>
            <w:r>
              <w:rPr>
                <w:rFonts w:ascii="Arial" w:cs="Arial" w:eastAsia="Arial" w:hAnsi="Arial"/>
                <w:sz w:val="20"/>
                <w:szCs w:val="20"/>
                <w:color w:val="auto"/>
              </w:rPr>
              <w:t>88</w:t>
            </w:r>
          </w:p>
        </w:tc>
        <w:tc>
          <w:tcPr>
            <w:tcW w:w="420" w:type="dxa"/>
            <w:vAlign w:val="bottom"/>
          </w:tcPr>
          <w:p>
            <w:pPr>
              <w:jc w:val="right"/>
              <w:ind w:right="81"/>
              <w:spacing w:after="0" w:line="216" w:lineRule="exact"/>
              <w:rPr>
                <w:sz w:val="20"/>
                <w:szCs w:val="20"/>
                <w:color w:val="auto"/>
              </w:rPr>
            </w:pPr>
            <w:r>
              <w:rPr>
                <w:rFonts w:ascii="Arial" w:cs="Arial" w:eastAsia="Arial" w:hAnsi="Arial"/>
                <w:sz w:val="20"/>
                <w:szCs w:val="20"/>
                <w:color w:val="auto"/>
              </w:rPr>
              <w:t>$</w:t>
            </w:r>
          </w:p>
        </w:tc>
        <w:tc>
          <w:tcPr>
            <w:tcW w:w="1000" w:type="dxa"/>
            <w:vAlign w:val="bottom"/>
          </w:tcPr>
          <w:p>
            <w:pPr>
              <w:jc w:val="right"/>
              <w:ind w:right="21"/>
              <w:spacing w:after="0" w:line="216" w:lineRule="exact"/>
              <w:rPr>
                <w:sz w:val="20"/>
                <w:szCs w:val="20"/>
                <w:color w:val="auto"/>
              </w:rPr>
            </w:pPr>
            <w:r>
              <w:rPr>
                <w:rFonts w:ascii="Arial" w:cs="Arial" w:eastAsia="Arial" w:hAnsi="Arial"/>
                <w:sz w:val="20"/>
                <w:szCs w:val="20"/>
                <w:color w:val="auto"/>
              </w:rPr>
              <w:t>34</w:t>
            </w:r>
          </w:p>
        </w:tc>
        <w:tc>
          <w:tcPr>
            <w:tcW w:w="360" w:type="dxa"/>
            <w:vAlign w:val="bottom"/>
          </w:tcPr>
          <w:p>
            <w:pPr>
              <w:jc w:val="right"/>
              <w:ind w:right="21"/>
              <w:spacing w:after="0" w:line="216" w:lineRule="exact"/>
              <w:rPr>
                <w:sz w:val="20"/>
                <w:szCs w:val="20"/>
                <w:color w:val="auto"/>
              </w:rPr>
            </w:pPr>
            <w:r>
              <w:rPr>
                <w:rFonts w:ascii="Arial" w:cs="Arial" w:eastAsia="Arial" w:hAnsi="Arial"/>
                <w:sz w:val="20"/>
                <w:szCs w:val="20"/>
                <w:color w:val="auto"/>
              </w:rPr>
              <w:t>$</w:t>
            </w:r>
          </w:p>
        </w:tc>
        <w:tc>
          <w:tcPr>
            <w:tcW w:w="1060" w:type="dxa"/>
            <w:vAlign w:val="bottom"/>
          </w:tcPr>
          <w:p>
            <w:pPr>
              <w:jc w:val="right"/>
              <w:ind w:right="21"/>
              <w:spacing w:after="0" w:line="216" w:lineRule="exact"/>
              <w:rPr>
                <w:sz w:val="20"/>
                <w:szCs w:val="20"/>
                <w:color w:val="auto"/>
              </w:rPr>
            </w:pPr>
            <w:r>
              <w:rPr>
                <w:rFonts w:ascii="Arial" w:cs="Arial" w:eastAsia="Arial" w:hAnsi="Arial"/>
                <w:sz w:val="20"/>
                <w:szCs w:val="20"/>
                <w:color w:val="auto"/>
              </w:rPr>
              <w:t>182</w:t>
            </w:r>
          </w:p>
        </w:tc>
        <w:tc>
          <w:tcPr>
            <w:tcW w:w="440" w:type="dxa"/>
            <w:vAlign w:val="bottom"/>
          </w:tcPr>
          <w:p>
            <w:pPr>
              <w:jc w:val="right"/>
              <w:ind w:right="101"/>
              <w:spacing w:after="0" w:line="216" w:lineRule="exact"/>
              <w:rPr>
                <w:sz w:val="20"/>
                <w:szCs w:val="20"/>
                <w:color w:val="auto"/>
              </w:rPr>
            </w:pPr>
            <w:r>
              <w:rPr>
                <w:rFonts w:ascii="Arial" w:cs="Arial" w:eastAsia="Arial" w:hAnsi="Arial"/>
                <w:sz w:val="20"/>
                <w:szCs w:val="20"/>
                <w:color w:val="auto"/>
              </w:rPr>
              <w:t>$</w:t>
            </w:r>
          </w:p>
        </w:tc>
        <w:tc>
          <w:tcPr>
            <w:tcW w:w="1260" w:type="dxa"/>
            <w:vAlign w:val="bottom"/>
          </w:tcPr>
          <w:p>
            <w:pPr>
              <w:jc w:val="right"/>
              <w:ind w:right="21"/>
              <w:spacing w:after="0" w:line="216" w:lineRule="exact"/>
              <w:rPr>
                <w:sz w:val="20"/>
                <w:szCs w:val="20"/>
                <w:color w:val="auto"/>
              </w:rPr>
            </w:pPr>
            <w:r>
              <w:rPr>
                <w:rFonts w:ascii="Arial" w:cs="Arial" w:eastAsia="Arial" w:hAnsi="Arial"/>
                <w:sz w:val="20"/>
                <w:szCs w:val="20"/>
                <w:color w:val="auto"/>
              </w:rPr>
              <w:t>108</w:t>
            </w:r>
          </w:p>
        </w:tc>
      </w:tr>
      <w:tr>
        <w:trPr>
          <w:trHeight w:val="216"/>
        </w:trPr>
        <w:tc>
          <w:tcPr>
            <w:tcW w:w="528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Add back:</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194"/>
        </w:trPr>
        <w:tc>
          <w:tcPr>
            <w:tcW w:w="5280" w:type="dxa"/>
            <w:vAlign w:val="bottom"/>
          </w:tcPr>
          <w:p>
            <w:pPr>
              <w:ind w:left="100"/>
              <w:spacing w:after="0" w:line="194" w:lineRule="exact"/>
              <w:rPr>
                <w:sz w:val="20"/>
                <w:szCs w:val="20"/>
                <w:color w:val="auto"/>
              </w:rPr>
            </w:pPr>
            <w:r>
              <w:rPr>
                <w:rFonts w:ascii="Arial" w:cs="Arial" w:eastAsia="Arial" w:hAnsi="Arial"/>
                <w:sz w:val="20"/>
                <w:szCs w:val="20"/>
                <w:color w:val="auto"/>
              </w:rPr>
              <w:t>Specialties depreciation, depletion and amortization</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8"/>
        </w:trPr>
        <w:tc>
          <w:tcPr>
            <w:tcW w:w="5280" w:type="dxa"/>
            <w:vAlign w:val="bottom"/>
          </w:tcPr>
          <w:p>
            <w:pPr>
              <w:ind w:left="100"/>
              <w:spacing w:after="0"/>
              <w:rPr>
                <w:sz w:val="20"/>
                <w:szCs w:val="20"/>
                <w:color w:val="auto"/>
              </w:rPr>
            </w:pPr>
            <w:r>
              <w:rPr>
                <w:rFonts w:ascii="Arial" w:cs="Arial" w:eastAsia="Arial" w:hAnsi="Arial"/>
                <w:sz w:val="20"/>
                <w:szCs w:val="20"/>
                <w:color w:val="auto"/>
              </w:rPr>
              <w:t>expense</w:t>
            </w:r>
          </w:p>
        </w:tc>
        <w:tc>
          <w:tcPr>
            <w:tcW w:w="34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20"/>
                <w:szCs w:val="20"/>
                <w:color w:val="auto"/>
              </w:rPr>
              <w:t>37</w:t>
            </w:r>
          </w:p>
        </w:tc>
        <w:tc>
          <w:tcPr>
            <w:tcW w:w="420" w:type="dxa"/>
            <w:vAlign w:val="bottom"/>
          </w:tcPr>
          <w:p>
            <w:pPr>
              <w:spacing w:after="0"/>
              <w:rPr>
                <w:sz w:val="20"/>
                <w:szCs w:val="20"/>
                <w:color w:val="auto"/>
              </w:rPr>
            </w:pPr>
          </w:p>
        </w:tc>
        <w:tc>
          <w:tcPr>
            <w:tcW w:w="1000" w:type="dxa"/>
            <w:vAlign w:val="bottom"/>
          </w:tcPr>
          <w:p>
            <w:pPr>
              <w:jc w:val="right"/>
              <w:ind w:right="21"/>
              <w:spacing w:after="0"/>
              <w:rPr>
                <w:sz w:val="20"/>
                <w:szCs w:val="20"/>
                <w:color w:val="auto"/>
              </w:rPr>
            </w:pPr>
            <w:r>
              <w:rPr>
                <w:rFonts w:ascii="Arial" w:cs="Arial" w:eastAsia="Arial" w:hAnsi="Arial"/>
                <w:sz w:val="20"/>
                <w:szCs w:val="20"/>
                <w:color w:val="auto"/>
              </w:rPr>
              <w:t>8</w:t>
            </w:r>
          </w:p>
        </w:tc>
        <w:tc>
          <w:tcPr>
            <w:tcW w:w="36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59</w:t>
            </w:r>
          </w:p>
        </w:tc>
        <w:tc>
          <w:tcPr>
            <w:tcW w:w="440" w:type="dxa"/>
            <w:vAlign w:val="bottom"/>
          </w:tcPr>
          <w:p>
            <w:pPr>
              <w:spacing w:after="0"/>
              <w:rPr>
                <w:sz w:val="20"/>
                <w:szCs w:val="20"/>
                <w:color w:val="auto"/>
              </w:rPr>
            </w:pPr>
          </w:p>
        </w:tc>
        <w:tc>
          <w:tcPr>
            <w:tcW w:w="1260" w:type="dxa"/>
            <w:vAlign w:val="bottom"/>
          </w:tcPr>
          <w:p>
            <w:pPr>
              <w:jc w:val="right"/>
              <w:ind w:right="21"/>
              <w:spacing w:after="0"/>
              <w:rPr>
                <w:sz w:val="20"/>
                <w:szCs w:val="20"/>
                <w:color w:val="auto"/>
              </w:rPr>
            </w:pPr>
            <w:r>
              <w:rPr>
                <w:rFonts w:ascii="Arial" w:cs="Arial" w:eastAsia="Arial" w:hAnsi="Arial"/>
                <w:sz w:val="20"/>
                <w:szCs w:val="20"/>
                <w:color w:val="auto"/>
              </w:rPr>
              <w:t>18</w:t>
            </w:r>
          </w:p>
        </w:tc>
      </w:tr>
      <w:tr>
        <w:trPr>
          <w:trHeight w:val="194"/>
        </w:trPr>
        <w:tc>
          <w:tcPr>
            <w:tcW w:w="5280" w:type="dxa"/>
            <w:vAlign w:val="bottom"/>
            <w:shd w:val="clear" w:color="auto" w:fill="CFF0FC"/>
          </w:tcPr>
          <w:p>
            <w:pPr>
              <w:ind w:left="100"/>
              <w:spacing w:after="0" w:line="194" w:lineRule="exact"/>
              <w:rPr>
                <w:sz w:val="20"/>
                <w:szCs w:val="20"/>
                <w:color w:val="auto"/>
              </w:rPr>
            </w:pPr>
            <w:r>
              <w:rPr>
                <w:rFonts w:ascii="Arial" w:cs="Arial" w:eastAsia="Arial" w:hAnsi="Arial"/>
                <w:sz w:val="20"/>
                <w:szCs w:val="20"/>
                <w:color w:val="auto"/>
              </w:rPr>
              <w:t>Specialties impact of selling acquired inventory after</w:t>
            </w:r>
          </w:p>
        </w:tc>
        <w:tc>
          <w:tcPr>
            <w:tcW w:w="34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r>
      <w:tr>
        <w:trPr>
          <w:trHeight w:val="238"/>
        </w:trPr>
        <w:tc>
          <w:tcPr>
            <w:tcW w:w="5280" w:type="dxa"/>
            <w:vAlign w:val="bottom"/>
            <w:tcBorders>
              <w:bottom w:val="single" w:sz="8" w:color="auto"/>
            </w:tcBorders>
            <w:shd w:val="clear" w:color="auto" w:fill="CFF0FC"/>
          </w:tcPr>
          <w:p>
            <w:pPr>
              <w:ind w:left="100"/>
              <w:spacing w:after="0"/>
              <w:rPr>
                <w:sz w:val="20"/>
                <w:szCs w:val="20"/>
                <w:color w:val="auto"/>
              </w:rPr>
            </w:pPr>
            <w:r>
              <w:rPr>
                <w:rFonts w:ascii="Arial" w:cs="Arial" w:eastAsia="Arial" w:hAnsi="Arial"/>
                <w:sz w:val="20"/>
                <w:szCs w:val="20"/>
                <w:color w:val="auto"/>
              </w:rPr>
              <w:t>markup to fair value as part of acquisition accounting</w:t>
            </w:r>
          </w:p>
        </w:tc>
        <w:tc>
          <w:tcPr>
            <w:tcW w:w="34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20"/>
                <w:szCs w:val="20"/>
                <w:color w:val="auto"/>
              </w:rPr>
              <w:t>38</w:t>
            </w:r>
          </w:p>
        </w:tc>
        <w:tc>
          <w:tcPr>
            <w:tcW w:w="42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20"/>
                <w:szCs w:val="20"/>
                <w:color w:val="auto"/>
              </w:rPr>
              <w:t>5</w:t>
            </w:r>
          </w:p>
        </w:tc>
        <w:tc>
          <w:tcPr>
            <w:tcW w:w="36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20"/>
                <w:szCs w:val="20"/>
                <w:color w:val="auto"/>
              </w:rPr>
              <w:t>38</w:t>
            </w:r>
          </w:p>
        </w:tc>
        <w:tc>
          <w:tcPr>
            <w:tcW w:w="44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20"/>
                <w:szCs w:val="20"/>
                <w:color w:val="auto"/>
              </w:rPr>
              <w:t>5</w:t>
            </w:r>
          </w:p>
        </w:tc>
      </w:tr>
      <w:tr>
        <w:trPr>
          <w:trHeight w:val="210"/>
        </w:trPr>
        <w:tc>
          <w:tcPr>
            <w:tcW w:w="5280" w:type="dxa"/>
            <w:vAlign w:val="bottom"/>
            <w:tcBorders>
              <w:bottom w:val="single" w:sz="8" w:color="auto"/>
            </w:tcBorders>
          </w:tcPr>
          <w:p>
            <w:pPr>
              <w:spacing w:after="0" w:line="209" w:lineRule="exact"/>
              <w:rPr>
                <w:sz w:val="20"/>
                <w:szCs w:val="20"/>
                <w:color w:val="auto"/>
              </w:rPr>
            </w:pPr>
            <w:r>
              <w:rPr>
                <w:rFonts w:ascii="Arial" w:cs="Arial" w:eastAsia="Arial" w:hAnsi="Arial"/>
                <w:sz w:val="20"/>
                <w:szCs w:val="20"/>
                <w:color w:val="auto"/>
              </w:rPr>
              <w:t>Specialties cash gross profit</w:t>
            </w:r>
          </w:p>
        </w:tc>
        <w:tc>
          <w:tcPr>
            <w:tcW w:w="340" w:type="dxa"/>
            <w:vAlign w:val="bottom"/>
            <w:tcBorders>
              <w:bottom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w:t>
            </w:r>
          </w:p>
        </w:tc>
        <w:tc>
          <w:tcPr>
            <w:tcW w:w="1080" w:type="dxa"/>
            <w:vAlign w:val="bottom"/>
            <w:tcBorders>
              <w:bottom w:val="single" w:sz="8" w:color="auto"/>
            </w:tcBorders>
          </w:tcPr>
          <w:p>
            <w:pPr>
              <w:jc w:val="right"/>
              <w:ind w:right="21"/>
              <w:spacing w:after="0" w:line="209" w:lineRule="exact"/>
              <w:rPr>
                <w:sz w:val="20"/>
                <w:szCs w:val="20"/>
                <w:color w:val="auto"/>
              </w:rPr>
            </w:pPr>
            <w:r>
              <w:rPr>
                <w:rFonts w:ascii="Arial" w:cs="Arial" w:eastAsia="Arial" w:hAnsi="Arial"/>
                <w:sz w:val="20"/>
                <w:szCs w:val="20"/>
                <w:color w:val="auto"/>
              </w:rPr>
              <w:t>163</w:t>
            </w:r>
          </w:p>
        </w:tc>
        <w:tc>
          <w:tcPr>
            <w:tcW w:w="420" w:type="dxa"/>
            <w:vAlign w:val="bottom"/>
            <w:tcBorders>
              <w:bottom w:val="single" w:sz="8" w:color="auto"/>
            </w:tcBorders>
          </w:tcPr>
          <w:p>
            <w:pPr>
              <w:jc w:val="right"/>
              <w:ind w:right="81"/>
              <w:spacing w:after="0" w:line="209" w:lineRule="exact"/>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tcPr>
          <w:p>
            <w:pPr>
              <w:jc w:val="right"/>
              <w:ind w:right="21"/>
              <w:spacing w:after="0" w:line="209" w:lineRule="exact"/>
              <w:rPr>
                <w:sz w:val="20"/>
                <w:szCs w:val="20"/>
                <w:color w:val="auto"/>
              </w:rPr>
            </w:pPr>
            <w:r>
              <w:rPr>
                <w:rFonts w:ascii="Arial" w:cs="Arial" w:eastAsia="Arial" w:hAnsi="Arial"/>
                <w:sz w:val="20"/>
                <w:szCs w:val="20"/>
                <w:color w:val="auto"/>
              </w:rPr>
              <w:t>47</w:t>
            </w:r>
          </w:p>
        </w:tc>
        <w:tc>
          <w:tcPr>
            <w:tcW w:w="360" w:type="dxa"/>
            <w:vAlign w:val="bottom"/>
            <w:tcBorders>
              <w:bottom w:val="single" w:sz="8" w:color="auto"/>
            </w:tcBorders>
          </w:tcPr>
          <w:p>
            <w:pPr>
              <w:jc w:val="right"/>
              <w:ind w:right="21"/>
              <w:spacing w:after="0" w:line="209" w:lineRule="exact"/>
              <w:rPr>
                <w:sz w:val="20"/>
                <w:szCs w:val="20"/>
                <w:color w:val="auto"/>
              </w:rPr>
            </w:pPr>
            <w:r>
              <w:rPr>
                <w:rFonts w:ascii="Arial" w:cs="Arial" w:eastAsia="Arial" w:hAnsi="Arial"/>
                <w:sz w:val="20"/>
                <w:szCs w:val="20"/>
                <w:color w:val="auto"/>
              </w:rPr>
              <w:t>$</w:t>
            </w:r>
          </w:p>
        </w:tc>
        <w:tc>
          <w:tcPr>
            <w:tcW w:w="1060" w:type="dxa"/>
            <w:vAlign w:val="bottom"/>
            <w:tcBorders>
              <w:bottom w:val="single" w:sz="8" w:color="auto"/>
            </w:tcBorders>
          </w:tcPr>
          <w:p>
            <w:pPr>
              <w:jc w:val="right"/>
              <w:ind w:right="21"/>
              <w:spacing w:after="0" w:line="209" w:lineRule="exact"/>
              <w:rPr>
                <w:sz w:val="20"/>
                <w:szCs w:val="20"/>
                <w:color w:val="auto"/>
              </w:rPr>
            </w:pPr>
            <w:r>
              <w:rPr>
                <w:rFonts w:ascii="Arial" w:cs="Arial" w:eastAsia="Arial" w:hAnsi="Arial"/>
                <w:sz w:val="20"/>
                <w:szCs w:val="20"/>
                <w:color w:val="auto"/>
              </w:rPr>
              <w:t>279</w:t>
            </w:r>
          </w:p>
        </w:tc>
        <w:tc>
          <w:tcPr>
            <w:tcW w:w="440" w:type="dxa"/>
            <w:vAlign w:val="bottom"/>
            <w:tcBorders>
              <w:bottom w:val="single" w:sz="8" w:color="auto"/>
            </w:tcBorders>
          </w:tcPr>
          <w:p>
            <w:pPr>
              <w:jc w:val="right"/>
              <w:ind w:right="101"/>
              <w:spacing w:after="0" w:line="209" w:lineRule="exact"/>
              <w:rPr>
                <w:sz w:val="20"/>
                <w:szCs w:val="20"/>
                <w:color w:val="auto"/>
              </w:rPr>
            </w:pPr>
            <w:r>
              <w:rPr>
                <w:rFonts w:ascii="Arial" w:cs="Arial" w:eastAsia="Arial" w:hAnsi="Arial"/>
                <w:sz w:val="20"/>
                <w:szCs w:val="20"/>
                <w:color w:val="auto"/>
              </w:rPr>
              <w:t>$</w:t>
            </w:r>
          </w:p>
        </w:tc>
        <w:tc>
          <w:tcPr>
            <w:tcW w:w="1260" w:type="dxa"/>
            <w:vAlign w:val="bottom"/>
            <w:tcBorders>
              <w:bottom w:val="single" w:sz="8" w:color="auto"/>
            </w:tcBorders>
          </w:tcPr>
          <w:p>
            <w:pPr>
              <w:jc w:val="right"/>
              <w:ind w:right="21"/>
              <w:spacing w:after="0" w:line="209" w:lineRule="exact"/>
              <w:rPr>
                <w:sz w:val="20"/>
                <w:szCs w:val="20"/>
                <w:color w:val="auto"/>
              </w:rPr>
            </w:pPr>
            <w:r>
              <w:rPr>
                <w:rFonts w:ascii="Arial" w:cs="Arial" w:eastAsia="Arial" w:hAnsi="Arial"/>
                <w:sz w:val="20"/>
                <w:szCs w:val="20"/>
                <w:color w:val="auto"/>
              </w:rPr>
              <w:t>131</w:t>
            </w:r>
          </w:p>
        </w:tc>
      </w:tr>
      <w:tr>
        <w:trPr>
          <w:trHeight w:val="20"/>
        </w:trPr>
        <w:tc>
          <w:tcPr>
            <w:tcW w:w="5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-3256915</wp:posOffset>
            </wp:positionV>
            <wp:extent cx="3703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70332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-1139190</wp:posOffset>
            </wp:positionV>
            <wp:extent cx="3703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21" w:name="page22"/>
    <w:bookmarkEnd w:id="21"/>
    <w:p>
      <w:pPr>
        <w:spacing w:after="0"/>
        <w:rPr>
          <w:sz w:val="20"/>
          <w:szCs w:val="20"/>
          <w:color w:val="auto"/>
        </w:rPr>
      </w:pPr>
      <w:r>
        <w:rPr>
          <w:rFonts w:ascii="Arial" w:cs="Arial" w:eastAsia="Arial" w:hAnsi="Arial"/>
          <w:sz w:val="22"/>
          <w:szCs w:val="22"/>
          <w:color w:val="auto"/>
        </w:rPr>
        <w:t>Appendix</w:t>
      </w:r>
    </w:p>
    <w:p>
      <w:pPr>
        <w:spacing w:after="0" w:line="200" w:lineRule="exact"/>
        <w:rPr>
          <w:sz w:val="20"/>
          <w:szCs w:val="20"/>
          <w:color w:val="auto"/>
        </w:rPr>
      </w:pPr>
    </w:p>
    <w:p>
      <w:pPr>
        <w:spacing w:after="0" w:line="225" w:lineRule="exact"/>
        <w:rPr>
          <w:sz w:val="20"/>
          <w:szCs w:val="20"/>
          <w:color w:val="auto"/>
        </w:rPr>
      </w:pPr>
    </w:p>
    <w:p>
      <w:pPr>
        <w:ind w:left="3840"/>
        <w:spacing w:after="0"/>
        <w:rPr>
          <w:sz w:val="20"/>
          <w:szCs w:val="20"/>
          <w:color w:val="auto"/>
        </w:rPr>
      </w:pPr>
      <w:r>
        <w:rPr>
          <w:rFonts w:ascii="Arial" w:cs="Arial" w:eastAsia="Arial" w:hAnsi="Arial"/>
          <w:sz w:val="20"/>
          <w:szCs w:val="20"/>
          <w:b w:val="1"/>
          <w:bCs w:val="1"/>
          <w:color w:val="auto"/>
        </w:rPr>
        <w:t>MARTIN MARIETTA MATERIALS, INC.</w:t>
      </w:r>
    </w:p>
    <w:p>
      <w:pPr>
        <w:spacing w:after="0" w:line="6" w:lineRule="exact"/>
        <w:rPr>
          <w:sz w:val="20"/>
          <w:szCs w:val="20"/>
          <w:color w:val="auto"/>
        </w:rPr>
      </w:pPr>
    </w:p>
    <w:p>
      <w:pPr>
        <w:ind w:left="4140"/>
        <w:spacing w:after="0"/>
        <w:rPr>
          <w:sz w:val="20"/>
          <w:szCs w:val="20"/>
          <w:color w:val="auto"/>
        </w:rPr>
      </w:pPr>
      <w:r>
        <w:rPr>
          <w:rFonts w:ascii="Arial" w:cs="Arial" w:eastAsia="Arial" w:hAnsi="Arial"/>
          <w:sz w:val="20"/>
          <w:szCs w:val="20"/>
          <w:b w:val="1"/>
          <w:bCs w:val="1"/>
          <w:color w:val="auto"/>
        </w:rPr>
        <w:t>Non-GAAP Financial Measures</w:t>
      </w:r>
    </w:p>
    <w:p>
      <w:pPr>
        <w:spacing w:after="0" w:line="184"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LNA cash gross profit for the period August 21, 2026, through September 30, 2026, is a non-GAAP financial measure presented to enable the Company and investors to evaluate LNA's contribution to Specialties operating performance and enhance comparability of Specialties cash gross profit with and without LNA. The Company calculates LNA cash gross profit by adding back to LNA gross profit noncash charges for depreciation, depletion and amortization and the impact of selling acquired inventory after markup to fair value as part of acquisition accounting.</w:t>
      </w:r>
    </w:p>
    <w:p>
      <w:pPr>
        <w:spacing w:after="0" w:line="17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LNA cash gross profit is not defined by accounting principles generally accepted in the United States (GAAP) and, as such, should not be construed as an alternative to gross profit, the most directly comparable GAAP financial measure. See the accompanying reconciliation of LNA cash gross profit to LNA gross profit below.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8360" w:type="dxa"/>
            <w:vAlign w:val="bottom"/>
          </w:tcPr>
          <w:p>
            <w:pPr>
              <w:spacing w:after="0"/>
              <w:rPr>
                <w:sz w:val="20"/>
                <w:szCs w:val="20"/>
                <w:color w:val="auto"/>
              </w:rPr>
            </w:pPr>
            <w:r>
              <w:rPr>
                <w:rFonts w:ascii="Arial" w:cs="Arial" w:eastAsia="Arial" w:hAnsi="Arial"/>
                <w:sz w:val="20"/>
                <w:szCs w:val="20"/>
                <w:b w:val="1"/>
                <w:bCs w:val="1"/>
                <w:color w:val="auto"/>
              </w:rPr>
              <w:t>Reconciliation of LNA Gross Profit to LNA Cash Gross Profit</w:t>
            </w:r>
          </w:p>
        </w:tc>
        <w:tc>
          <w:tcPr>
            <w:tcW w:w="340" w:type="dxa"/>
            <w:vAlign w:val="bottom"/>
          </w:tcPr>
          <w:p>
            <w:pPr>
              <w:spacing w:after="0"/>
              <w:rPr>
                <w:sz w:val="23"/>
                <w:szCs w:val="23"/>
                <w:color w:val="auto"/>
              </w:rPr>
            </w:pPr>
          </w:p>
        </w:tc>
        <w:tc>
          <w:tcPr>
            <w:tcW w:w="2540" w:type="dxa"/>
            <w:vAlign w:val="bottom"/>
          </w:tcPr>
          <w:p>
            <w:pPr>
              <w:spacing w:after="0"/>
              <w:rPr>
                <w:sz w:val="23"/>
                <w:szCs w:val="23"/>
                <w:color w:val="auto"/>
              </w:rPr>
            </w:pPr>
          </w:p>
        </w:tc>
      </w:tr>
      <w:tr>
        <w:trPr>
          <w:trHeight w:val="74"/>
        </w:trPr>
        <w:tc>
          <w:tcPr>
            <w:tcW w:w="8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540" w:type="dxa"/>
            <w:vAlign w:val="bottom"/>
          </w:tcPr>
          <w:p>
            <w:pPr>
              <w:spacing w:after="0"/>
              <w:rPr>
                <w:sz w:val="6"/>
                <w:szCs w:val="6"/>
                <w:color w:val="auto"/>
              </w:rPr>
            </w:pPr>
          </w:p>
        </w:tc>
      </w:tr>
      <w:tr>
        <w:trPr>
          <w:trHeight w:val="192"/>
        </w:trPr>
        <w:tc>
          <w:tcPr>
            <w:tcW w:w="8360" w:type="dxa"/>
            <w:vAlign w:val="bottom"/>
            <w:shd w:val="clear" w:color="auto" w:fill="007DC6"/>
          </w:tcPr>
          <w:p>
            <w:pPr>
              <w:spacing w:after="0"/>
              <w:rPr>
                <w:sz w:val="16"/>
                <w:szCs w:val="16"/>
                <w:color w:val="auto"/>
              </w:rPr>
            </w:pPr>
          </w:p>
        </w:tc>
        <w:tc>
          <w:tcPr>
            <w:tcW w:w="340" w:type="dxa"/>
            <w:vAlign w:val="bottom"/>
            <w:shd w:val="clear" w:color="auto" w:fill="007DC6"/>
          </w:tcPr>
          <w:p>
            <w:pPr>
              <w:spacing w:after="0"/>
              <w:rPr>
                <w:sz w:val="16"/>
                <w:szCs w:val="16"/>
                <w:color w:val="auto"/>
              </w:rPr>
            </w:pPr>
          </w:p>
        </w:tc>
        <w:tc>
          <w:tcPr>
            <w:tcW w:w="2540" w:type="dxa"/>
            <w:vAlign w:val="bottom"/>
            <w:shd w:val="clear" w:color="auto" w:fill="007DC6"/>
          </w:tcPr>
          <w:p>
            <w:pPr>
              <w:jc w:val="center"/>
              <w:ind w:right="181"/>
              <w:spacing w:after="0" w:line="192" w:lineRule="exact"/>
              <w:rPr>
                <w:sz w:val="20"/>
                <w:szCs w:val="20"/>
                <w:color w:val="auto"/>
              </w:rPr>
            </w:pPr>
            <w:r>
              <w:rPr>
                <w:rFonts w:ascii="Arial" w:cs="Arial" w:eastAsia="Arial" w:hAnsi="Arial"/>
                <w:sz w:val="20"/>
                <w:szCs w:val="20"/>
                <w:b w:val="1"/>
                <w:bCs w:val="1"/>
                <w:color w:val="FFFFFF"/>
                <w:w w:val="99"/>
              </w:rPr>
              <w:t>Period from August 21,</w:t>
            </w:r>
          </w:p>
        </w:tc>
      </w:tr>
      <w:tr>
        <w:trPr>
          <w:trHeight w:val="230"/>
        </w:trPr>
        <w:tc>
          <w:tcPr>
            <w:tcW w:w="8360" w:type="dxa"/>
            <w:vAlign w:val="bottom"/>
            <w:shd w:val="clear" w:color="auto" w:fill="007DC6"/>
          </w:tcPr>
          <w:p>
            <w:pPr>
              <w:spacing w:after="0"/>
              <w:rPr>
                <w:sz w:val="19"/>
                <w:szCs w:val="19"/>
                <w:color w:val="auto"/>
              </w:rPr>
            </w:pPr>
          </w:p>
        </w:tc>
        <w:tc>
          <w:tcPr>
            <w:tcW w:w="340" w:type="dxa"/>
            <w:vAlign w:val="bottom"/>
            <w:shd w:val="clear" w:color="auto" w:fill="007DC6"/>
          </w:tcPr>
          <w:p>
            <w:pPr>
              <w:spacing w:after="0"/>
              <w:rPr>
                <w:sz w:val="19"/>
                <w:szCs w:val="19"/>
                <w:color w:val="auto"/>
              </w:rPr>
            </w:pPr>
          </w:p>
        </w:tc>
        <w:tc>
          <w:tcPr>
            <w:tcW w:w="2540" w:type="dxa"/>
            <w:vAlign w:val="bottom"/>
            <w:shd w:val="clear" w:color="auto" w:fill="007DC6"/>
          </w:tcPr>
          <w:p>
            <w:pPr>
              <w:jc w:val="center"/>
              <w:ind w:right="161"/>
              <w:spacing w:after="0"/>
              <w:rPr>
                <w:sz w:val="20"/>
                <w:szCs w:val="20"/>
                <w:color w:val="auto"/>
              </w:rPr>
            </w:pPr>
            <w:r>
              <w:rPr>
                <w:rFonts w:ascii="Arial" w:cs="Arial" w:eastAsia="Arial" w:hAnsi="Arial"/>
                <w:sz w:val="20"/>
                <w:szCs w:val="20"/>
                <w:b w:val="1"/>
                <w:bCs w:val="1"/>
                <w:color w:val="FFFFFF"/>
                <w:w w:val="99"/>
              </w:rPr>
              <w:t>to September 30,</w:t>
            </w:r>
          </w:p>
        </w:tc>
      </w:tr>
      <w:tr>
        <w:trPr>
          <w:trHeight w:val="240"/>
        </w:trPr>
        <w:tc>
          <w:tcPr>
            <w:tcW w:w="8360" w:type="dxa"/>
            <w:vAlign w:val="bottom"/>
            <w:shd w:val="clear" w:color="auto" w:fill="007DC6"/>
          </w:tcPr>
          <w:p>
            <w:pPr>
              <w:spacing w:after="0"/>
              <w:rPr>
                <w:sz w:val="20"/>
                <w:szCs w:val="20"/>
                <w:color w:val="auto"/>
              </w:rPr>
            </w:pPr>
            <w:r>
              <w:rPr>
                <w:rFonts w:ascii="Arial" w:cs="Arial" w:eastAsia="Arial" w:hAnsi="Arial"/>
                <w:sz w:val="20"/>
                <w:szCs w:val="20"/>
                <w:b w:val="1"/>
                <w:bCs w:val="1"/>
                <w:color w:val="FFFFFF"/>
              </w:rPr>
              <w:t>(in millions)</w:t>
            </w:r>
          </w:p>
        </w:tc>
        <w:tc>
          <w:tcPr>
            <w:tcW w:w="340" w:type="dxa"/>
            <w:vAlign w:val="bottom"/>
            <w:shd w:val="clear" w:color="auto" w:fill="007DC6"/>
          </w:tcPr>
          <w:p>
            <w:pPr>
              <w:spacing w:after="0"/>
              <w:rPr>
                <w:sz w:val="20"/>
                <w:szCs w:val="20"/>
                <w:color w:val="auto"/>
              </w:rPr>
            </w:pPr>
          </w:p>
        </w:tc>
        <w:tc>
          <w:tcPr>
            <w:tcW w:w="2540" w:type="dxa"/>
            <w:vAlign w:val="bottom"/>
            <w:shd w:val="clear" w:color="auto" w:fill="007DC6"/>
          </w:tcPr>
          <w:p>
            <w:pPr>
              <w:jc w:val="center"/>
              <w:ind w:right="161"/>
              <w:spacing w:after="0"/>
              <w:rPr>
                <w:sz w:val="20"/>
                <w:szCs w:val="20"/>
                <w:color w:val="auto"/>
              </w:rPr>
            </w:pPr>
            <w:r>
              <w:rPr>
                <w:rFonts w:ascii="Arial" w:cs="Arial" w:eastAsia="Arial" w:hAnsi="Arial"/>
                <w:sz w:val="20"/>
                <w:szCs w:val="20"/>
                <w:b w:val="1"/>
                <w:bCs w:val="1"/>
                <w:color w:val="FFFFFF"/>
                <w:w w:val="98"/>
              </w:rPr>
              <w:t>2026</w:t>
            </w:r>
          </w:p>
        </w:tc>
      </w:tr>
      <w:tr>
        <w:trPr>
          <w:trHeight w:val="216"/>
        </w:trPr>
        <w:tc>
          <w:tcPr>
            <w:tcW w:w="8360" w:type="dxa"/>
            <w:vAlign w:val="bottom"/>
            <w:shd w:val="clear" w:color="auto" w:fill="CFF0FC"/>
          </w:tcPr>
          <w:p>
            <w:pPr>
              <w:spacing w:after="0" w:line="216" w:lineRule="exact"/>
              <w:rPr>
                <w:sz w:val="20"/>
                <w:szCs w:val="20"/>
                <w:color w:val="auto"/>
              </w:rPr>
            </w:pPr>
            <w:r>
              <w:rPr>
                <w:rFonts w:ascii="Arial" w:cs="Arial" w:eastAsia="Arial" w:hAnsi="Arial"/>
                <w:sz w:val="20"/>
                <w:szCs w:val="20"/>
                <w:color w:val="auto"/>
              </w:rPr>
              <w:t>LNA gross profit</w:t>
            </w:r>
          </w:p>
        </w:tc>
        <w:tc>
          <w:tcPr>
            <w:tcW w:w="340" w:type="dxa"/>
            <w:vAlign w:val="bottom"/>
            <w:shd w:val="clear" w:color="auto" w:fill="CFF0FC"/>
          </w:tcPr>
          <w:p>
            <w:pPr>
              <w:jc w:val="right"/>
              <w:spacing w:after="0" w:line="216" w:lineRule="exact"/>
              <w:rPr>
                <w:sz w:val="20"/>
                <w:szCs w:val="20"/>
                <w:color w:val="auto"/>
              </w:rPr>
            </w:pPr>
            <w:r>
              <w:rPr>
                <w:rFonts w:ascii="Arial" w:cs="Arial" w:eastAsia="Arial" w:hAnsi="Arial"/>
                <w:sz w:val="20"/>
                <w:szCs w:val="20"/>
                <w:color w:val="auto"/>
              </w:rPr>
              <w:t>$</w:t>
            </w:r>
          </w:p>
        </w:tc>
        <w:tc>
          <w:tcPr>
            <w:tcW w:w="2540" w:type="dxa"/>
            <w:vAlign w:val="bottom"/>
            <w:shd w:val="clear" w:color="auto" w:fill="CFF0FC"/>
          </w:tcPr>
          <w:p>
            <w:pPr>
              <w:jc w:val="right"/>
              <w:ind w:right="21"/>
              <w:spacing w:after="0" w:line="216" w:lineRule="exact"/>
              <w:rPr>
                <w:sz w:val="20"/>
                <w:szCs w:val="20"/>
                <w:color w:val="auto"/>
              </w:rPr>
            </w:pPr>
            <w:r>
              <w:rPr>
                <w:rFonts w:ascii="Arial" w:cs="Arial" w:eastAsia="Arial" w:hAnsi="Arial"/>
                <w:sz w:val="20"/>
                <w:szCs w:val="20"/>
                <w:color w:val="auto"/>
              </w:rPr>
              <w:t>51</w:t>
            </w:r>
          </w:p>
        </w:tc>
      </w:tr>
      <w:tr>
        <w:trPr>
          <w:trHeight w:val="216"/>
        </w:trPr>
        <w:tc>
          <w:tcPr>
            <w:tcW w:w="8360" w:type="dxa"/>
            <w:vAlign w:val="bottom"/>
          </w:tcPr>
          <w:p>
            <w:pPr>
              <w:spacing w:after="0" w:line="216" w:lineRule="exact"/>
              <w:rPr>
                <w:sz w:val="20"/>
                <w:szCs w:val="20"/>
                <w:color w:val="auto"/>
              </w:rPr>
            </w:pPr>
            <w:r>
              <w:rPr>
                <w:rFonts w:ascii="Arial" w:cs="Arial" w:eastAsia="Arial" w:hAnsi="Arial"/>
                <w:sz w:val="20"/>
                <w:szCs w:val="20"/>
                <w:color w:val="auto"/>
              </w:rPr>
              <w:t>Add back:</w:t>
            </w:r>
          </w:p>
        </w:tc>
        <w:tc>
          <w:tcPr>
            <w:tcW w:w="34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16"/>
        </w:trPr>
        <w:tc>
          <w:tcPr>
            <w:tcW w:w="8360" w:type="dxa"/>
            <w:vAlign w:val="bottom"/>
            <w:shd w:val="clear" w:color="auto" w:fill="CFF0FC"/>
          </w:tcPr>
          <w:p>
            <w:pPr>
              <w:ind w:left="160"/>
              <w:spacing w:after="0" w:line="216" w:lineRule="exact"/>
              <w:rPr>
                <w:sz w:val="20"/>
                <w:szCs w:val="20"/>
                <w:color w:val="auto"/>
              </w:rPr>
            </w:pPr>
            <w:r>
              <w:rPr>
                <w:rFonts w:ascii="Arial" w:cs="Arial" w:eastAsia="Arial" w:hAnsi="Arial"/>
                <w:sz w:val="20"/>
                <w:szCs w:val="20"/>
                <w:color w:val="auto"/>
              </w:rPr>
              <w:t>LNA depreciation, depletion and amortization expense</w:t>
            </w:r>
          </w:p>
        </w:tc>
        <w:tc>
          <w:tcPr>
            <w:tcW w:w="340" w:type="dxa"/>
            <w:vAlign w:val="bottom"/>
            <w:shd w:val="clear" w:color="auto" w:fill="CFF0FC"/>
          </w:tcPr>
          <w:p>
            <w:pPr>
              <w:spacing w:after="0"/>
              <w:rPr>
                <w:sz w:val="18"/>
                <w:szCs w:val="18"/>
                <w:color w:val="auto"/>
              </w:rPr>
            </w:pPr>
          </w:p>
        </w:tc>
        <w:tc>
          <w:tcPr>
            <w:tcW w:w="2540" w:type="dxa"/>
            <w:vAlign w:val="bottom"/>
            <w:shd w:val="clear" w:color="auto" w:fill="CFF0FC"/>
          </w:tcPr>
          <w:p>
            <w:pPr>
              <w:jc w:val="right"/>
              <w:ind w:right="21"/>
              <w:spacing w:after="0" w:line="216" w:lineRule="exact"/>
              <w:rPr>
                <w:sz w:val="20"/>
                <w:szCs w:val="20"/>
                <w:color w:val="auto"/>
              </w:rPr>
            </w:pPr>
            <w:r>
              <w:rPr>
                <w:rFonts w:ascii="Arial" w:cs="Arial" w:eastAsia="Arial" w:hAnsi="Arial"/>
                <w:sz w:val="20"/>
                <w:szCs w:val="20"/>
                <w:color w:val="auto"/>
              </w:rPr>
              <w:t>26</w:t>
            </w:r>
          </w:p>
        </w:tc>
      </w:tr>
      <w:tr>
        <w:trPr>
          <w:trHeight w:val="194"/>
        </w:trPr>
        <w:tc>
          <w:tcPr>
            <w:tcW w:w="8360" w:type="dxa"/>
            <w:vAlign w:val="bottom"/>
          </w:tcPr>
          <w:p>
            <w:pPr>
              <w:ind w:left="160"/>
              <w:spacing w:after="0" w:line="194" w:lineRule="exact"/>
              <w:rPr>
                <w:sz w:val="20"/>
                <w:szCs w:val="20"/>
                <w:color w:val="auto"/>
              </w:rPr>
            </w:pPr>
            <w:r>
              <w:rPr>
                <w:rFonts w:ascii="Arial" w:cs="Arial" w:eastAsia="Arial" w:hAnsi="Arial"/>
                <w:sz w:val="20"/>
                <w:szCs w:val="20"/>
                <w:color w:val="auto"/>
              </w:rPr>
              <w:t>LNA impact of selling acquired inventory after markup to fair value as part of acquisition</w:t>
            </w:r>
          </w:p>
        </w:tc>
        <w:tc>
          <w:tcPr>
            <w:tcW w:w="340" w:type="dxa"/>
            <w:vAlign w:val="bottom"/>
          </w:tcPr>
          <w:p>
            <w:pPr>
              <w:spacing w:after="0"/>
              <w:rPr>
                <w:sz w:val="16"/>
                <w:szCs w:val="16"/>
                <w:color w:val="auto"/>
              </w:rPr>
            </w:pPr>
          </w:p>
        </w:tc>
        <w:tc>
          <w:tcPr>
            <w:tcW w:w="2540" w:type="dxa"/>
            <w:vAlign w:val="bottom"/>
          </w:tcPr>
          <w:p>
            <w:pPr>
              <w:spacing w:after="0"/>
              <w:rPr>
                <w:sz w:val="16"/>
                <w:szCs w:val="16"/>
                <w:color w:val="auto"/>
              </w:rPr>
            </w:pPr>
          </w:p>
        </w:tc>
      </w:tr>
      <w:tr>
        <w:trPr>
          <w:trHeight w:val="238"/>
        </w:trPr>
        <w:tc>
          <w:tcPr>
            <w:tcW w:w="8360" w:type="dxa"/>
            <w:vAlign w:val="bottom"/>
            <w:tcBorders>
              <w:bottom w:val="single" w:sz="8" w:color="auto"/>
            </w:tcBorders>
          </w:tcPr>
          <w:p>
            <w:pPr>
              <w:ind w:left="160"/>
              <w:spacing w:after="0"/>
              <w:rPr>
                <w:sz w:val="20"/>
                <w:szCs w:val="20"/>
                <w:color w:val="auto"/>
              </w:rPr>
            </w:pPr>
            <w:r>
              <w:rPr>
                <w:rFonts w:ascii="Arial" w:cs="Arial" w:eastAsia="Arial" w:hAnsi="Arial"/>
                <w:sz w:val="20"/>
                <w:szCs w:val="20"/>
                <w:color w:val="auto"/>
              </w:rPr>
              <w:t>accounting</w:t>
            </w:r>
          </w:p>
        </w:tc>
        <w:tc>
          <w:tcPr>
            <w:tcW w:w="34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38</w:t>
            </w:r>
          </w:p>
        </w:tc>
      </w:tr>
      <w:tr>
        <w:trPr>
          <w:trHeight w:val="249"/>
        </w:trPr>
        <w:tc>
          <w:tcPr>
            <w:tcW w:w="8360" w:type="dxa"/>
            <w:vAlign w:val="bottom"/>
            <w:tcBorders>
              <w:bottom w:val="single" w:sz="8" w:color="auto"/>
            </w:tcBorders>
            <w:shd w:val="clear" w:color="auto" w:fill="CFF0FC"/>
          </w:tcPr>
          <w:p>
            <w:pPr>
              <w:spacing w:after="0" w:line="209" w:lineRule="exact"/>
              <w:rPr>
                <w:sz w:val="20"/>
                <w:szCs w:val="20"/>
                <w:color w:val="auto"/>
              </w:rPr>
            </w:pPr>
            <w:r>
              <w:rPr>
                <w:rFonts w:ascii="Arial" w:cs="Arial" w:eastAsia="Arial" w:hAnsi="Arial"/>
                <w:sz w:val="20"/>
                <w:szCs w:val="20"/>
                <w:color w:val="auto"/>
              </w:rPr>
              <w:t>LNA cash gross profit</w:t>
            </w:r>
          </w:p>
        </w:tc>
        <w:tc>
          <w:tcPr>
            <w:tcW w:w="340" w:type="dxa"/>
            <w:vAlign w:val="bottom"/>
            <w:tcBorders>
              <w:bottom w:val="single" w:sz="8" w:color="auto"/>
            </w:tcBorders>
            <w:shd w:val="clear" w:color="auto" w:fill="CFF0FC"/>
          </w:tcPr>
          <w:p>
            <w:pPr>
              <w:jc w:val="right"/>
              <w:spacing w:after="0" w:line="209" w:lineRule="exact"/>
              <w:rPr>
                <w:sz w:val="20"/>
                <w:szCs w:val="20"/>
                <w:color w:val="auto"/>
              </w:rPr>
            </w:pPr>
            <w:r>
              <w:rPr>
                <w:rFonts w:ascii="Arial" w:cs="Arial" w:eastAsia="Arial" w:hAnsi="Arial"/>
                <w:sz w:val="20"/>
                <w:szCs w:val="20"/>
                <w:color w:val="auto"/>
              </w:rPr>
              <w:t>$</w:t>
            </w:r>
          </w:p>
        </w:tc>
        <w:tc>
          <w:tcPr>
            <w:tcW w:w="2540" w:type="dxa"/>
            <w:vAlign w:val="bottom"/>
            <w:tcBorders>
              <w:bottom w:val="single" w:sz="8" w:color="auto"/>
            </w:tcBorders>
            <w:shd w:val="clear" w:color="auto" w:fill="CFF0FC"/>
          </w:tcPr>
          <w:p>
            <w:pPr>
              <w:jc w:val="right"/>
              <w:ind w:right="21"/>
              <w:spacing w:after="0" w:line="209" w:lineRule="exact"/>
              <w:rPr>
                <w:sz w:val="20"/>
                <w:szCs w:val="20"/>
                <w:color w:val="auto"/>
              </w:rPr>
            </w:pPr>
            <w:r>
              <w:rPr>
                <w:rFonts w:ascii="Arial" w:cs="Arial" w:eastAsia="Arial" w:hAnsi="Arial"/>
                <w:sz w:val="20"/>
                <w:szCs w:val="20"/>
                <w:color w:val="auto"/>
              </w:rPr>
              <w:t>115</w:t>
            </w:r>
          </w:p>
        </w:tc>
      </w:tr>
      <w:tr>
        <w:trPr>
          <w:trHeight w:val="436"/>
        </w:trPr>
        <w:tc>
          <w:tcPr>
            <w:tcW w:w="8360" w:type="dxa"/>
            <w:vAlign w:val="bottom"/>
          </w:tcPr>
          <w:p>
            <w:pPr>
              <w:ind w:left="5520"/>
              <w:spacing w:after="0"/>
              <w:rPr>
                <w:sz w:val="20"/>
                <w:szCs w:val="20"/>
                <w:color w:val="auto"/>
              </w:rPr>
            </w:pPr>
            <w:r>
              <w:rPr>
                <w:rFonts w:ascii="Arial" w:cs="Arial" w:eastAsia="Arial" w:hAnsi="Arial"/>
                <w:sz w:val="20"/>
                <w:szCs w:val="20"/>
                <w:color w:val="auto"/>
              </w:rPr>
              <w:t>19</w:t>
            </w:r>
          </w:p>
        </w:tc>
        <w:tc>
          <w:tcPr>
            <w:tcW w:w="34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740"/>
        </w:trPr>
        <w:tc>
          <w:tcPr>
            <w:tcW w:w="83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-1773555</wp:posOffset>
            </wp:positionV>
            <wp:extent cx="170561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22" w:name="page23"/>
    <w:bookmarkEnd w:id="2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3"/>
      <w:numFmt w:val="bullet"/>
      <w:start w:val="1"/>
    </w:lvl>
  </w:abstractNum>
  <w:abstractNum w:abstractNumId="4">
    <w:nsid w:val="41B71EFB"/>
    <w:multiLevelType w:val="hybridMultilevel"/>
    <w:lvl w:ilvl="0">
      <w:lvlJc w:val="left"/>
      <w:lvlText w:val="1"/>
      <w:numFmt w:val="bullet"/>
      <w:start w:val="1"/>
    </w:lvl>
  </w:abstractNum>
  <w:abstractNum w:abstractNumId="5">
    <w:nsid w:val="79E2A9E3"/>
    <w:multiLevelType w:val="hybridMultilevel"/>
    <w:lvl w:ilvl="0">
      <w:lvlJc w:val="left"/>
      <w:lvlText w:val="2"/>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2026-11-04T06:03:59Z</dcterms:created>
  <dcterms:modified xsi:type="dcterms:W3CDTF">2026-11-04T06:03:59Z</dcterms:modified>
</cp:coreProperties>
</file>