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(Rule 14a-101)</w:t>
      </w:r>
    </w:p>
    <w:p>
      <w:pPr>
        <w:spacing w:after="0" w:line="1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3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Exchange Act of 1934 (Amendment No. )</w:t>
      </w:r>
    </w:p>
    <w:p>
      <w:pPr>
        <w:spacing w:after="0" w:line="192"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Filed by a Party other than the Registrant o</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Check the appropriate box:</w:t>
      </w:r>
    </w:p>
    <w:p>
      <w:pPr>
        <w:spacing w:after="0" w:line="83" w:lineRule="exact"/>
        <w:rPr>
          <w:sz w:val="20"/>
          <w:szCs w:val="20"/>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00" w:right="3840" w:hanging="7"/>
        <w:spacing w:after="0" w:line="217" w:lineRule="exact"/>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880" w:hanging="187"/>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112"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Martin Marietta Materials, Inc.</w:t>
      </w:r>
    </w:p>
    <w:p>
      <w:pPr>
        <w:spacing w:after="0" w:line="36"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3" w:lineRule="exact"/>
        <w:rPr>
          <w:sz w:val="20"/>
          <w:szCs w:val="20"/>
          <w:color w:val="auto"/>
        </w:rPr>
      </w:pPr>
    </w:p>
    <w:p>
      <w:pPr>
        <w:jc w:val="center"/>
        <w:ind w:right="-7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-98425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0"/>
          <w:szCs w:val="20"/>
          <w:color w:val="auto"/>
        </w:rPr>
      </w:pPr>
    </w:p>
    <w:p>
      <w:pPr>
        <w:ind w:left="1000" w:hanging="307"/>
        <w:spacing w:after="0"/>
        <w:tabs>
          <w:tab w:leader="none" w:pos="10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0"/>
          <w:szCs w:val="20"/>
          <w:color w:val="auto"/>
        </w:rPr>
      </w:pPr>
    </w:p>
    <w:p>
      <w:pPr>
        <w:ind w:left="880" w:hanging="187"/>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left="1600" w:right="140" w:hanging="682"/>
        <w:spacing w:after="0" w:line="277"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4" w:lineRule="exact"/>
        <w:rPr>
          <w:rFonts w:ascii="Arial" w:cs="Arial" w:eastAsia="Arial" w:hAnsi="Arial"/>
          <w:sz w:val="18"/>
          <w:szCs w:val="18"/>
          <w:color w:val="auto"/>
        </w:rPr>
      </w:pPr>
    </w:p>
    <w:p>
      <w:pPr>
        <w:ind w:left="1000" w:hanging="30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1000" w:hanging="307"/>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1600" w:hanging="682"/>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-2642870</wp:posOffset>
            </wp:positionV>
            <wp:extent cx="5419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-2419985</wp:posOffset>
            </wp:positionV>
            <wp:extent cx="5419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-2051050</wp:posOffset>
            </wp:positionV>
            <wp:extent cx="5419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-1828165</wp:posOffset>
            </wp:positionV>
            <wp:extent cx="5419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-1605280</wp:posOffset>
            </wp:positionV>
            <wp:extent cx="5419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-1373505</wp:posOffset>
            </wp:positionV>
            <wp:extent cx="5419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-661670</wp:posOffset>
            </wp:positionV>
            <wp:extent cx="5419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-438785</wp:posOffset>
            </wp:positionV>
            <wp:extent cx="5419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-207645</wp:posOffset>
            </wp:positionV>
            <wp:extent cx="5419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14605</wp:posOffset>
            </wp:positionV>
            <wp:extent cx="5419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97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763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63651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280"/>
        <w:spacing w:after="0"/>
        <w:rPr>
          <w:sz w:val="20"/>
          <w:szCs w:val="20"/>
          <w:color w:val="auto"/>
        </w:rPr>
      </w:pPr>
      <w:r>
        <w:rPr>
          <w:rFonts w:ascii="Arial" w:cs="Arial" w:eastAsia="Arial" w:hAnsi="Arial"/>
          <w:sz w:val="43"/>
          <w:szCs w:val="43"/>
          <w:b w:val="1"/>
          <w:bCs w:val="1"/>
          <w:color w:val="auto"/>
        </w:rPr>
        <w:t>Notice of 2011</w:t>
      </w:r>
    </w:p>
    <w:p>
      <w:pPr>
        <w:spacing w:after="0" w:line="55" w:lineRule="exact"/>
        <w:rPr>
          <w:sz w:val="20"/>
          <w:szCs w:val="20"/>
          <w:color w:val="auto"/>
        </w:rPr>
      </w:pPr>
    </w:p>
    <w:p>
      <w:pPr>
        <w:jc w:val="center"/>
        <w:ind w:left="280"/>
        <w:spacing w:after="0"/>
        <w:rPr>
          <w:sz w:val="20"/>
          <w:szCs w:val="20"/>
          <w:color w:val="auto"/>
        </w:rPr>
      </w:pPr>
      <w:r>
        <w:rPr>
          <w:rFonts w:ascii="Arial" w:cs="Arial" w:eastAsia="Arial" w:hAnsi="Arial"/>
          <w:sz w:val="39"/>
          <w:szCs w:val="39"/>
          <w:b w:val="1"/>
          <w:bCs w:val="1"/>
          <w:color w:val="auto"/>
        </w:rPr>
        <w:t>Annual Meeting of</w:t>
      </w:r>
    </w:p>
    <w:p>
      <w:pPr>
        <w:spacing w:after="0" w:line="51" w:lineRule="exact"/>
        <w:rPr>
          <w:sz w:val="20"/>
          <w:szCs w:val="20"/>
          <w:color w:val="auto"/>
        </w:rPr>
      </w:pPr>
    </w:p>
    <w:p>
      <w:pPr>
        <w:jc w:val="center"/>
        <w:ind w:left="280"/>
        <w:spacing w:after="0"/>
        <w:rPr>
          <w:sz w:val="20"/>
          <w:szCs w:val="20"/>
          <w:color w:val="auto"/>
        </w:rPr>
      </w:pPr>
      <w:r>
        <w:rPr>
          <w:rFonts w:ascii="Arial" w:cs="Arial" w:eastAsia="Arial" w:hAnsi="Arial"/>
          <w:sz w:val="40"/>
          <w:szCs w:val="40"/>
          <w:b w:val="1"/>
          <w:bCs w:val="1"/>
          <w:color w:val="auto"/>
        </w:rPr>
        <w:t>Shareholders and</w:t>
      </w:r>
    </w:p>
    <w:p>
      <w:pPr>
        <w:spacing w:after="0" w:line="40" w:lineRule="exact"/>
        <w:rPr>
          <w:sz w:val="20"/>
          <w:szCs w:val="20"/>
          <w:color w:val="auto"/>
        </w:rPr>
      </w:pPr>
    </w:p>
    <w:p>
      <w:pPr>
        <w:jc w:val="center"/>
        <w:ind w:left="280"/>
        <w:spacing w:after="0"/>
        <w:rPr>
          <w:sz w:val="20"/>
          <w:szCs w:val="20"/>
          <w:color w:val="auto"/>
        </w:rPr>
      </w:pPr>
      <w:r>
        <w:rPr>
          <w:rFonts w:ascii="Arial" w:cs="Arial" w:eastAsia="Arial" w:hAnsi="Arial"/>
          <w:sz w:val="43"/>
          <w:szCs w:val="43"/>
          <w:b w:val="1"/>
          <w:bCs w:val="1"/>
          <w:color w:val="auto"/>
        </w:rPr>
        <w:t>Proxy Statement</w:t>
      </w:r>
    </w:p>
    <w:p>
      <w:pPr>
        <w:sectPr>
          <w:pgSz w:w="11900" w:h="16838" w:orient="portrait"/>
          <w:cols w:equalWidth="0" w:num="1">
            <w:col w:w="10219"/>
          </w:cols>
          <w:pgMar w:left="240" w:top="419" w:right="1440"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218440</wp:posOffset>
            </wp:positionV>
            <wp:extent cx="6590665" cy="798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0665" cy="798830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April 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Dear Fellow Shareholder:</w:t>
      </w:r>
    </w:p>
    <w:p>
      <w:pPr>
        <w:spacing w:after="0" w:line="229" w:lineRule="exact"/>
        <w:rPr>
          <w:sz w:val="20"/>
          <w:szCs w:val="20"/>
          <w:color w:val="auto"/>
        </w:rPr>
      </w:pPr>
    </w:p>
    <w:p>
      <w:pPr>
        <w:ind w:left="1600" w:right="380"/>
        <w:spacing w:after="0" w:line="250" w:lineRule="auto"/>
        <w:rPr>
          <w:sz w:val="20"/>
          <w:szCs w:val="20"/>
          <w:color w:val="auto"/>
        </w:rPr>
      </w:pPr>
      <w:r>
        <w:rPr>
          <w:rFonts w:ascii="Arial" w:cs="Arial" w:eastAsia="Arial" w:hAnsi="Arial"/>
          <w:sz w:val="20"/>
          <w:szCs w:val="20"/>
          <w:color w:val="auto"/>
        </w:rPr>
        <w:t>The Directors and Officers of Martin Marietta Materials, Inc. join us in inviting you to attend the Corporation’s Annual Meeting of Shareholders on May 12, 2011. The formal notice of this meeting and the proxy statement describing the matters to be acted upon at the meeting accompany this letter.</w:t>
      </w:r>
    </w:p>
    <w:p>
      <w:pPr>
        <w:spacing w:after="0" w:line="200" w:lineRule="exact"/>
        <w:rPr>
          <w:sz w:val="20"/>
          <w:szCs w:val="20"/>
          <w:color w:val="auto"/>
        </w:rPr>
      </w:pPr>
    </w:p>
    <w:p>
      <w:pPr>
        <w:ind w:left="1600" w:right="500"/>
        <w:spacing w:after="0" w:line="260" w:lineRule="auto"/>
        <w:rPr>
          <w:sz w:val="20"/>
          <w:szCs w:val="20"/>
          <w:color w:val="auto"/>
        </w:rPr>
      </w:pPr>
      <w:r>
        <w:rPr>
          <w:rFonts w:ascii="Arial" w:cs="Arial" w:eastAsia="Arial" w:hAnsi="Arial"/>
          <w:sz w:val="20"/>
          <w:szCs w:val="20"/>
          <w:color w:val="auto"/>
        </w:rPr>
        <w:t>Your vote is important. Whether or not you plan to attend the Annual Meeting in person, we encourage you to vote so that your shares will be represented and voted at the meeting.</w:t>
      </w:r>
    </w:p>
    <w:p>
      <w:pPr>
        <w:spacing w:after="0" w:line="190"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Thank you for your continued support of Martin Marietta Materials.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1800"/>
              <w:spacing w:after="0"/>
              <w:rPr>
                <w:sz w:val="20"/>
                <w:szCs w:val="20"/>
                <w:color w:val="auto"/>
              </w:rPr>
            </w:pPr>
            <w:r>
              <w:rPr>
                <w:rFonts w:ascii="Arial" w:cs="Arial" w:eastAsia="Arial" w:hAnsi="Arial"/>
                <w:sz w:val="20"/>
                <w:szCs w:val="20"/>
                <w:color w:val="auto"/>
              </w:rPr>
              <w:t>Stephen P. Zelnak, Jr.</w:t>
            </w:r>
          </w:p>
        </w:tc>
        <w:tc>
          <w:tcPr>
            <w:tcW w:w="6380" w:type="dxa"/>
            <w:vAlign w:val="bottom"/>
          </w:tcPr>
          <w:p>
            <w:pPr>
              <w:ind w:left="1400"/>
              <w:spacing w:after="0"/>
              <w:rPr>
                <w:sz w:val="20"/>
                <w:szCs w:val="20"/>
                <w:color w:val="auto"/>
              </w:rPr>
            </w:pPr>
            <w:r>
              <w:rPr>
                <w:rFonts w:ascii="Arial" w:cs="Arial" w:eastAsia="Arial" w:hAnsi="Arial"/>
                <w:sz w:val="20"/>
                <w:szCs w:val="20"/>
                <w:color w:val="auto"/>
              </w:rPr>
              <w:t>C. Howard Nye</w:t>
            </w:r>
          </w:p>
        </w:tc>
      </w:tr>
      <w:tr>
        <w:trPr>
          <w:trHeight w:val="250"/>
        </w:trPr>
        <w:tc>
          <w:tcPr>
            <w:tcW w:w="5040" w:type="dxa"/>
            <w:vAlign w:val="bottom"/>
          </w:tcPr>
          <w:p>
            <w:pPr>
              <w:ind w:left="1800"/>
              <w:spacing w:after="0"/>
              <w:rPr>
                <w:sz w:val="20"/>
                <w:szCs w:val="20"/>
                <w:color w:val="auto"/>
              </w:rPr>
            </w:pPr>
            <w:r>
              <w:rPr>
                <w:rFonts w:ascii="Arial" w:cs="Arial" w:eastAsia="Arial" w:hAnsi="Arial"/>
                <w:sz w:val="20"/>
                <w:szCs w:val="20"/>
                <w:i w:val="1"/>
                <w:iCs w:val="1"/>
                <w:color w:val="auto"/>
              </w:rPr>
              <w:t>Chairman of the Board</w:t>
            </w:r>
          </w:p>
        </w:tc>
        <w:tc>
          <w:tcPr>
            <w:tcW w:w="6380" w:type="dxa"/>
            <w:vAlign w:val="bottom"/>
          </w:tcPr>
          <w:p>
            <w:pPr>
              <w:ind w:left="1400"/>
              <w:spacing w:after="0"/>
              <w:rPr>
                <w:sz w:val="20"/>
                <w:szCs w:val="20"/>
                <w:color w:val="auto"/>
              </w:rPr>
            </w:pPr>
            <w:r>
              <w:rPr>
                <w:rFonts w:ascii="Arial" w:cs="Arial" w:eastAsia="Arial" w:hAnsi="Arial"/>
                <w:sz w:val="20"/>
                <w:szCs w:val="20"/>
                <w:i w:val="1"/>
                <w:iCs w:val="1"/>
                <w:color w:val="auto"/>
              </w:rPr>
              <w:t>President and Chief Executive Officer</w:t>
            </w:r>
          </w:p>
        </w:tc>
      </w:tr>
      <w:tr>
        <w:trPr>
          <w:trHeight w:val="2829"/>
        </w:trPr>
        <w:tc>
          <w:tcPr>
            <w:tcW w:w="5040" w:type="dxa"/>
            <w:vAlign w:val="bottom"/>
            <w:tcBorders>
              <w:bottom w:val="single" w:sz="8" w:color="808080"/>
            </w:tcBorders>
          </w:tcPr>
          <w:p>
            <w:pPr>
              <w:spacing w:after="0"/>
              <w:rPr>
                <w:sz w:val="24"/>
                <w:szCs w:val="24"/>
                <w:color w:val="auto"/>
              </w:rPr>
            </w:pPr>
          </w:p>
        </w:tc>
        <w:tc>
          <w:tcPr>
            <w:tcW w:w="6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Notice of Annual Meeting of Shareholders To Be Held May 12, 2011</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GENERAL INFORMATION</w:t>
        </w:r>
      </w:hyperlink>
    </w:p>
    <w:p>
      <w:pPr>
        <w:spacing w:after="0" w:line="1" w:lineRule="exact"/>
        <w:rPr>
          <w:sz w:val="20"/>
          <w:szCs w:val="20"/>
          <w:color w:val="auto"/>
        </w:rPr>
      </w:pPr>
    </w:p>
    <w:p>
      <w:pPr>
        <w:ind w:right="1039"/>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SECURITY OWNERSHIP OF CERTAIN BENEFICIAL OWNERS AND MANAGEMENT</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THE BOARD OF DIRECTORS</w:t>
        </w:r>
      </w:hyperlink>
    </w:p>
    <w:p>
      <w:pPr>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PROPOSAL 1 ELECTION OF DIRECTORS (Item 1 on Proxy Card)</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DIRECTOR COMPENSATION</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CORPORATE GOVERNANCE MATTERS</w:t>
        </w:r>
      </w:hyperlink>
    </w:p>
    <w:p>
      <w:pPr>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PROPOSAL 2 INDEPENDENT AUDITORS (Item 2 on Proxy Card)</w:t>
        </w:r>
      </w:hyperlink>
    </w:p>
    <w:p>
      <w:pPr>
        <w:spacing w:after="0" w:line="1" w:lineRule="exact"/>
        <w:rPr>
          <w:sz w:val="20"/>
          <w:szCs w:val="20"/>
          <w:color w:val="auto"/>
        </w:rPr>
      </w:pPr>
    </w:p>
    <w:p>
      <w:pPr>
        <w:ind w:right="4499"/>
        <w:spacing w:after="0" w:line="267" w:lineRule="auto"/>
        <w:rPr>
          <w:rFonts w:ascii="Arial" w:cs="Arial" w:eastAsia="Arial" w:hAnsi="Arial"/>
          <w:sz w:val="19"/>
          <w:szCs w:val="19"/>
          <w:u w:val="single" w:color="auto"/>
          <w:color w:val="0000EE"/>
        </w:rPr>
      </w:pPr>
      <w:hyperlink w:anchor="page31">
        <w:r>
          <w:rPr>
            <w:rFonts w:ascii="Arial" w:cs="Arial" w:eastAsia="Arial" w:hAnsi="Arial"/>
            <w:sz w:val="19"/>
            <w:szCs w:val="19"/>
            <w:u w:val="single" w:color="auto"/>
            <w:color w:val="0000EE"/>
          </w:rPr>
          <w:t>AUDIT COMMITTEE REPORT</w:t>
        </w:r>
      </w:hyperlink>
      <w:r>
        <w:rPr>
          <w:rFonts w:ascii="Arial" w:cs="Arial" w:eastAsia="Arial" w:hAnsi="Arial"/>
          <w:sz w:val="19"/>
          <w:szCs w:val="19"/>
          <w:u w:val="single" w:color="auto"/>
          <w:color w:val="0000EE"/>
        </w:rPr>
        <w:t xml:space="preserve"> </w:t>
      </w:r>
      <w:hyperlink w:anchor="page32">
        <w:r>
          <w:rPr>
            <w:rFonts w:ascii="Arial" w:cs="Arial" w:eastAsia="Arial" w:hAnsi="Arial"/>
            <w:sz w:val="19"/>
            <w:szCs w:val="19"/>
            <w:u w:val="single" w:color="auto"/>
            <w:color w:val="0000EE"/>
          </w:rPr>
          <w:t>COMPENSATION DISCUSSION AND ANALYSIS</w:t>
        </w:r>
      </w:hyperlink>
    </w:p>
    <w:p>
      <w:pPr>
        <w:spacing w:after="0" w:line="230"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MANAGEMENT DEVELOPMENT AND COMPENSATION COMMITTEE REPORT</w:t>
        </w:r>
      </w:hyperlink>
    </w:p>
    <w:p>
      <w:pPr>
        <w:spacing w:after="0" w:line="231"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COMPENSATION COMMITTEE INTERLOCKS AND INSIDER PARTICIPATION IN</w:t>
        </w:r>
      </w:hyperlink>
    </w:p>
    <w:p>
      <w:pPr>
        <w:spacing w:after="0" w:line="230"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COMPENSATION DECISIONS</w:t>
        </w:r>
      </w:hyperlink>
    </w:p>
    <w:p>
      <w:pPr>
        <w:spacing w:after="0" w:line="231"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SUMMARY COMPENSATION TABLE</w:t>
        </w:r>
      </w:hyperlink>
    </w:p>
    <w:p>
      <w:pPr>
        <w:spacing w:after="0" w:line="230"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GRANTS OF PLAN-BASED AWARDS TABLE</w:t>
        </w:r>
      </w:hyperlink>
    </w:p>
    <w:p>
      <w:pPr>
        <w:spacing w:after="0" w:line="1" w:lineRule="exact"/>
        <w:rPr>
          <w:sz w:val="20"/>
          <w:szCs w:val="20"/>
          <w:color w:val="auto"/>
        </w:rPr>
      </w:pPr>
    </w:p>
    <w:p>
      <w:pPr>
        <w:ind w:right="2779"/>
        <w:spacing w:after="0" w:line="230"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OUTSTANDING EQUITY AWARDS AT FISCAL YEAR-END TABLE</w:t>
        </w:r>
      </w:hyperlink>
      <w:r>
        <w:rPr>
          <w:rFonts w:ascii="Arial" w:cs="Arial" w:eastAsia="Arial" w:hAnsi="Arial"/>
          <w:sz w:val="22"/>
          <w:szCs w:val="22"/>
          <w:u w:val="single" w:color="auto"/>
          <w:color w:val="0000EE"/>
        </w:rPr>
        <w:t xml:space="preserve"> </w:t>
      </w:r>
      <w:hyperlink w:anchor="page53">
        <w:r>
          <w:rPr>
            <w:rFonts w:ascii="Arial" w:cs="Arial" w:eastAsia="Arial" w:hAnsi="Arial"/>
            <w:sz w:val="22"/>
            <w:szCs w:val="22"/>
            <w:u w:val="single" w:color="auto"/>
            <w:color w:val="0000EE"/>
          </w:rPr>
          <w:t>OPTION EXERCISES AND STOCK VESTED TABLE</w:t>
        </w:r>
      </w:hyperlink>
      <w:r>
        <w:rPr>
          <w:rFonts w:ascii="Arial" w:cs="Arial" w:eastAsia="Arial" w:hAnsi="Arial"/>
          <w:sz w:val="22"/>
          <w:szCs w:val="22"/>
          <w:u w:val="single" w:color="auto"/>
          <w:color w:val="0000EE"/>
        </w:rPr>
        <w:t xml:space="preserve"> </w:t>
      </w:r>
      <w:hyperlink w:anchor="page54">
        <w:r>
          <w:rPr>
            <w:rFonts w:ascii="Arial" w:cs="Arial" w:eastAsia="Arial" w:hAnsi="Arial"/>
            <w:sz w:val="22"/>
            <w:szCs w:val="22"/>
            <w:u w:val="single" w:color="auto"/>
            <w:color w:val="0000EE"/>
          </w:rPr>
          <w:t>PENSION BENEFITS TABLE</w:t>
        </w:r>
      </w:hyperlink>
    </w:p>
    <w:p>
      <w:pPr>
        <w:spacing w:after="0" w:line="2" w:lineRule="exact"/>
        <w:rPr>
          <w:rFonts w:ascii="Arial" w:cs="Arial" w:eastAsia="Arial" w:hAnsi="Arial"/>
          <w:sz w:val="22"/>
          <w:szCs w:val="22"/>
          <w:u w:val="single" w:color="auto"/>
          <w:color w:val="0000EE"/>
        </w:rPr>
      </w:pPr>
    </w:p>
    <w:p>
      <w:pPr>
        <w:ind w:right="79"/>
        <w:spacing w:after="0" w:line="230" w:lineRule="auto"/>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POTENTIAL PAYMENTS UPON TERMINATION OF CHANGE IN CONTROL AT DECEMBER 31,</w:t>
        </w:r>
      </w:hyperlink>
      <w:r>
        <w:rPr>
          <w:rFonts w:ascii="Arial" w:cs="Arial" w:eastAsia="Arial" w:hAnsi="Arial"/>
          <w:sz w:val="22"/>
          <w:szCs w:val="22"/>
          <w:u w:val="single" w:color="auto"/>
          <w:color w:val="0000EE"/>
        </w:rPr>
        <w:t xml:space="preserve"> </w:t>
      </w:r>
      <w:hyperlink w:anchor="page57">
        <w:r>
          <w:rPr>
            <w:rFonts w:ascii="Arial" w:cs="Arial" w:eastAsia="Arial" w:hAnsi="Arial"/>
            <w:sz w:val="22"/>
            <w:szCs w:val="22"/>
            <w:u w:val="single" w:color="auto"/>
            <w:color w:val="0000EE"/>
          </w:rPr>
          <w:t>2010</w:t>
        </w:r>
      </w:hyperlink>
    </w:p>
    <w:p>
      <w:pPr>
        <w:spacing w:after="0" w:line="1" w:lineRule="exact"/>
        <w:rPr>
          <w:sz w:val="20"/>
          <w:szCs w:val="20"/>
          <w:color w:val="auto"/>
        </w:rPr>
      </w:pPr>
    </w:p>
    <w:p>
      <w:pPr>
        <w:ind w:right="559"/>
        <w:spacing w:after="0" w:line="230"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PROPOSAL 3 ADVISORY VOTE ON THE COMPENSATION OF OUR NAMED EXECUTIVE</w:t>
        </w:r>
      </w:hyperlink>
      <w:r>
        <w:rPr>
          <w:rFonts w:ascii="Arial" w:cs="Arial" w:eastAsia="Arial" w:hAnsi="Arial"/>
          <w:sz w:val="22"/>
          <w:szCs w:val="22"/>
          <w:u w:val="single" w:color="auto"/>
          <w:color w:val="0000EE"/>
        </w:rPr>
        <w:t xml:space="preserve"> </w:t>
      </w:r>
      <w:hyperlink w:anchor="page58">
        <w:r>
          <w:rPr>
            <w:rFonts w:ascii="Arial" w:cs="Arial" w:eastAsia="Arial" w:hAnsi="Arial"/>
            <w:sz w:val="22"/>
            <w:szCs w:val="22"/>
            <w:u w:val="single" w:color="auto"/>
            <w:color w:val="0000EE"/>
          </w:rPr>
          <w:t>OFFICERS (Item 3 on Proxy Card)</w:t>
        </w:r>
      </w:hyperlink>
    </w:p>
    <w:p>
      <w:pPr>
        <w:spacing w:after="0" w:line="1" w:lineRule="exact"/>
        <w:rPr>
          <w:sz w:val="20"/>
          <w:szCs w:val="20"/>
          <w:color w:val="auto"/>
        </w:rPr>
      </w:pPr>
    </w:p>
    <w:p>
      <w:pPr>
        <w:ind w:right="79"/>
        <w:spacing w:after="0" w:line="230"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PROPOSAL 4 ADVISORY VOTE ON THE FREQUENCY OF THE EXECUTIVE COMPENSATION</w:t>
        </w:r>
      </w:hyperlink>
      <w:r>
        <w:rPr>
          <w:rFonts w:ascii="Arial" w:cs="Arial" w:eastAsia="Arial" w:hAnsi="Arial"/>
          <w:sz w:val="22"/>
          <w:szCs w:val="22"/>
          <w:u w:val="single" w:color="auto"/>
          <w:color w:val="0000EE"/>
        </w:rPr>
        <w:t xml:space="preserve"> </w:t>
      </w:r>
      <w:hyperlink w:anchor="page59">
        <w:r>
          <w:rPr>
            <w:rFonts w:ascii="Arial" w:cs="Arial" w:eastAsia="Arial" w:hAnsi="Arial"/>
            <w:sz w:val="22"/>
            <w:szCs w:val="22"/>
            <w:u w:val="single" w:color="auto"/>
            <w:color w:val="0000EE"/>
          </w:rPr>
          <w:t>VOTE (Item 4 on Proxy Card)</w:t>
        </w:r>
      </w:hyperlink>
    </w:p>
    <w:p>
      <w:pPr>
        <w:spacing w:after="0" w:line="1" w:lineRule="exact"/>
        <w:rPr>
          <w:sz w:val="20"/>
          <w:szCs w:val="20"/>
          <w:color w:val="auto"/>
        </w:rPr>
      </w:pPr>
    </w:p>
    <w:p>
      <w:pPr>
        <w:ind w:right="4439"/>
        <w:spacing w:after="0" w:line="241" w:lineRule="auto"/>
        <w:rPr>
          <w:rFonts w:ascii="Arial" w:cs="Arial" w:eastAsia="Arial" w:hAnsi="Arial"/>
          <w:sz w:val="21"/>
          <w:szCs w:val="21"/>
          <w:u w:val="single" w:color="auto"/>
          <w:color w:val="0000EE"/>
        </w:rPr>
      </w:pPr>
      <w:hyperlink w:anchor="page60">
        <w:r>
          <w:rPr>
            <w:rFonts w:ascii="Arial" w:cs="Arial" w:eastAsia="Arial" w:hAnsi="Arial"/>
            <w:sz w:val="21"/>
            <w:szCs w:val="21"/>
            <w:u w:val="single" w:color="auto"/>
            <w:color w:val="0000EE"/>
          </w:rPr>
          <w:t>EQUITY COMPENSATION PLAN INFORMATION</w:t>
        </w:r>
      </w:hyperlink>
      <w:r>
        <w:rPr>
          <w:rFonts w:ascii="Arial" w:cs="Arial" w:eastAsia="Arial" w:hAnsi="Arial"/>
          <w:sz w:val="21"/>
          <w:szCs w:val="21"/>
          <w:u w:val="single" w:color="auto"/>
          <w:color w:val="0000EE"/>
        </w:rPr>
        <w:t xml:space="preserve"> </w:t>
      </w:r>
      <w:hyperlink w:anchor="page61">
        <w:r>
          <w:rPr>
            <w:rFonts w:ascii="Arial" w:cs="Arial" w:eastAsia="Arial" w:hAnsi="Arial"/>
            <w:sz w:val="21"/>
            <w:szCs w:val="21"/>
            <w:u w:val="single" w:color="auto"/>
            <w:color w:val="0000EE"/>
          </w:rPr>
          <w:t>INCORPORATION BY REFERENCE</w:t>
        </w:r>
      </w:hyperlink>
    </w:p>
    <w:p>
      <w:pPr>
        <w:spacing w:after="0" w:line="1" w:lineRule="exact"/>
        <w:rPr>
          <w:sz w:val="20"/>
          <w:szCs w:val="20"/>
          <w:color w:val="auto"/>
        </w:rPr>
      </w:pPr>
    </w:p>
    <w:p>
      <w:pPr>
        <w:ind w:right="3119"/>
        <w:spacing w:after="0" w:line="237" w:lineRule="auto"/>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SHAREHOLDERS’ PROPOSALS FOR 2012 ANNUAL MEETING</w:t>
        </w:r>
      </w:hyperlink>
      <w:r>
        <w:rPr>
          <w:rFonts w:ascii="Arial" w:cs="Arial" w:eastAsia="Arial" w:hAnsi="Arial"/>
          <w:sz w:val="22"/>
          <w:szCs w:val="22"/>
          <w:u w:val="single" w:color="auto"/>
          <w:color w:val="0000EE"/>
        </w:rPr>
        <w:t xml:space="preserve"> </w:t>
      </w:r>
      <w:hyperlink w:anchor="page62">
        <w:r>
          <w:rPr>
            <w:rFonts w:ascii="Arial" w:cs="Arial" w:eastAsia="Arial" w:hAnsi="Arial"/>
            <w:sz w:val="22"/>
            <w:szCs w:val="22"/>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128905</wp:posOffset>
            </wp:positionV>
            <wp:extent cx="645287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ectPr>
          <w:pgSz w:w="11900" w:h="16838" w:orient="portrait"/>
          <w:cols w:equalWidth="0" w:num="1">
            <w:col w:w="9119"/>
          </w:cols>
          <w:pgMar w:left="1340" w:top="112" w:right="1440"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6950710" cy="7910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0480"/>
          </w:cols>
          <w:pgMar w:left="820" w:top="41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59"/>
        <w:spacing w:after="0"/>
        <w:rPr>
          <w:sz w:val="20"/>
          <w:szCs w:val="20"/>
          <w:color w:val="auto"/>
        </w:rPr>
      </w:pPr>
      <w:r>
        <w:rPr>
          <w:rFonts w:ascii="Arial" w:cs="Arial" w:eastAsia="Arial" w:hAnsi="Arial"/>
          <w:sz w:val="27"/>
          <w:szCs w:val="27"/>
          <w:b w:val="1"/>
          <w:bCs w:val="1"/>
          <w:color w:val="auto"/>
        </w:rPr>
        <w:t>MARTIN MARIETTA MATERIALS,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2710 Wycliff Road, Raleigh, North Carolina 27607</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22"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To Be Held May 12, 2011</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To our Shareholders: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 Meeting of Shareholders of Martin Marietta Materials, Inc. will be held on Thursday, May 12, 2011, at</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11:30 a.m. at our principal office located at 2710 Wycliff Road, Raleigh, North Carolina. At the meeting, the holders of our</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outstanding common stock will act on the following matters:</w:t>
      </w:r>
    </w:p>
    <w:p>
      <w:pPr>
        <w:spacing w:after="0" w:line="213" w:lineRule="exact"/>
        <w:rPr>
          <w:sz w:val="20"/>
          <w:szCs w:val="20"/>
          <w:color w:val="auto"/>
        </w:rPr>
      </w:pPr>
    </w:p>
    <w:p>
      <w:pPr>
        <w:ind w:left="1620" w:hanging="608"/>
        <w:spacing w:after="0" w:line="250" w:lineRule="auto"/>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elect as Directors the three (3) nominees named in the attached proxy statement, each to serve for a term of three (3) years until the Annual Meeting of Shareholders in 2014, and until their successors are duly elected and qualified;</w:t>
      </w:r>
    </w:p>
    <w:p>
      <w:pPr>
        <w:spacing w:after="0" w:line="186"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ratify the appointment of independent auditors for 2011;</w:t>
      </w:r>
    </w:p>
    <w:p>
      <w:pPr>
        <w:spacing w:after="0" w:line="215"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by a non-binding advisory vote, the compensation of our named executive officers;</w:t>
      </w:r>
    </w:p>
    <w:p>
      <w:pPr>
        <w:spacing w:after="0" w:line="215" w:lineRule="exact"/>
        <w:rPr>
          <w:rFonts w:ascii="Arial" w:cs="Arial" w:eastAsia="Arial" w:hAnsi="Arial"/>
          <w:sz w:val="20"/>
          <w:szCs w:val="20"/>
          <w:color w:val="auto"/>
        </w:rPr>
      </w:pPr>
    </w:p>
    <w:p>
      <w:pPr>
        <w:ind w:left="1620" w:right="120" w:hanging="608"/>
        <w:spacing w:after="0" w:line="260" w:lineRule="auto"/>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approve, by a non-binding advisory vote, the frequency of the shareholder vote on the compensation of our named executive officers; and</w:t>
      </w:r>
    </w:p>
    <w:p>
      <w:pPr>
        <w:spacing w:after="0" w:line="176" w:lineRule="exact"/>
        <w:rPr>
          <w:rFonts w:ascii="Arial" w:cs="Arial" w:eastAsia="Arial" w:hAnsi="Arial"/>
          <w:sz w:val="20"/>
          <w:szCs w:val="20"/>
          <w:color w:val="auto"/>
        </w:rPr>
      </w:pPr>
    </w:p>
    <w:p>
      <w:pPr>
        <w:ind w:left="1620" w:hanging="608"/>
        <w:spacing w:after="0"/>
        <w:tabs>
          <w:tab w:leader="none" w:pos="1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other business as may properly come before the meeting.</w:t>
      </w:r>
    </w:p>
    <w:p>
      <w:pPr>
        <w:spacing w:after="0" w:line="121" w:lineRule="exact"/>
        <w:rPr>
          <w:sz w:val="20"/>
          <w:szCs w:val="20"/>
          <w:color w:val="auto"/>
        </w:rPr>
      </w:pPr>
    </w:p>
    <w:p>
      <w:pPr>
        <w:ind w:left="400" w:right="140" w:firstLine="609"/>
        <w:spacing w:after="0" w:line="316" w:lineRule="auto"/>
        <w:rPr>
          <w:sz w:val="20"/>
          <w:szCs w:val="20"/>
          <w:color w:val="auto"/>
        </w:rPr>
      </w:pPr>
      <w:r>
        <w:rPr>
          <w:rFonts w:ascii="Arial" w:cs="Arial" w:eastAsia="Arial" w:hAnsi="Arial"/>
          <w:sz w:val="18"/>
          <w:szCs w:val="18"/>
          <w:color w:val="auto"/>
        </w:rPr>
        <w:t>All holders of record of shares of Martin Marietta Materials common stock (NYSE: MLM) at the close of business on March 4, 2011 are entitled to vote at the annual meeting and any adjournments or postponements of the meeting.</w:t>
      </w:r>
    </w:p>
    <w:p>
      <w:pPr>
        <w:spacing w:after="0" w:line="36" w:lineRule="exact"/>
        <w:rPr>
          <w:sz w:val="20"/>
          <w:szCs w:val="20"/>
          <w:color w:val="auto"/>
        </w:rPr>
      </w:pPr>
    </w:p>
    <w:p>
      <w:pPr>
        <w:ind w:left="400" w:right="260" w:firstLine="609"/>
        <w:spacing w:after="0" w:line="260" w:lineRule="auto"/>
        <w:rPr>
          <w:sz w:val="20"/>
          <w:szCs w:val="20"/>
          <w:color w:val="auto"/>
        </w:rPr>
      </w:pPr>
      <w:r>
        <w:rPr>
          <w:rFonts w:ascii="Arial" w:cs="Arial" w:eastAsia="Arial" w:hAnsi="Arial"/>
          <w:sz w:val="20"/>
          <w:szCs w:val="20"/>
          <w:color w:val="auto"/>
        </w:rPr>
        <w:t>Whether or not you expect to attend the meeting, we hope you will date and sign the enclosed proxy card and mail it promptly in the enclosed stamped envelope.</w:t>
      </w:r>
    </w:p>
    <w:p>
      <w:pPr>
        <w:spacing w:after="0" w:line="339"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Roselyn R. Bar</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20"/>
          <w:szCs w:val="20"/>
          <w:i w:val="1"/>
          <w:iCs w:val="1"/>
          <w:color w:val="auto"/>
        </w:rPr>
        <w:t>Senior Vice President, General</w:t>
      </w:r>
    </w:p>
    <w:p>
      <w:pPr>
        <w:ind w:left="5360"/>
        <w:spacing w:after="0"/>
        <w:rPr>
          <w:sz w:val="20"/>
          <w:szCs w:val="20"/>
          <w:color w:val="auto"/>
        </w:rPr>
      </w:pPr>
      <w:r>
        <w:rPr>
          <w:rFonts w:ascii="Arial" w:cs="Arial" w:eastAsia="Arial" w:hAnsi="Arial"/>
          <w:sz w:val="20"/>
          <w:szCs w:val="20"/>
          <w:i w:val="1"/>
          <w:iCs w:val="1"/>
          <w:color w:val="auto"/>
        </w:rPr>
        <w:t>Counsel and Secretary</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April 8, 2011</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IMPORTANT NOTICE REGARDING THE AVAILABILITY OF PROXY MATERIALS</w:t>
      </w:r>
    </w:p>
    <w:p>
      <w:pPr>
        <w:spacing w:after="0" w:line="22"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FOR THE ANNUAL SHAREHOLDER MEETING TO BE HELD ON MAY 12, 2011</w:t>
      </w:r>
    </w:p>
    <w:p>
      <w:pPr>
        <w:spacing w:after="0" w:line="105" w:lineRule="exact"/>
        <w:rPr>
          <w:sz w:val="20"/>
          <w:szCs w:val="20"/>
          <w:color w:val="auto"/>
        </w:rPr>
      </w:pPr>
    </w:p>
    <w:p>
      <w:pPr>
        <w:ind w:left="400" w:right="1820" w:firstLine="609"/>
        <w:spacing w:after="0" w:line="287" w:lineRule="auto"/>
        <w:rPr>
          <w:sz w:val="20"/>
          <w:szCs w:val="20"/>
          <w:color w:val="auto"/>
        </w:rPr>
      </w:pPr>
      <w:r>
        <w:rPr>
          <w:rFonts w:ascii="Arial" w:cs="Arial" w:eastAsia="Arial" w:hAnsi="Arial"/>
          <w:sz w:val="19"/>
          <w:szCs w:val="19"/>
          <w:color w:val="auto"/>
        </w:rPr>
        <w:t xml:space="preserve">The Corporation’s proxy statement, form of proxy card and 2010 Annual Report to Shareholders are also available for review on the Internet at </w:t>
      </w:r>
      <w:r>
        <w:rPr>
          <w:rFonts w:ascii="Arial" w:cs="Arial" w:eastAsia="Arial" w:hAnsi="Arial"/>
          <w:sz w:val="19"/>
          <w:szCs w:val="19"/>
          <w:i w:val="1"/>
          <w:iCs w:val="1"/>
          <w:color w:val="auto"/>
        </w:rPr>
        <w:t>ir.martinmarietta.com/annuals.cfm.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662940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820" w:top="419" w:right="59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680"/>
        <w:spacing w:after="0"/>
        <w:rPr>
          <w:sz w:val="20"/>
          <w:szCs w:val="20"/>
          <w:color w:val="auto"/>
        </w:rPr>
      </w:pPr>
      <w:r>
        <w:rPr>
          <w:rFonts w:ascii="Arial" w:cs="Arial" w:eastAsia="Arial" w:hAnsi="Arial"/>
          <w:sz w:val="29"/>
          <w:szCs w:val="29"/>
          <w:b w:val="1"/>
          <w:bCs w:val="1"/>
          <w:color w:val="auto"/>
        </w:rPr>
        <w:t>PROXY STATEMENT</w:t>
      </w:r>
    </w:p>
    <w:p>
      <w:pPr>
        <w:spacing w:after="0" w:line="243"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GENERAL INFORMATION</w:t>
      </w:r>
    </w:p>
    <w:p>
      <w:pPr>
        <w:spacing w:after="0" w:line="178" w:lineRule="exact"/>
        <w:rPr>
          <w:sz w:val="20"/>
          <w:szCs w:val="20"/>
          <w:color w:val="auto"/>
        </w:rPr>
      </w:pPr>
    </w:p>
    <w:p>
      <w:pPr>
        <w:ind w:left="980" w:right="20" w:firstLine="609"/>
        <w:spacing w:after="0" w:line="282"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to be held on Thursday, May 12, 2011, at 11:30 a.m. at the Corporation’s principal office, 2710 Wycliff Road, Raleigh, North Carolina. The Corporation’s audited financial statements and portions of the Annual Report on Form 10-K for the fiscal year ended December 31, 2010 are being mailed to shareholders with this proxy statement.</w:t>
      </w:r>
    </w:p>
    <w:p>
      <w:pPr>
        <w:spacing w:after="0" w:line="108" w:lineRule="exact"/>
        <w:rPr>
          <w:sz w:val="20"/>
          <w:szCs w:val="20"/>
          <w:color w:val="auto"/>
        </w:rPr>
      </w:pPr>
    </w:p>
    <w:p>
      <w:pPr>
        <w:ind w:left="980" w:right="160" w:firstLine="609"/>
        <w:spacing w:after="0" w:line="260" w:lineRule="auto"/>
        <w:rPr>
          <w:sz w:val="20"/>
          <w:szCs w:val="20"/>
          <w:color w:val="auto"/>
        </w:rPr>
      </w:pPr>
      <w:r>
        <w:rPr>
          <w:rFonts w:ascii="Arial" w:cs="Arial" w:eastAsia="Arial" w:hAnsi="Arial"/>
          <w:sz w:val="20"/>
          <w:szCs w:val="20"/>
          <w:color w:val="auto"/>
        </w:rPr>
        <w:t>This proxy statement, the proxy card, and the notice of meeting are being sent commencing on approximately April 8, 2011 to shareholders of record on March 4, 2011.</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purpose of the annual meeting?</w:t>
      </w:r>
    </w:p>
    <w:p>
      <w:pPr>
        <w:spacing w:after="0" w:line="162" w:lineRule="exact"/>
        <w:rPr>
          <w:sz w:val="20"/>
          <w:szCs w:val="20"/>
          <w:color w:val="auto"/>
        </w:rPr>
      </w:pPr>
    </w:p>
    <w:p>
      <w:pPr>
        <w:ind w:left="980" w:right="200" w:firstLine="609"/>
        <w:spacing w:after="0" w:line="291"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84" w:lineRule="exact"/>
        <w:rPr>
          <w:sz w:val="20"/>
          <w:szCs w:val="20"/>
          <w:color w:val="auto"/>
        </w:rPr>
      </w:pPr>
    </w:p>
    <w:p>
      <w:pPr>
        <w:ind w:left="980" w:right="240" w:firstLine="609"/>
        <w:spacing w:after="0" w:line="260" w:lineRule="auto"/>
        <w:rPr>
          <w:sz w:val="20"/>
          <w:szCs w:val="20"/>
          <w:color w:val="auto"/>
        </w:rPr>
      </w:pPr>
      <w:r>
        <w:rPr>
          <w:rFonts w:ascii="Arial" w:cs="Arial" w:eastAsia="Arial" w:hAnsi="Arial"/>
          <w:sz w:val="20"/>
          <w:szCs w:val="20"/>
          <w:color w:val="auto"/>
        </w:rPr>
        <w:t>Whether or not you plan to attend the meeting, we encourage you to date, sign, and return your proxy in the enclosed envelope.</w:t>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is entitled to vote at the meeting?</w:t>
      </w:r>
    </w:p>
    <w:p>
      <w:pPr>
        <w:spacing w:after="0" w:line="148"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Only shareholders of record at the close of business on March 4, 2011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are the voting rights of the holders of Martin Marietta Materials common stock?</w:t>
      </w:r>
    </w:p>
    <w:p>
      <w:pPr>
        <w:spacing w:after="0" w:line="14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Each share of Martin Marietta Materials common stock is entitled to one vote on each matter considered at the meeting.</w:t>
      </w:r>
    </w:p>
    <w:p>
      <w:pPr>
        <w:spacing w:after="0" w:line="35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can attend the meeting?</w:t>
      </w:r>
    </w:p>
    <w:p>
      <w:pPr>
        <w:spacing w:after="0" w:line="148" w:lineRule="exact"/>
        <w:rPr>
          <w:sz w:val="20"/>
          <w:szCs w:val="20"/>
          <w:color w:val="auto"/>
        </w:rPr>
      </w:pPr>
    </w:p>
    <w:p>
      <w:pPr>
        <w:ind w:left="980" w:right="660" w:firstLine="609"/>
        <w:spacing w:after="0" w:line="386"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constitutes a quorum?</w:t>
      </w:r>
    </w:p>
    <w:p>
      <w:pPr>
        <w:spacing w:after="0" w:line="148" w:lineRule="exact"/>
        <w:rPr>
          <w:sz w:val="20"/>
          <w:szCs w:val="20"/>
          <w:color w:val="auto"/>
        </w:rPr>
      </w:pPr>
    </w:p>
    <w:p>
      <w:pPr>
        <w:ind w:left="980" w:firstLine="609"/>
        <w:spacing w:after="0" w:line="269" w:lineRule="auto"/>
        <w:rPr>
          <w:sz w:val="20"/>
          <w:szCs w:val="20"/>
          <w:color w:val="auto"/>
        </w:rPr>
      </w:pPr>
      <w:r>
        <w:rPr>
          <w:rFonts w:ascii="Arial" w:cs="Arial" w:eastAsia="Arial" w:hAnsi="Arial"/>
          <w:sz w:val="19"/>
          <w:szCs w:val="19"/>
          <w:color w:val="auto"/>
        </w:rPr>
        <w:t>The presence at the meeting, in person or by proxy, of the holders of a majority of the common stock outstanding on the record date constitutes a quorum, permitting shareholders to take action at the meeting. On March 4, 2011, there were 45,496,606 shares outstanding of the Corporation’s common stock, $.01 par value per share.</w:t>
      </w:r>
    </w:p>
    <w:p>
      <w:pPr>
        <w:spacing w:after="0" w:line="17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1266190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will oversee the voting results?</w:t>
      </w:r>
    </w:p>
    <w:p>
      <w:pPr>
        <w:spacing w:after="0" w:line="148"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but has discretionary authority to vote on other matters at the annual meeting, then those shares represented by the proxy will be counted as present and entitled to vote for the purposes of determining the presence of a quorum for the meeting.</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 I vote?</w:t>
      </w:r>
    </w:p>
    <w:p>
      <w:pPr>
        <w:spacing w:after="0" w:line="148" w:lineRule="exact"/>
        <w:rPr>
          <w:sz w:val="20"/>
          <w:szCs w:val="20"/>
          <w:color w:val="auto"/>
        </w:rPr>
      </w:pPr>
    </w:p>
    <w:p>
      <w:pPr>
        <w:jc w:val="both"/>
        <w:ind w:left="980" w:right="20" w:firstLine="609"/>
        <w:spacing w:after="0" w:line="246" w:lineRule="auto"/>
        <w:rPr>
          <w:sz w:val="20"/>
          <w:szCs w:val="20"/>
          <w:color w:val="auto"/>
        </w:rPr>
      </w:pPr>
      <w:r>
        <w:rPr>
          <w:rFonts w:ascii="Arial" w:cs="Arial" w:eastAsia="Arial" w:hAnsi="Arial"/>
          <w:sz w:val="20"/>
          <w:szCs w:val="20"/>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Can I change my vote after I return my proxy card?</w:t>
      </w:r>
    </w:p>
    <w:p>
      <w:pPr>
        <w:spacing w:after="0" w:line="148"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Yes. Even after you have submitted your vote, you may revoke your proxy at any time prior to its exercise at the annual meeting (i) by filing with the Corporation’s Corporate Secretary an instrument revoking the proxy prior to the meeting, (ii) by the timely delivery to the Corporation’s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2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 I vote my 401(k) shares?</w:t>
      </w:r>
    </w:p>
    <w:p>
      <w:pPr>
        <w:spacing w:after="0" w:line="148"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brokers required to vote? What are “broker non-votes”?</w:t>
      </w:r>
    </w:p>
    <w:p>
      <w:pPr>
        <w:spacing w:after="0" w:line="148" w:lineRule="exact"/>
        <w:rPr>
          <w:sz w:val="20"/>
          <w:szCs w:val="20"/>
          <w:color w:val="auto"/>
        </w:rPr>
      </w:pPr>
    </w:p>
    <w:p>
      <w:pPr>
        <w:ind w:left="980" w:right="80" w:firstLine="609"/>
        <w:spacing w:after="0" w:line="255" w:lineRule="auto"/>
        <w:rPr>
          <w:sz w:val="20"/>
          <w:szCs w:val="20"/>
          <w:color w:val="auto"/>
        </w:rPr>
      </w:pPr>
      <w:r>
        <w:rPr>
          <w:rFonts w:ascii="Arial" w:cs="Arial" w:eastAsia="Arial" w:hAnsi="Arial"/>
          <w:sz w:val="19"/>
          <w:szCs w:val="19"/>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In such cases, absent specific instructions from the beneficial owner, the broker may not vote on those proposals. This results in what is known as a “broker non-vote.” The ratification of the appointment of independent auditors is not such a proposal. Accordingly, if you want your broker to vote your shares on the election of Directors, the approval on an advisory basis of the compensation of our named executive officers, or the approval on an advisory basis of a particular frequency for a shareholder vote on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197"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502920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my broker vote my shares for me on the election of Directors?</w:t>
      </w:r>
    </w:p>
    <w:p>
      <w:pPr>
        <w:spacing w:after="0" w:line="148" w:lineRule="exact"/>
        <w:rPr>
          <w:sz w:val="20"/>
          <w:szCs w:val="20"/>
          <w:color w:val="auto"/>
        </w:rPr>
      </w:pPr>
    </w:p>
    <w:p>
      <w:pPr>
        <w:jc w:val="both"/>
        <w:ind w:left="980" w:right="20" w:firstLine="609"/>
        <w:spacing w:after="0" w:line="246" w:lineRule="auto"/>
        <w:rPr>
          <w:sz w:val="20"/>
          <w:szCs w:val="20"/>
          <w:color w:val="auto"/>
        </w:rPr>
      </w:pPr>
      <w:r>
        <w:rPr>
          <w:rFonts w:ascii="Arial" w:cs="Arial" w:eastAsia="Arial" w:hAnsi="Arial"/>
          <w:sz w:val="20"/>
          <w:szCs w:val="20"/>
          <w:color w:val="auto"/>
        </w:rPr>
        <w:t xml:space="preserve">Under the New York Stock Exchange rules, the election of Directors and the advisory votes on executive compensation are not considered routine matters and your broker will </w:t>
      </w:r>
      <w:r>
        <w:rPr>
          <w:rFonts w:ascii="Arial" w:cs="Arial" w:eastAsia="Arial" w:hAnsi="Arial"/>
          <w:sz w:val="20"/>
          <w:szCs w:val="20"/>
          <w:b w:val="1"/>
          <w:bCs w:val="1"/>
          <w:color w:val="auto"/>
        </w:rPr>
        <w:t>not</w:t>
      </w:r>
      <w:r>
        <w:rPr>
          <w:rFonts w:ascii="Arial" w:cs="Arial" w:eastAsia="Arial" w:hAnsi="Arial"/>
          <w:sz w:val="20"/>
          <w:szCs w:val="20"/>
          <w:color w:val="auto"/>
        </w:rPr>
        <w:t xml:space="preserve"> be able to vote your shares with respect to those matters if you have not provided directions to your broker. We strongly encourage you to submit your proxy card and exercise your right to vote as a shareholder.</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vote is required to approve each item?</w:t>
      </w:r>
    </w:p>
    <w:p>
      <w:pPr>
        <w:spacing w:after="0" w:line="148" w:lineRule="exact"/>
        <w:rPr>
          <w:sz w:val="20"/>
          <w:szCs w:val="20"/>
          <w:color w:val="auto"/>
        </w:rPr>
      </w:pPr>
    </w:p>
    <w:p>
      <w:pPr>
        <w:jc w:val="both"/>
        <w:ind w:left="980" w:right="20" w:firstLine="609"/>
        <w:spacing w:after="0" w:line="260" w:lineRule="auto"/>
        <w:rPr>
          <w:sz w:val="20"/>
          <w:szCs w:val="20"/>
          <w:color w:val="auto"/>
        </w:rPr>
      </w:pPr>
      <w:r>
        <w:rPr>
          <w:rFonts w:ascii="Arial" w:cs="Arial" w:eastAsia="Arial" w:hAnsi="Arial"/>
          <w:sz w:val="20"/>
          <w:szCs w:val="20"/>
          <w:color w:val="auto"/>
        </w:rPr>
        <w:t>The election of Directors requires a plurality of the votes cast. “Withheld” votes are not counted in determining whether a plurality of votes was received by a Director nominee.</w:t>
      </w:r>
    </w:p>
    <w:p>
      <w:pPr>
        <w:spacing w:after="0" w:line="123"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The ratification of the selection of independent auditors, the approval on an advisory basis of the compensation of our named executive officers, and the approval on an advisory basis of a particular frequency for a shareholder vote on the compensation of our named executive officers,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141"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With respect to any other matters that may properly be introduced at the annual meeting, the Corporation’s Bylaws generally require the affirmative vote of a majority of the votes cast for or against a proposal at the meeting to authorize action by the shareholders at the annual meeting.</w:t>
      </w:r>
    </w:p>
    <w:p>
      <w:pPr>
        <w:spacing w:after="0" w:line="26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are the Board’s recommendations?</w:t>
      </w:r>
    </w:p>
    <w:p>
      <w:pPr>
        <w:spacing w:after="0" w:line="162" w:lineRule="exact"/>
        <w:rPr>
          <w:sz w:val="20"/>
          <w:szCs w:val="20"/>
          <w:color w:val="auto"/>
        </w:rPr>
      </w:pPr>
    </w:p>
    <w:p>
      <w:pPr>
        <w:ind w:left="980" w:right="140" w:firstLine="609"/>
        <w:spacing w:after="0" w:line="250" w:lineRule="auto"/>
        <w:rPr>
          <w:sz w:val="20"/>
          <w:szCs w:val="20"/>
          <w:color w:val="auto"/>
        </w:rPr>
      </w:pPr>
      <w:r>
        <w:rPr>
          <w:rFonts w:ascii="Arial" w:cs="Arial" w:eastAsia="Arial" w:hAnsi="Arial"/>
          <w:sz w:val="20"/>
          <w:szCs w:val="20"/>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113" w:lineRule="exact"/>
        <w:rPr>
          <w:sz w:val="20"/>
          <w:szCs w:val="20"/>
          <w:color w:val="auto"/>
        </w:rPr>
      </w:pPr>
    </w:p>
    <w:p>
      <w:pPr>
        <w:ind w:left="1800" w:hanging="208"/>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the nominated slate of Directors;</w:t>
      </w:r>
    </w:p>
    <w:p>
      <w:pPr>
        <w:spacing w:after="0" w:line="134" w:lineRule="exact"/>
        <w:rPr>
          <w:rFonts w:ascii="Arial" w:cs="Arial" w:eastAsia="Arial" w:hAnsi="Arial"/>
          <w:sz w:val="20"/>
          <w:szCs w:val="20"/>
          <w:color w:val="auto"/>
        </w:rPr>
      </w:pPr>
    </w:p>
    <w:p>
      <w:pPr>
        <w:ind w:left="1800" w:hanging="208"/>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ratification of the selection of Ernst &amp; Young LLP as independent auditors;</w:t>
      </w:r>
    </w:p>
    <w:p>
      <w:pPr>
        <w:spacing w:after="0" w:line="134" w:lineRule="exact"/>
        <w:rPr>
          <w:rFonts w:ascii="Arial" w:cs="Arial" w:eastAsia="Arial" w:hAnsi="Arial"/>
          <w:sz w:val="20"/>
          <w:szCs w:val="20"/>
          <w:color w:val="auto"/>
        </w:rPr>
      </w:pPr>
    </w:p>
    <w:p>
      <w:pPr>
        <w:ind w:left="1800" w:hanging="208"/>
        <w:spacing w:after="0" w:line="267" w:lineRule="auto"/>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by a non-binding advisory vote, of the compensation of our named executive officers as described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Proxy Statement; and</w:t>
      </w:r>
    </w:p>
    <w:p>
      <w:pPr>
        <w:spacing w:after="0" w:line="82" w:lineRule="exact"/>
        <w:rPr>
          <w:rFonts w:ascii="Arial" w:cs="Arial" w:eastAsia="Arial" w:hAnsi="Arial"/>
          <w:sz w:val="20"/>
          <w:szCs w:val="20"/>
          <w:color w:val="auto"/>
        </w:rPr>
      </w:pPr>
    </w:p>
    <w:p>
      <w:pPr>
        <w:ind w:left="1800" w:right="520" w:hanging="208"/>
        <w:spacing w:after="0" w:line="267" w:lineRule="auto"/>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approval, by a non-binding advisory vote, of conducting an advisory vote on the compensation of our</w:t>
      </w:r>
      <w:r>
        <w:rPr>
          <w:rFonts w:ascii="Arial" w:cs="Arial" w:eastAsia="Arial" w:hAnsi="Arial"/>
          <w:sz w:val="20"/>
          <w:szCs w:val="20"/>
          <w:b w:val="1"/>
          <w:bCs w:val="1"/>
          <w:color w:val="auto"/>
        </w:rPr>
        <w:t xml:space="preserve"> </w:t>
      </w:r>
      <w:r>
        <w:rPr>
          <w:rFonts w:ascii="Arial" w:cs="Arial" w:eastAsia="Arial" w:hAnsi="Arial"/>
          <w:sz w:val="20"/>
          <w:szCs w:val="20"/>
          <w:color w:val="auto"/>
        </w:rPr>
        <w:t>named executive officers every three (3) years.</w:t>
      </w:r>
    </w:p>
    <w:p>
      <w:pPr>
        <w:spacing w:after="0" w:line="116" w:lineRule="exact"/>
        <w:rPr>
          <w:sz w:val="20"/>
          <w:szCs w:val="20"/>
          <w:color w:val="auto"/>
        </w:rPr>
      </w:pPr>
    </w:p>
    <w:p>
      <w:pPr>
        <w:ind w:left="980" w:right="200" w:firstLine="609"/>
        <w:spacing w:after="0" w:line="260" w:lineRule="auto"/>
        <w:rPr>
          <w:sz w:val="20"/>
          <w:szCs w:val="20"/>
          <w:color w:val="auto"/>
        </w:rPr>
      </w:pPr>
      <w:r>
        <w:rPr>
          <w:rFonts w:ascii="Arial" w:cs="Arial" w:eastAsia="Arial" w:hAnsi="Arial"/>
          <w:sz w:val="20"/>
          <w:szCs w:val="20"/>
          <w:color w:val="auto"/>
        </w:rPr>
        <w:t>With respect to any other matter that properly comes before the meeting, the proxy holders will vote as recommended by the Board of Directors or, if no recommendation is given, in their own discretion.</w:t>
      </w:r>
    </w:p>
    <w:p>
      <w:pPr>
        <w:spacing w:after="0" w:line="200" w:lineRule="exact"/>
        <w:rPr>
          <w:sz w:val="20"/>
          <w:szCs w:val="20"/>
          <w:color w:val="auto"/>
        </w:rPr>
      </w:pPr>
    </w:p>
    <w:p>
      <w:pPr>
        <w:spacing w:after="0" w:line="201" w:lineRule="exact"/>
        <w:rPr>
          <w:sz w:val="20"/>
          <w:szCs w:val="20"/>
          <w:color w:val="auto"/>
        </w:rPr>
      </w:pPr>
    </w:p>
    <w:p>
      <w:pPr>
        <w:ind w:left="2220" w:right="1220" w:firstLine="38"/>
        <w:spacing w:after="0" w:line="293" w:lineRule="auto"/>
        <w:rPr>
          <w:sz w:val="20"/>
          <w:szCs w:val="20"/>
          <w:color w:val="auto"/>
        </w:rPr>
      </w:pPr>
      <w:r>
        <w:rPr>
          <w:rFonts w:ascii="Arial" w:cs="Arial" w:eastAsia="Arial" w:hAnsi="Arial"/>
          <w:sz w:val="19"/>
          <w:szCs w:val="19"/>
          <w:b w:val="1"/>
          <w:bCs w:val="1"/>
          <w:color w:val="auto"/>
        </w:rPr>
        <w:t>IMPORTANT NOTICE REGARDING THE AVAILABILITY OF PROXY MATERIALS FOR THE ANNUAL MEETING OF SHAREHOLDERS TO BE HELD ON MAY 12, 2011</w:t>
      </w:r>
    </w:p>
    <w:p>
      <w:pPr>
        <w:spacing w:after="0" w:line="94" w:lineRule="exact"/>
        <w:rPr>
          <w:sz w:val="20"/>
          <w:szCs w:val="20"/>
          <w:color w:val="auto"/>
        </w:rPr>
      </w:pPr>
    </w:p>
    <w:p>
      <w:pPr>
        <w:ind w:left="980" w:right="1700" w:firstLine="609"/>
        <w:spacing w:after="0" w:line="260" w:lineRule="auto"/>
        <w:rPr>
          <w:sz w:val="20"/>
          <w:szCs w:val="20"/>
          <w:color w:val="auto"/>
        </w:rPr>
      </w:pPr>
      <w:r>
        <w:rPr>
          <w:rFonts w:ascii="Arial" w:cs="Arial" w:eastAsia="Arial" w:hAnsi="Arial"/>
          <w:sz w:val="20"/>
          <w:szCs w:val="20"/>
          <w:color w:val="auto"/>
        </w:rPr>
        <w:t xml:space="preserve">This proxy statement, form of proxy card and the accompanying annual report are also available at </w:t>
      </w:r>
      <w:r>
        <w:rPr>
          <w:rFonts w:ascii="Arial" w:cs="Arial" w:eastAsia="Arial" w:hAnsi="Arial"/>
          <w:sz w:val="20"/>
          <w:szCs w:val="20"/>
          <w:i w:val="1"/>
          <w:iCs w:val="1"/>
          <w:color w:val="auto"/>
        </w:rPr>
        <w:t>ir.martinmarietta.com/annuals.cfm</w:t>
      </w:r>
      <w:r>
        <w:rPr>
          <w:rFonts w:ascii="Arial" w:cs="Arial" w:eastAsia="Arial" w:hAnsi="Arial"/>
          <w:sz w:val="20"/>
          <w:szCs w:val="20"/>
          <w:color w:val="auto"/>
        </w:rPr>
        <w:t>.</w:t>
      </w:r>
    </w:p>
    <w:p>
      <w:pPr>
        <w:spacing w:after="0" w:line="253"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871220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SECURITY OWNERSHIP OF CERTAIN</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BENEFICIAL OWNERS AND MANAGEMENT</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are the largest owners of the Corporation’s stock?</w:t>
      </w:r>
    </w:p>
    <w:p>
      <w:pPr>
        <w:spacing w:after="0" w:line="121" w:lineRule="exact"/>
        <w:rPr>
          <w:sz w:val="20"/>
          <w:szCs w:val="20"/>
          <w:color w:val="auto"/>
        </w:rPr>
      </w:pPr>
    </w:p>
    <w:p>
      <w:pPr>
        <w:ind w:left="980" w:right="40" w:firstLine="609"/>
        <w:spacing w:after="0" w:line="244" w:lineRule="auto"/>
        <w:rPr>
          <w:sz w:val="20"/>
          <w:szCs w:val="20"/>
          <w:color w:val="auto"/>
        </w:rPr>
      </w:pPr>
      <w:r>
        <w:rPr>
          <w:rFonts w:ascii="Arial" w:cs="Arial" w:eastAsia="Arial" w:hAnsi="Arial"/>
          <w:sz w:val="20"/>
          <w:szCs w:val="20"/>
          <w:color w:val="auto"/>
        </w:rPr>
        <w:t>The following table sets forth information with respect to the shares of common stock which are held by persons known to the Corporation to be the beneficial owners of more than 5% of such stock as of March 4, 2011. To the best of the Corporation’s knowledge, based in part on filings with the Securities and Exchange Commission as noted below, no person beneficially owned more than 5% of any class of the Corporation’s outstanding voting securities at the close of business on March 4, 2011, except for those shown below.</w:t>
      </w:r>
    </w:p>
    <w:p>
      <w:pPr>
        <w:spacing w:after="0" w:line="327" w:lineRule="exact"/>
        <w:rPr>
          <w:sz w:val="20"/>
          <w:szCs w:val="20"/>
          <w:color w:val="auto"/>
        </w:rPr>
      </w:pPr>
    </w:p>
    <w:tbl>
      <w:tblPr>
        <w:tblLayout w:type="fixed"/>
        <w:tblInd w:w="970" w:type="dxa"/>
        <w:tblCellMar>
          <w:top w:w="0" w:type="dxa"/>
          <w:left w:w="0" w:type="dxa"/>
          <w:bottom w:w="0" w:type="dxa"/>
          <w:right w:w="0" w:type="dxa"/>
        </w:tblCellMar>
      </w:tblPr>
      <w:tr>
        <w:trPr>
          <w:trHeight w:val="153"/>
        </w:trPr>
        <w:tc>
          <w:tcPr>
            <w:tcW w:w="720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Name and Address of Beneficial Owner</w:t>
            </w:r>
          </w:p>
        </w:tc>
        <w:tc>
          <w:tcPr>
            <w:tcW w:w="2200" w:type="dxa"/>
            <w:vAlign w:val="bottom"/>
            <w:tcBorders>
              <w:top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Amount and Nature of</w:t>
            </w:r>
          </w:p>
        </w:tc>
        <w:tc>
          <w:tcPr>
            <w:tcW w:w="760" w:type="dxa"/>
            <w:vAlign w:val="bottom"/>
            <w:tcBorders>
              <w:top w:val="single" w:sz="8" w:color="auto"/>
            </w:tcBorders>
          </w:tcPr>
          <w:p>
            <w:pPr>
              <w:jc w:val="right"/>
              <w:ind w:right="94"/>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8"/>
        </w:trPr>
        <w:tc>
          <w:tcPr>
            <w:tcW w:w="7200" w:type="dxa"/>
            <w:vAlign w:val="bottom"/>
            <w:tcBorders>
              <w:left w:val="single" w:sz="8" w:color="auto"/>
              <w:bottom w:val="single" w:sz="8" w:color="auto"/>
            </w:tcBorders>
            <w:vMerge w:val="continue"/>
          </w:tcPr>
          <w:p>
            <w:pPr>
              <w:spacing w:after="0"/>
              <w:rPr>
                <w:sz w:val="15"/>
                <w:szCs w:val="15"/>
                <w:color w:val="auto"/>
              </w:rPr>
            </w:pPr>
          </w:p>
        </w:tc>
        <w:tc>
          <w:tcPr>
            <w:tcW w:w="2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Beneficial Ownership</w:t>
            </w: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15"/>
                <w:szCs w:val="15"/>
                <w:color w:val="auto"/>
              </w:rPr>
              <w:t>(1)</w:t>
            </w:r>
          </w:p>
        </w:tc>
        <w:tc>
          <w:tcPr>
            <w:tcW w:w="22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6,147,395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2"/>
        </w:trPr>
        <w:tc>
          <w:tcPr>
            <w:tcW w:w="7200" w:type="dxa"/>
            <w:vAlign w:val="bottom"/>
            <w:tcBorders>
              <w:left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2949 East Elvira Road, Suite 101</w:t>
            </w:r>
          </w:p>
        </w:tc>
        <w:tc>
          <w:tcPr>
            <w:tcW w:w="2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Tucson, AZ 85706</w:t>
            </w:r>
          </w:p>
        </w:tc>
        <w:tc>
          <w:tcPr>
            <w:tcW w:w="2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SPO Advisory Corp.</w:t>
            </w:r>
            <w:r>
              <w:rPr>
                <w:rFonts w:ascii="Arial" w:cs="Arial" w:eastAsia="Arial" w:hAnsi="Arial"/>
                <w:sz w:val="15"/>
                <w:szCs w:val="15"/>
                <w:color w:val="auto"/>
              </w:rPr>
              <w:t>(2)</w:t>
            </w:r>
          </w:p>
        </w:tc>
        <w:tc>
          <w:tcPr>
            <w:tcW w:w="2200" w:type="dxa"/>
            <w:vAlign w:val="bottom"/>
          </w:tcPr>
          <w:p>
            <w:pPr>
              <w:jc w:val="right"/>
              <w:ind w:right="294"/>
              <w:spacing w:after="0"/>
              <w:rPr>
                <w:sz w:val="20"/>
                <w:szCs w:val="20"/>
                <w:color w:val="auto"/>
              </w:rPr>
            </w:pPr>
            <w:r>
              <w:rPr>
                <w:rFonts w:ascii="Arial" w:cs="Arial" w:eastAsia="Arial" w:hAnsi="Arial"/>
                <w:sz w:val="18"/>
                <w:szCs w:val="18"/>
                <w:color w:val="auto"/>
              </w:rPr>
              <w:t>5,381,235</w:t>
            </w:r>
          </w:p>
        </w:tc>
        <w:tc>
          <w:tcPr>
            <w:tcW w:w="76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591 Redwood Highway, #3215</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Mill Valley, CA 94941</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Southeastern Asset Management</w:t>
            </w:r>
            <w:r>
              <w:rPr>
                <w:rFonts w:ascii="Arial" w:cs="Arial" w:eastAsia="Arial" w:hAnsi="Arial"/>
                <w:sz w:val="15"/>
                <w:szCs w:val="15"/>
                <w:color w:val="auto"/>
              </w:rPr>
              <w:t>(3)</w:t>
            </w:r>
          </w:p>
        </w:tc>
        <w:tc>
          <w:tcPr>
            <w:tcW w:w="22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4,478,670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2"/>
        </w:trPr>
        <w:tc>
          <w:tcPr>
            <w:tcW w:w="7200" w:type="dxa"/>
            <w:vAlign w:val="bottom"/>
            <w:tcBorders>
              <w:left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6410 Poplar Ave., Suite 900</w:t>
            </w:r>
          </w:p>
        </w:tc>
        <w:tc>
          <w:tcPr>
            <w:tcW w:w="2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Memphis, TN 38119</w:t>
            </w:r>
          </w:p>
        </w:tc>
        <w:tc>
          <w:tcPr>
            <w:tcW w:w="2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RS Investment Management Co. LLC</w:t>
            </w:r>
            <w:r>
              <w:rPr>
                <w:rFonts w:ascii="Arial" w:cs="Arial" w:eastAsia="Arial" w:hAnsi="Arial"/>
                <w:sz w:val="15"/>
                <w:szCs w:val="15"/>
                <w:color w:val="auto"/>
              </w:rPr>
              <w:t>(4)</w:t>
            </w:r>
          </w:p>
        </w:tc>
        <w:tc>
          <w:tcPr>
            <w:tcW w:w="2200" w:type="dxa"/>
            <w:vAlign w:val="bottom"/>
          </w:tcPr>
          <w:p>
            <w:pPr>
              <w:jc w:val="right"/>
              <w:ind w:right="294"/>
              <w:spacing w:after="0"/>
              <w:rPr>
                <w:sz w:val="20"/>
                <w:szCs w:val="20"/>
                <w:color w:val="auto"/>
              </w:rPr>
            </w:pPr>
            <w:r>
              <w:rPr>
                <w:rFonts w:ascii="Arial" w:cs="Arial" w:eastAsia="Arial" w:hAnsi="Arial"/>
                <w:sz w:val="18"/>
                <w:szCs w:val="18"/>
                <w:color w:val="auto"/>
              </w:rPr>
              <w:t>3,155,012</w:t>
            </w:r>
          </w:p>
        </w:tc>
        <w:tc>
          <w:tcPr>
            <w:tcW w:w="7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388 Market Street, Suite 1700</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San Francisco, CA 94111</w:t>
            </w:r>
          </w:p>
        </w:tc>
        <w:tc>
          <w:tcPr>
            <w:tcW w:w="2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22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2,496,237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2"/>
        </w:trPr>
        <w:tc>
          <w:tcPr>
            <w:tcW w:w="7200" w:type="dxa"/>
            <w:vAlign w:val="bottom"/>
            <w:tcBorders>
              <w:left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40 East 52nd Street</w:t>
            </w:r>
          </w:p>
        </w:tc>
        <w:tc>
          <w:tcPr>
            <w:tcW w:w="2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York, NY 10022</w:t>
            </w:r>
          </w:p>
        </w:tc>
        <w:tc>
          <w:tcPr>
            <w:tcW w:w="2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CI Investments, Inc.</w:t>
            </w:r>
            <w:r>
              <w:rPr>
                <w:rFonts w:ascii="Arial" w:cs="Arial" w:eastAsia="Arial" w:hAnsi="Arial"/>
                <w:sz w:val="15"/>
                <w:szCs w:val="15"/>
                <w:color w:val="auto"/>
              </w:rPr>
              <w:t>(6)</w:t>
            </w:r>
          </w:p>
        </w:tc>
        <w:tc>
          <w:tcPr>
            <w:tcW w:w="2200" w:type="dxa"/>
            <w:vAlign w:val="bottom"/>
          </w:tcPr>
          <w:p>
            <w:pPr>
              <w:jc w:val="right"/>
              <w:ind w:right="294"/>
              <w:spacing w:after="0"/>
              <w:rPr>
                <w:sz w:val="20"/>
                <w:szCs w:val="20"/>
                <w:color w:val="auto"/>
              </w:rPr>
            </w:pPr>
            <w:r>
              <w:rPr>
                <w:rFonts w:ascii="Arial" w:cs="Arial" w:eastAsia="Arial" w:hAnsi="Arial"/>
                <w:sz w:val="18"/>
                <w:szCs w:val="18"/>
                <w:color w:val="auto"/>
              </w:rPr>
              <w:t>2,400,000</w:t>
            </w:r>
          </w:p>
        </w:tc>
        <w:tc>
          <w:tcPr>
            <w:tcW w:w="76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 Queen Street East, 20th Floor</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Toronto, ON M5C 3G7</w:t>
            </w:r>
          </w:p>
        </w:tc>
        <w:tc>
          <w:tcPr>
            <w:tcW w:w="2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Canada</w:t>
            </w:r>
          </w:p>
        </w:tc>
        <w:tc>
          <w:tcPr>
            <w:tcW w:w="2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13G/A dated December 31, 2010 filed with the Securities and Exchange Commission on February 14, 2011.</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13F dated December 31, 2010 filed with the Securities and Exchange Commission on February 14, 2011.</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 dated December 31, 2010 filed with the Securities and Exchange Commission on February 7, 2011.</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 dated December 31, 2010 filed with the Securities and Exchange Commission on February 9, 2011.</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13G/A dated December 31, 2010 filed with the Securities and Exchange Commission on February 7, 2011.</w:t>
      </w:r>
    </w:p>
    <w:p>
      <w:pPr>
        <w:spacing w:after="0" w:line="41" w:lineRule="exact"/>
        <w:rPr>
          <w:rFonts w:ascii="Arial" w:cs="Arial" w:eastAsia="Arial" w:hAnsi="Arial"/>
          <w:sz w:val="14"/>
          <w:szCs w:val="14"/>
          <w:color w:val="auto"/>
        </w:rPr>
      </w:pPr>
    </w:p>
    <w:p>
      <w:pPr>
        <w:ind w:left="1220" w:hanging="250"/>
        <w:spacing w:after="0"/>
        <w:tabs>
          <w:tab w:leader="none" w:pos="1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13F dated December 31, 2010 filed with the Securities and Exchange Commission on January 27, 2011.</w:t>
      </w:r>
    </w:p>
    <w:p>
      <w:pPr>
        <w:spacing w:after="0" w:line="214"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1266190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much stock do the Corporation’s Directors and executive officers own?</w:t>
      </w:r>
    </w:p>
    <w:p>
      <w:pPr>
        <w:spacing w:after="0" w:line="121" w:lineRule="exact"/>
        <w:rPr>
          <w:sz w:val="20"/>
          <w:szCs w:val="20"/>
          <w:color w:val="auto"/>
        </w:rPr>
      </w:pPr>
    </w:p>
    <w:p>
      <w:pPr>
        <w:jc w:val="both"/>
        <w:ind w:left="980" w:right="480" w:firstLine="609"/>
        <w:spacing w:after="0" w:line="246" w:lineRule="auto"/>
        <w:rPr>
          <w:sz w:val="20"/>
          <w:szCs w:val="20"/>
          <w:color w:val="auto"/>
        </w:rPr>
      </w:pPr>
      <w:r>
        <w:rPr>
          <w:rFonts w:ascii="Arial" w:cs="Arial" w:eastAsia="Arial" w:hAnsi="Arial"/>
          <w:sz w:val="20"/>
          <w:szCs w:val="20"/>
          <w:color w:val="auto"/>
        </w:rPr>
        <w:t>The following table sets forth information as of March 4, 2011 with respect to the shares of common stock that are beneficially owned by the Directors and nominees, the Chief Executive Officer, the Chief Financial Officer, and the other executive officers listed in the Summary Compensation Table on page 42 of this proxy statement, individually, and by all Directors and executive officers of the Corporation as a group.</w:t>
      </w:r>
    </w:p>
    <w:p>
      <w:pPr>
        <w:spacing w:after="0" w:line="107" w:lineRule="exact"/>
        <w:rPr>
          <w:sz w:val="20"/>
          <w:szCs w:val="20"/>
          <w:color w:val="auto"/>
        </w:rPr>
      </w:pPr>
    </w:p>
    <w:tbl>
      <w:tblPr>
        <w:tblLayout w:type="fixed"/>
        <w:tblInd w:w="970" w:type="dxa"/>
        <w:tblCellMar>
          <w:top w:w="0" w:type="dxa"/>
          <w:left w:w="0" w:type="dxa"/>
          <w:bottom w:w="0" w:type="dxa"/>
          <w:right w:w="0" w:type="dxa"/>
        </w:tblCellMar>
      </w:tblPr>
      <w:tr>
        <w:trPr>
          <w:trHeight w:val="153"/>
        </w:trPr>
        <w:tc>
          <w:tcPr>
            <w:tcW w:w="766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w:t>
            </w:r>
          </w:p>
        </w:tc>
        <w:tc>
          <w:tcPr>
            <w:tcW w:w="2500" w:type="dxa"/>
            <w:vAlign w:val="bottom"/>
            <w:tcBorders>
              <w:top w:val="single" w:sz="8" w:color="auto"/>
            </w:tcBorders>
          </w:tcPr>
          <w:p>
            <w:pPr>
              <w:jc w:val="right"/>
              <w:ind w:right="872"/>
              <w:spacing w:after="0" w:line="153" w:lineRule="exact"/>
              <w:rPr>
                <w:sz w:val="20"/>
                <w:szCs w:val="20"/>
                <w:color w:val="auto"/>
              </w:rPr>
            </w:pPr>
            <w:r>
              <w:rPr>
                <w:rFonts w:ascii="Arial" w:cs="Arial" w:eastAsia="Arial" w:hAnsi="Arial"/>
                <w:sz w:val="14"/>
                <w:szCs w:val="14"/>
                <w:b w:val="1"/>
                <w:bCs w:val="1"/>
                <w:color w:val="auto"/>
              </w:rPr>
              <w:t>Amount and Nature of</w:t>
            </w:r>
          </w:p>
        </w:tc>
        <w:tc>
          <w:tcPr>
            <w:tcW w:w="0" w:type="dxa"/>
            <w:vAlign w:val="bottom"/>
          </w:tcPr>
          <w:p>
            <w:pPr>
              <w:spacing w:after="0"/>
              <w:rPr>
                <w:sz w:val="1"/>
                <w:szCs w:val="1"/>
                <w:color w:val="auto"/>
              </w:rPr>
            </w:pPr>
          </w:p>
        </w:tc>
      </w:tr>
      <w:tr>
        <w:trPr>
          <w:trHeight w:val="185"/>
        </w:trPr>
        <w:tc>
          <w:tcPr>
            <w:tcW w:w="7660" w:type="dxa"/>
            <w:vAlign w:val="bottom"/>
            <w:tcBorders>
              <w:left w:val="single" w:sz="8" w:color="auto"/>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w w:val="99"/>
              </w:rPr>
              <w:t>Beneficial Ownership</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23"/>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Sue W. Cole</w:t>
            </w:r>
          </w:p>
        </w:tc>
        <w:tc>
          <w:tcPr>
            <w:tcW w:w="2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36,290</w:t>
            </w: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Anne H. Lloyd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79,339</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David G. Maffucci</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19,942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William E. McDonald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32,063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Frank H. Menaker, Jr.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39,961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 Howard Nye</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80,176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Laree E. Perez</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17,676</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Michael J. Quillen</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7,791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Dennis L. Rediker</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23,203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Daniel G. Shephard</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78,987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Bruce A. Vaio</w:t>
            </w:r>
          </w:p>
        </w:tc>
        <w:tc>
          <w:tcPr>
            <w:tcW w:w="2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78,326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Richard A. Vinroot</w:t>
            </w:r>
          </w:p>
        </w:tc>
        <w:tc>
          <w:tcPr>
            <w:tcW w:w="2500" w:type="dxa"/>
            <w:vAlign w:val="bottom"/>
          </w:tcPr>
          <w:p>
            <w:pPr>
              <w:jc w:val="right"/>
              <w:ind w:right="532"/>
              <w:spacing w:after="0"/>
              <w:rPr>
                <w:sz w:val="20"/>
                <w:szCs w:val="20"/>
                <w:color w:val="auto"/>
              </w:rPr>
            </w:pPr>
            <w:r>
              <w:rPr>
                <w:rFonts w:ascii="Arial" w:cs="Arial" w:eastAsia="Arial" w:hAnsi="Arial"/>
                <w:sz w:val="18"/>
                <w:szCs w:val="18"/>
                <w:color w:val="auto"/>
              </w:rPr>
              <w:t>34,386</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6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Stephen P. Zelnak, Jr.</w:t>
            </w:r>
          </w:p>
        </w:tc>
        <w:tc>
          <w:tcPr>
            <w:tcW w:w="2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194,353</w:t>
            </w: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Directors and executive officers as a group (14 individuals including those named above)</w:t>
            </w:r>
          </w:p>
        </w:tc>
        <w:tc>
          <w:tcPr>
            <w:tcW w:w="2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791,232</w:t>
            </w:r>
            <w:r>
              <w:rPr>
                <w:rFonts w:ascii="Arial" w:cs="Arial" w:eastAsia="Arial" w:hAnsi="Arial"/>
                <w:sz w:val="15"/>
                <w:szCs w:val="15"/>
                <w:color w:val="auto"/>
              </w:rPr>
              <w:t>(2,3,4)</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20" w:hanging="242"/>
        <w:spacing w:after="0" w:line="238" w:lineRule="auto"/>
        <w:tabs>
          <w:tab w:leader="none" w:pos="1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1.74% of the shares of common stock outstanding as of March 4, 2011. None of the shares reported are pledged as security.</w:t>
      </w:r>
    </w:p>
    <w:p>
      <w:pPr>
        <w:spacing w:after="0" w:line="20" w:lineRule="exact"/>
        <w:rPr>
          <w:rFonts w:ascii="Arial" w:cs="Arial" w:eastAsia="Arial" w:hAnsi="Arial"/>
          <w:sz w:val="14"/>
          <w:szCs w:val="14"/>
          <w:color w:val="auto"/>
        </w:rPr>
      </w:pPr>
    </w:p>
    <w:p>
      <w:pPr>
        <w:ind w:left="1220" w:hanging="242"/>
        <w:spacing w:after="0" w:line="242"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Amounts reported include (1) compensation paid on an annual basis that Directors have received in common stock units that is deferred pursuant to the Amended and Restated Martin Marietta Materials, Inc. Common Stock Purchase Plan for Directors and (2) 1,155 restricted stock units that each Director received in 2010 as part of their compensation. The Directors do not have voting or investment power for their respective share units. The number of common stock units credited to each of the Directors as of March 4, 2011 is as follows: Ms. Cole, 13,040; Mr. Maffucci, 7,942; Mr. McDonald, 15,063; Mr. Menaker, 17,461; Ms. Perez, 5,676; Mr. Quillen, 4,791; Mr. Rediker, 8,903; Mr. Vinroot, 15,386; and Mr. Zelnak, 2,271. Amounts reported also include options for common stock for each Director, as follows: Ms. Cole, 19,000;</w:t>
      </w:r>
    </w:p>
    <w:p>
      <w:pPr>
        <w:spacing w:after="0" w:line="1" w:lineRule="exact"/>
        <w:rPr>
          <w:rFonts w:ascii="Arial" w:cs="Arial" w:eastAsia="Arial" w:hAnsi="Arial"/>
          <w:sz w:val="13"/>
          <w:szCs w:val="13"/>
          <w:color w:val="auto"/>
        </w:rPr>
      </w:pPr>
    </w:p>
    <w:p>
      <w:pPr>
        <w:ind w:left="1220" w:right="260"/>
        <w:spacing w:after="0" w:line="237" w:lineRule="auto"/>
        <w:rPr>
          <w:rFonts w:ascii="Arial" w:cs="Arial" w:eastAsia="Arial" w:hAnsi="Arial"/>
          <w:sz w:val="13"/>
          <w:szCs w:val="13"/>
          <w:color w:val="auto"/>
        </w:rPr>
      </w:pPr>
      <w:r>
        <w:rPr>
          <w:rFonts w:ascii="Arial" w:cs="Arial" w:eastAsia="Arial" w:hAnsi="Arial"/>
          <w:sz w:val="14"/>
          <w:szCs w:val="14"/>
          <w:color w:val="auto"/>
        </w:rPr>
        <w:t>Mr. Maffucci, 12,000; Mr. McDonald, 17,000; Mr. Menaker, 21,000; Ms. Perez, 12,000; Mr. Quillen, 3,000; Mr. Rediker, 14,300; Mr. Vinroot, 19,000; and Mr. Zelnak, 118,763.</w:t>
      </w:r>
    </w:p>
    <w:p>
      <w:pPr>
        <w:spacing w:after="0" w:line="21" w:lineRule="exact"/>
        <w:rPr>
          <w:rFonts w:ascii="Arial" w:cs="Arial" w:eastAsia="Arial" w:hAnsi="Arial"/>
          <w:sz w:val="13"/>
          <w:szCs w:val="13"/>
          <w:color w:val="auto"/>
        </w:rPr>
      </w:pPr>
    </w:p>
    <w:p>
      <w:pPr>
        <w:ind w:left="1220" w:hanging="242"/>
        <w:spacing w:after="0"/>
        <w:tabs>
          <w:tab w:leader="none" w:pos="1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Ms. Cole’s IRA.</w:t>
      </w:r>
    </w:p>
    <w:p>
      <w:pPr>
        <w:spacing w:after="0" w:line="41" w:lineRule="exact"/>
        <w:rPr>
          <w:rFonts w:ascii="Arial" w:cs="Arial" w:eastAsia="Arial" w:hAnsi="Arial"/>
          <w:sz w:val="14"/>
          <w:szCs w:val="14"/>
          <w:color w:val="auto"/>
        </w:rPr>
      </w:pPr>
    </w:p>
    <w:p>
      <w:pPr>
        <w:ind w:left="1220" w:right="40" w:hanging="242"/>
        <w:spacing w:after="0" w:line="246" w:lineRule="auto"/>
        <w:tabs>
          <w:tab w:leader="none" w:pos="1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number of shares owned for each of Messrs. Nye, Shephard, Vaio, and Zelnak and Ms. Lloyd and all Directors and executive officers as a group assumes that options held by each of them covering shares of common stock in the amounts indicated, which are currently exercisable within 60 days of March 4, 2011, have been exercised: Mr. Nye, 21,485; Mr. Shephard, 31,295; Mr. Vaio, 32,295; Mr. Zelnak, 118,763; Ms. Lloyd, 38,974; and all Directors and executive officers as a group, 413,302.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Mr. Nye, 5,743 and 45,960, respectively; Mr. Shephard, 3,986 and 21,081, respectively; Mr. Vaio, 3,699 and 21,081, respectively; Mr. Zelnak, 0 and 73,319, respectively; Ms. Lloyd, 2,217 and 21,200, respectively; and all Directors and executive officers as a group, 18,211 and 236,686, respectively. There are no voting rights associated with the stock units.</w:t>
      </w:r>
    </w:p>
    <w:p>
      <w:pPr>
        <w:spacing w:after="0" w:line="16" w:lineRule="exact"/>
        <w:rPr>
          <w:rFonts w:ascii="Arial" w:cs="Arial" w:eastAsia="Arial" w:hAnsi="Arial"/>
          <w:sz w:val="13"/>
          <w:szCs w:val="13"/>
          <w:color w:val="auto"/>
        </w:rPr>
      </w:pPr>
    </w:p>
    <w:p>
      <w:pPr>
        <w:ind w:left="1220" w:hanging="242"/>
        <w:spacing w:after="0"/>
        <w:tabs>
          <w:tab w:leader="none" w:pos="1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Zelnak retired as Executive Chairman on May 27, 2010. He continues to serve as non-executive Chairman of the Board.</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 xml:space="preserve">Section 16(a) </w:t>
      </w:r>
      <w:r>
        <w:rPr>
          <w:rFonts w:ascii="Arial" w:cs="Arial" w:eastAsia="Arial" w:hAnsi="Arial"/>
          <w:sz w:val="20"/>
          <w:szCs w:val="20"/>
          <w:b w:val="1"/>
          <w:bCs w:val="1"/>
          <w:color w:val="auto"/>
        </w:rPr>
        <w:t>Beneficial Ownership Reporting Compliance</w:t>
      </w:r>
    </w:p>
    <w:p>
      <w:pPr>
        <w:spacing w:after="0" w:line="127" w:lineRule="exact"/>
        <w:rPr>
          <w:sz w:val="20"/>
          <w:szCs w:val="20"/>
          <w:color w:val="auto"/>
        </w:rPr>
      </w:pPr>
    </w:p>
    <w:p>
      <w:pPr>
        <w:ind w:left="980" w:right="260" w:firstLine="609"/>
        <w:spacing w:after="0" w:line="250" w:lineRule="auto"/>
        <w:rPr>
          <w:sz w:val="20"/>
          <w:szCs w:val="20"/>
          <w:color w:val="auto"/>
        </w:rPr>
      </w:pPr>
      <w:r>
        <w:rPr>
          <w:rFonts w:ascii="Arial" w:cs="Arial" w:eastAsia="Arial" w:hAnsi="Arial"/>
          <w:sz w:val="20"/>
          <w:szCs w:val="20"/>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w:t>
      </w:r>
    </w:p>
    <w:p>
      <w:pPr>
        <w:spacing w:after="0" w:line="19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1437640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600"/>
        <w:spacing w:after="0" w:line="260" w:lineRule="auto"/>
        <w:rPr>
          <w:sz w:val="20"/>
          <w:szCs w:val="20"/>
          <w:color w:val="auto"/>
        </w:rPr>
      </w:pPr>
      <w:r>
        <w:rPr>
          <w:rFonts w:ascii="Arial" w:cs="Arial" w:eastAsia="Arial" w:hAnsi="Arial"/>
          <w:sz w:val="20"/>
          <w:szCs w:val="20"/>
          <w:color w:val="auto"/>
        </w:rPr>
        <w:t>shareholders are required by Securities and Exchange Commission regulations to furnish to the Corporation copies of all Section 16(a) reports filed.</w:t>
      </w:r>
    </w:p>
    <w:p>
      <w:pPr>
        <w:spacing w:after="0" w:line="82"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Based solely on its review of the copies of reports furnished to the Corporation and written representations that no other reports were required for the year ended December 31, 2010, the Corporation believes that no Director, officer, or 10% shareholder failed to timely file in 2010 any report required by Section 16(a).</w:t>
      </w:r>
    </w:p>
    <w:p>
      <w:pPr>
        <w:spacing w:after="0" w:line="30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THE BOARD OF DIRECTORS</w:t>
      </w:r>
    </w:p>
    <w:p>
      <w:pPr>
        <w:spacing w:after="0" w:line="127" w:lineRule="exact"/>
        <w:rPr>
          <w:sz w:val="20"/>
          <w:szCs w:val="20"/>
          <w:color w:val="auto"/>
        </w:rPr>
      </w:pPr>
    </w:p>
    <w:p>
      <w:pPr>
        <w:ind w:left="980" w:right="400" w:firstLine="609"/>
        <w:spacing w:after="0" w:line="260" w:lineRule="auto"/>
        <w:rPr>
          <w:sz w:val="20"/>
          <w:szCs w:val="20"/>
          <w:color w:val="auto"/>
        </w:rPr>
      </w:pPr>
      <w:r>
        <w:rPr>
          <w:rFonts w:ascii="Arial" w:cs="Arial" w:eastAsia="Arial" w:hAnsi="Arial"/>
          <w:sz w:val="20"/>
          <w:szCs w:val="20"/>
          <w:color w:val="auto"/>
        </w:rPr>
        <w:t>The Board of Directors currently consists of ten members, nine of whom are non-employee Directors. The Board is divided into three classes with three-year terms.</w:t>
      </w:r>
    </w:p>
    <w:p>
      <w:pPr>
        <w:spacing w:after="0" w:line="82" w:lineRule="exact"/>
        <w:rPr>
          <w:sz w:val="20"/>
          <w:szCs w:val="20"/>
          <w:color w:val="auto"/>
        </w:rPr>
      </w:pPr>
    </w:p>
    <w:p>
      <w:pPr>
        <w:ind w:left="980" w:firstLine="609"/>
        <w:spacing w:after="0" w:line="260" w:lineRule="auto"/>
        <w:rPr>
          <w:sz w:val="20"/>
          <w:szCs w:val="20"/>
          <w:color w:val="auto"/>
        </w:rPr>
      </w:pPr>
      <w:r>
        <w:rPr>
          <w:rFonts w:ascii="Arial" w:cs="Arial" w:eastAsia="Arial" w:hAnsi="Arial"/>
          <w:sz w:val="19"/>
          <w:szCs w:val="19"/>
          <w:color w:val="auto"/>
        </w:rPr>
        <w:t>The Board of Directors has nominated three persons for election as Directors to serve three-year terms expiring in 2014.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86"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2010 annual meeting, for a nomination to be properly made by a shareholder at the 2011 annual meeting, the shareholder’s notice must have been sent to, and received by, our Secretary at our principal executive offices between January 23, 2011 and February 22, 2011.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87" w:lineRule="exact"/>
        <w:rPr>
          <w:sz w:val="20"/>
          <w:szCs w:val="20"/>
          <w:color w:val="auto"/>
        </w:rPr>
      </w:pPr>
    </w:p>
    <w:p>
      <w:pPr>
        <w:ind w:left="980" w:right="40" w:firstLine="609"/>
        <w:spacing w:after="0" w:line="260" w:lineRule="auto"/>
        <w:rPr>
          <w:sz w:val="20"/>
          <w:szCs w:val="20"/>
          <w:color w:val="auto"/>
        </w:rPr>
      </w:pPr>
      <w:r>
        <w:rPr>
          <w:rFonts w:ascii="Arial" w:cs="Arial" w:eastAsia="Arial" w:hAnsi="Arial"/>
          <w:sz w:val="20"/>
          <w:szCs w:val="20"/>
          <w:color w:val="auto"/>
        </w:rPr>
        <w:t>The following sets forth the age and certain other biographical information for each of the nominees for election and for each of the other members of the Board of Directors as of the date of this proxy statement.</w:t>
      </w:r>
    </w:p>
    <w:p>
      <w:pPr>
        <w:spacing w:after="0" w:line="29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PROPOSAL 1</w:t>
      </w:r>
    </w:p>
    <w:p>
      <w:pPr>
        <w:spacing w:after="0" w:line="21"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ELECTION OF DIRECTORS</w:t>
      </w:r>
    </w:p>
    <w:p>
      <w:pPr>
        <w:jc w:val="center"/>
        <w:ind w:left="680"/>
        <w:spacing w:after="0"/>
        <w:rPr>
          <w:sz w:val="20"/>
          <w:szCs w:val="20"/>
          <w:color w:val="auto"/>
        </w:rPr>
      </w:pPr>
      <w:r>
        <w:rPr>
          <w:rFonts w:ascii="Arial" w:cs="Arial" w:eastAsia="Arial" w:hAnsi="Arial"/>
          <w:sz w:val="20"/>
          <w:szCs w:val="20"/>
          <w:b w:val="1"/>
          <w:bCs w:val="1"/>
          <w:i w:val="1"/>
          <w:iCs w:val="1"/>
          <w:color w:val="auto"/>
        </w:rPr>
        <w:t>(Item 1 on Proxy Card)</w:t>
      </w:r>
    </w:p>
    <w:p>
      <w:pPr>
        <w:spacing w:after="0" w:line="1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Nominees for Election to the Board of Directors for a Term Continuing Until 2014:</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Sue W. Cole </w:t>
      </w:r>
      <w:r>
        <w:rPr>
          <w:rFonts w:ascii="Arial" w:cs="Arial" w:eastAsia="Arial" w:hAnsi="Arial"/>
          <w:sz w:val="20"/>
          <w:szCs w:val="20"/>
          <w:color w:val="auto"/>
        </w:rPr>
        <w:t>(60)</w:t>
      </w:r>
    </w:p>
    <w:p>
      <w:pPr>
        <w:spacing w:after="0" w:line="22" w:lineRule="exact"/>
        <w:rPr>
          <w:sz w:val="20"/>
          <w:szCs w:val="20"/>
          <w:color w:val="auto"/>
        </w:rPr>
      </w:pPr>
    </w:p>
    <w:p>
      <w:pPr>
        <w:ind w:left="980" w:right="260"/>
        <w:spacing w:after="0" w:line="244" w:lineRule="auto"/>
        <w:rPr>
          <w:sz w:val="20"/>
          <w:szCs w:val="20"/>
          <w:color w:val="auto"/>
        </w:rPr>
      </w:pPr>
      <w:r>
        <w:rPr>
          <w:rFonts w:ascii="Arial" w:cs="Arial" w:eastAsia="Arial" w:hAnsi="Arial"/>
          <w:sz w:val="20"/>
          <w:szCs w:val="20"/>
          <w:i w:val="1"/>
          <w:iCs w:val="1"/>
          <w:color w:val="auto"/>
        </w:rPr>
        <w:t>Director (since 2002), Chair of the Management Development and Compensation Committee and member of the Nominating and Corporate Governance Committee.</w:t>
      </w:r>
    </w:p>
    <w:p>
      <w:pPr>
        <w:spacing w:after="0" w:line="43" w:lineRule="exact"/>
        <w:rPr>
          <w:sz w:val="20"/>
          <w:szCs w:val="20"/>
          <w:color w:val="auto"/>
        </w:rPr>
      </w:pPr>
    </w:p>
    <w:p>
      <w:pPr>
        <w:ind w:left="1480" w:right="140"/>
        <w:spacing w:after="0" w:line="257" w:lineRule="auto"/>
        <w:rPr>
          <w:sz w:val="20"/>
          <w:szCs w:val="20"/>
          <w:color w:val="auto"/>
        </w:rPr>
      </w:pPr>
      <w:r>
        <w:rPr>
          <w:rFonts w:ascii="Arial" w:cs="Arial" w:eastAsia="Arial" w:hAnsi="Arial"/>
          <w:sz w:val="19"/>
          <w:szCs w:val="19"/>
          <w:color w:val="auto"/>
        </w:rPr>
        <w:t>Ms. Cole has been a principal of Granville Capital Inc., a registered investment advisor, since 2006. Ms. Cole has more than 37 years experience in financial services and investment management. Before joining Granville Capital, she served as Regional Chief Executive Officer of the Mid-Atlantic Region of U.S. Trust Company, N.A., an integrated wealth management firm, from 2003 to 2006, and as Chief Executive Officer for U.S. Trust Company of North Carolina and North Carolina Trust Company. Previously she was Head of Corporate Lending for the Greensboro, North Carolina Region of NCNB. Ms. Cole also previously served as a Director of UNIFI, Inc., and has been active in the community and charitable organizations including serving on the Investment Committees of UNC-Greensboro, the Cone Health Foundation, and the Weaver Foundation; Chair of</w:t>
      </w:r>
    </w:p>
    <w:p>
      <w:pPr>
        <w:spacing w:after="0" w:line="19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80" w:right="80"/>
        <w:spacing w:after="0" w:line="250" w:lineRule="auto"/>
        <w:rPr>
          <w:sz w:val="20"/>
          <w:szCs w:val="20"/>
          <w:color w:val="auto"/>
        </w:rPr>
      </w:pPr>
      <w:r>
        <w:rPr>
          <w:rFonts w:ascii="Arial" w:cs="Arial" w:eastAsia="Arial" w:hAnsi="Arial"/>
          <w:sz w:val="20"/>
          <w:szCs w:val="20"/>
          <w:color w:val="auto"/>
        </w:rPr>
        <w:t>the Management Development and Compensation Committee and member of the Executive Committee of the North Carolina Biotechnology Center; member of the Board of Directors of the North Carolina Economic Development Board; and member of the Board of Governors of the Center for Creative Leadership.</w:t>
      </w:r>
    </w:p>
    <w:p>
      <w:pPr>
        <w:spacing w:after="0" w:line="38" w:lineRule="exact"/>
        <w:rPr>
          <w:sz w:val="20"/>
          <w:szCs w:val="20"/>
          <w:color w:val="auto"/>
        </w:rPr>
      </w:pPr>
    </w:p>
    <w:p>
      <w:pPr>
        <w:ind w:left="1480" w:right="240"/>
        <w:spacing w:after="0" w:line="243" w:lineRule="auto"/>
        <w:rPr>
          <w:sz w:val="20"/>
          <w:szCs w:val="20"/>
          <w:color w:val="auto"/>
        </w:rPr>
      </w:pPr>
      <w:r>
        <w:rPr>
          <w:rFonts w:ascii="Arial" w:cs="Arial" w:eastAsia="Arial" w:hAnsi="Arial"/>
          <w:sz w:val="20"/>
          <w:szCs w:val="20"/>
          <w:b w:val="1"/>
          <w:bCs w:val="1"/>
          <w:i w:val="1"/>
          <w:iCs w:val="1"/>
          <w:color w:val="auto"/>
        </w:rPr>
        <w:t xml:space="preserve">Key attributes, experience and skills: </w:t>
      </w:r>
      <w:r>
        <w:rPr>
          <w:rFonts w:ascii="Arial" w:cs="Arial" w:eastAsia="Arial" w:hAnsi="Arial"/>
          <w:sz w:val="20"/>
          <w:szCs w:val="20"/>
          <w:color w:val="auto"/>
        </w:rPr>
        <w:t>Ms. Cole brings to the Board valuable experience in executive compensation,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the Corporation.</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Michael J. Quillen </w:t>
      </w:r>
      <w:r>
        <w:rPr>
          <w:rFonts w:ascii="Arial" w:cs="Arial" w:eastAsia="Arial" w:hAnsi="Arial"/>
          <w:sz w:val="20"/>
          <w:szCs w:val="20"/>
          <w:color w:val="auto"/>
        </w:rPr>
        <w:t>(62)</w:t>
      </w:r>
    </w:p>
    <w:p>
      <w:pPr>
        <w:spacing w:after="0" w:line="22" w:lineRule="exact"/>
        <w:rPr>
          <w:sz w:val="20"/>
          <w:szCs w:val="20"/>
          <w:color w:val="auto"/>
        </w:rPr>
      </w:pPr>
    </w:p>
    <w:p>
      <w:pPr>
        <w:ind w:left="980" w:right="820"/>
        <w:spacing w:after="0" w:line="244" w:lineRule="auto"/>
        <w:rPr>
          <w:sz w:val="20"/>
          <w:szCs w:val="20"/>
          <w:color w:val="auto"/>
        </w:rPr>
      </w:pPr>
      <w:r>
        <w:rPr>
          <w:rFonts w:ascii="Arial" w:cs="Arial" w:eastAsia="Arial" w:hAnsi="Arial"/>
          <w:sz w:val="20"/>
          <w:szCs w:val="20"/>
          <w:i w:val="1"/>
          <w:iCs w:val="1"/>
          <w:color w:val="auto"/>
        </w:rPr>
        <w:t>Director (since 2008), Member of the Ethics, Environment, Safety and Health Committee, Finance Committee and the Management Development and Compensation Committee.</w:t>
      </w:r>
    </w:p>
    <w:p>
      <w:pPr>
        <w:spacing w:after="0" w:line="43" w:lineRule="exact"/>
        <w:rPr>
          <w:sz w:val="20"/>
          <w:szCs w:val="20"/>
          <w:color w:val="auto"/>
        </w:rPr>
      </w:pPr>
    </w:p>
    <w:p>
      <w:pPr>
        <w:ind w:left="1480"/>
        <w:spacing w:after="0" w:line="270" w:lineRule="auto"/>
        <w:rPr>
          <w:sz w:val="20"/>
          <w:szCs w:val="20"/>
          <w:color w:val="auto"/>
        </w:rPr>
      </w:pPr>
      <w:r>
        <w:rPr>
          <w:rFonts w:ascii="Arial" w:cs="Arial" w:eastAsia="Arial" w:hAnsi="Arial"/>
          <w:sz w:val="18"/>
          <w:szCs w:val="18"/>
          <w:color w:val="auto"/>
        </w:rPr>
        <w:t>Mr. Quillen has served as Chief Executive Officer and a member of the Board of Directors of Alpha Natural Resources, Inc., a leading Appalachian coal supplier, since its formation in 2004 until its merger with Foundation Coal Holdings, Inc. on July 31, 2009. He continued to serve as Executive Chairman until December 31, 2009. Mr. Quillen now serves as non-Executive Chairman of the combined entity, also named Alpha Natural Resources, Inc. He was named Chairman of the Board of Alpha in 2006. Mr. Quillen served as President of Alpha until 2006. In 2002, Mr. Quillen joined the Alpha management team as President and the sole manager of Alpha’s operating subsidiary, Alpha Natural Resources, LLC, where he had served as Chief Executive Officer since 2003. From 2002 to 2005 he also served in senior executive capacities with other former affiliates of Alpha. From September 1998 to December 2002, Mr. Quillen was Executive Vice President — Operations of AMCI Metals and Coal International Inc., a mining and marketing company (“AMCI”). While at AMCI, he was also responsible for the development of AMCI’s Australian properties. He has held senior executive positions in the coal industry throughout his career, including Vice President-Operations of Pittston, President of Pittston Coal Sales Corp., Vice President of AMVEST Corporation, Vice President-Operations of NERCO Coal Corporation, President and Chief Executive Officer of Addington, Inc. and manager of Mid-Vol Leasing, Inc. Mr. Quillen has over 30 years of experience in the coal industry starting as an engineer.</w:t>
      </w:r>
    </w:p>
    <w:p>
      <w:pPr>
        <w:spacing w:after="0" w:line="22"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80"/>
        <w:spacing w:after="0" w:line="276" w:lineRule="auto"/>
        <w:rPr>
          <w:sz w:val="20"/>
          <w:szCs w:val="20"/>
          <w:color w:val="auto"/>
        </w:rPr>
      </w:pPr>
      <w:r>
        <w:rPr>
          <w:rFonts w:ascii="Arial" w:cs="Arial" w:eastAsia="Arial" w:hAnsi="Arial"/>
          <w:sz w:val="18"/>
          <w:szCs w:val="18"/>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6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Stephen P. Zelnak, Jr. </w:t>
      </w:r>
      <w:r>
        <w:rPr>
          <w:rFonts w:ascii="Arial" w:cs="Arial" w:eastAsia="Arial" w:hAnsi="Arial"/>
          <w:sz w:val="20"/>
          <w:szCs w:val="20"/>
          <w:color w:val="auto"/>
        </w:rPr>
        <w:t>(66)</w:t>
      </w:r>
    </w:p>
    <w:p>
      <w:pPr>
        <w:spacing w:after="0" w:line="22" w:lineRule="exact"/>
        <w:rPr>
          <w:sz w:val="20"/>
          <w:szCs w:val="20"/>
          <w:color w:val="auto"/>
        </w:rPr>
      </w:pPr>
    </w:p>
    <w:p>
      <w:pPr>
        <w:jc w:val="both"/>
        <w:ind w:left="980" w:right="60"/>
        <w:spacing w:after="0" w:line="241" w:lineRule="auto"/>
        <w:rPr>
          <w:sz w:val="20"/>
          <w:szCs w:val="20"/>
          <w:color w:val="auto"/>
        </w:rPr>
      </w:pPr>
      <w:r>
        <w:rPr>
          <w:rFonts w:ascii="Arial" w:cs="Arial" w:eastAsia="Arial" w:hAnsi="Arial"/>
          <w:sz w:val="20"/>
          <w:szCs w:val="20"/>
          <w:i w:val="1"/>
          <w:iCs w:val="1"/>
          <w:color w:val="auto"/>
        </w:rPr>
        <w:t>Director (since 1993), Chairman of the Executive Committee, member of the Audit Committee, Ethics, Environment, Safety and Health Committee, Management Development and Compensation Committee, and the Nominating and Corporate Governance Committee.</w:t>
      </w:r>
    </w:p>
    <w:p>
      <w:pPr>
        <w:spacing w:after="0" w:line="47" w:lineRule="exact"/>
        <w:rPr>
          <w:sz w:val="20"/>
          <w:szCs w:val="20"/>
          <w:color w:val="auto"/>
        </w:rPr>
      </w:pPr>
    </w:p>
    <w:p>
      <w:pPr>
        <w:ind w:left="1480" w:right="800"/>
        <w:spacing w:after="0" w:line="260" w:lineRule="auto"/>
        <w:rPr>
          <w:sz w:val="20"/>
          <w:szCs w:val="20"/>
          <w:color w:val="auto"/>
        </w:rPr>
      </w:pPr>
      <w:r>
        <w:rPr>
          <w:rFonts w:ascii="Arial" w:cs="Arial" w:eastAsia="Arial" w:hAnsi="Arial"/>
          <w:sz w:val="20"/>
          <w:szCs w:val="20"/>
          <w:color w:val="auto"/>
        </w:rPr>
        <w:t>Mr. Zelnak has served as non-Executive Chairman since May 27, 2010. He served as Executive Chairman from January 1, 2010 to May 27, 2010. He previously served as Chief</w:t>
      </w:r>
    </w:p>
    <w:p>
      <w:pPr>
        <w:spacing w:after="0" w:line="186"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80" w:right="440"/>
        <w:spacing w:after="0" w:line="275" w:lineRule="auto"/>
        <w:rPr>
          <w:sz w:val="20"/>
          <w:szCs w:val="20"/>
          <w:color w:val="auto"/>
        </w:rPr>
      </w:pPr>
      <w:r>
        <w:rPr>
          <w:rFonts w:ascii="Arial" w:cs="Arial" w:eastAsia="Arial" w:hAnsi="Arial"/>
          <w:sz w:val="18"/>
          <w:szCs w:val="18"/>
          <w:color w:val="auto"/>
        </w:rPr>
        <w:t>Executive Officer of the Corporation since 1993 and as President of the Corporation from 1993 to 2006. Mr. Zelnak joined Martin Marietta Corporation in 1981 and he had been responsible for the Aggregates operations since 1982.</w:t>
      </w:r>
    </w:p>
    <w:p>
      <w:pPr>
        <w:spacing w:after="0" w:line="1" w:lineRule="exact"/>
        <w:rPr>
          <w:sz w:val="20"/>
          <w:szCs w:val="20"/>
          <w:color w:val="auto"/>
        </w:rPr>
      </w:pPr>
    </w:p>
    <w:p>
      <w:pPr>
        <w:ind w:left="1480" w:right="20"/>
        <w:spacing w:after="0" w:line="266" w:lineRule="auto"/>
        <w:rPr>
          <w:sz w:val="20"/>
          <w:szCs w:val="20"/>
          <w:color w:val="auto"/>
        </w:rPr>
      </w:pPr>
      <w:r>
        <w:rPr>
          <w:rFonts w:ascii="Arial" w:cs="Arial" w:eastAsia="Arial" w:hAnsi="Arial"/>
          <w:sz w:val="18"/>
          <w:szCs w:val="18"/>
          <w:color w:val="auto"/>
        </w:rPr>
        <w:t>Mr. Zelnak is also a Director of Beazer Homes USA, Inc., and Pace Industries. Mr. Zelnak is also Chairman and majority owner of ZP Enterprises, a private investment firm engaged in the purchase of small manufacturing companies.</w:t>
      </w:r>
    </w:p>
    <w:p>
      <w:pPr>
        <w:ind w:left="1480"/>
        <w:spacing w:after="0"/>
        <w:rPr>
          <w:sz w:val="20"/>
          <w:szCs w:val="20"/>
          <w:color w:val="auto"/>
        </w:rPr>
      </w:pPr>
      <w:r>
        <w:rPr>
          <w:rFonts w:ascii="Arial" w:cs="Arial" w:eastAsia="Arial" w:hAnsi="Arial"/>
          <w:sz w:val="20"/>
          <w:szCs w:val="20"/>
          <w:color w:val="auto"/>
        </w:rPr>
        <w:t>Mr. Zelnak has served as Chairman of the North Carolina Chamber, North Carolina Community College Foundation, National Stone, Sand and Gravel Association, Peace College Board of Trustees, North Carolina Foundation For Research And Economic Education, North Carolina Aggregates Association and the NC State Physical and Mathematical Sciences Foundation. He currently serves on the Advisory Boards of North Carolina State University and Georgia Institute of Technology.</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120"/>
        <w:spacing w:after="0" w:line="321" w:lineRule="auto"/>
        <w:rPr>
          <w:sz w:val="20"/>
          <w:szCs w:val="20"/>
          <w:color w:val="auto"/>
        </w:rPr>
      </w:pPr>
      <w:r>
        <w:rPr>
          <w:rFonts w:ascii="Arial" w:cs="Arial" w:eastAsia="Arial" w:hAnsi="Arial"/>
          <w:sz w:val="16"/>
          <w:szCs w:val="16"/>
          <w:color w:val="auto"/>
        </w:rPr>
        <w:t>As the longstanding Chairman of the Board of the Corporation and previous Chief Executive Officer, Mr. Zelnak brings extensive leadership, business and operating experience to the Board, as well as knowledge of all aspects of the Corporation and the construction aggregates industry. He also brings his broad strategic and financial experience to the Board, knowledge of the home building industry and factors that impact construction from his service on the board of a large homebuilder, and corporate governance from serving on the boards and various committees of other companies.</w:t>
      </w:r>
    </w:p>
    <w:p>
      <w:pPr>
        <w:spacing w:after="0" w:line="87"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i w:val="1"/>
          <w:iCs w:val="1"/>
          <w:u w:val="single" w:color="auto"/>
          <w:color w:val="auto"/>
        </w:rPr>
        <w:t>“FOR”</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ALL NOMINEES FOR ELECTION TO THE BOARD OF DIRECTORS</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Directors Whose Terms Continue Until 2012:</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David G. Maffucci </w:t>
      </w:r>
      <w:r>
        <w:rPr>
          <w:rFonts w:ascii="Arial" w:cs="Arial" w:eastAsia="Arial" w:hAnsi="Arial"/>
          <w:sz w:val="20"/>
          <w:szCs w:val="20"/>
          <w:color w:val="auto"/>
        </w:rPr>
        <w:t>(60)</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Director (since 2005), Chair of the Audit Committee and member of the Finance Committee.</w:t>
      </w:r>
    </w:p>
    <w:p>
      <w:pPr>
        <w:spacing w:after="0" w:line="51" w:lineRule="exact"/>
        <w:rPr>
          <w:sz w:val="20"/>
          <w:szCs w:val="20"/>
          <w:color w:val="auto"/>
        </w:rPr>
      </w:pPr>
    </w:p>
    <w:p>
      <w:pPr>
        <w:ind w:left="1480" w:right="20"/>
        <w:spacing w:after="0" w:line="255" w:lineRule="auto"/>
        <w:rPr>
          <w:sz w:val="20"/>
          <w:szCs w:val="20"/>
          <w:color w:val="auto"/>
        </w:rPr>
      </w:pPr>
      <w:r>
        <w:rPr>
          <w:rFonts w:ascii="Arial" w:cs="Arial" w:eastAsia="Arial" w:hAnsi="Arial"/>
          <w:sz w:val="19"/>
          <w:szCs w:val="19"/>
          <w:color w:val="auto"/>
        </w:rPr>
        <w:t>Mr. Maffucci served as Executive Vice President and Chief Financial Officer of Xerium Technologies, Inc., a manufacturer and supplier of consumable products used in paper production, from 2009 to 2010. He served on its Board of Directors from 2008 until 2010, serving on its Audit and Compensation Committees from 2008 to 2009. From 2005 to 2006, Mr. Maffucci served as Executive Vice President of Bowater Incorporated and President of its Newsprint Division. He served as Chief Financial Officer of Bowater Incorporated from 1995 to 2005. On October 29, 2007, Bowater Incorporated combined with Abitibi-Consolidated Inc. to form AbitibiBowater Inc. (NYSE: ABH). AbitibiBowater produces a wide range of newsprint and commercial printing papers, market pulp and wood products. It is the eighth largest publicly-traded pulp and paper manufacturer in the world.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previously worked at KPMG.</w:t>
      </w:r>
    </w:p>
    <w:p>
      <w:pPr>
        <w:spacing w:after="0" w:line="39"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120"/>
        <w:spacing w:after="0" w:line="282" w:lineRule="auto"/>
        <w:rPr>
          <w:sz w:val="20"/>
          <w:szCs w:val="20"/>
          <w:color w:val="auto"/>
        </w:rPr>
      </w:pPr>
      <w:r>
        <w:rPr>
          <w:rFonts w:ascii="Arial" w:cs="Arial" w:eastAsia="Arial" w:hAnsi="Arial"/>
          <w:sz w:val="18"/>
          <w:szCs w:val="18"/>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the Corporation’s financial statements, accounting principles and practices, auditing, internal control over financial reporting, and risk management processes.</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1565910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William E. McDonald </w:t>
      </w:r>
      <w:r>
        <w:rPr>
          <w:rFonts w:ascii="Arial" w:cs="Arial" w:eastAsia="Arial" w:hAnsi="Arial"/>
          <w:sz w:val="20"/>
          <w:szCs w:val="20"/>
          <w:color w:val="auto"/>
        </w:rPr>
        <w:t>(68)</w:t>
      </w:r>
    </w:p>
    <w:p>
      <w:pPr>
        <w:spacing w:after="0" w:line="22" w:lineRule="exact"/>
        <w:rPr>
          <w:sz w:val="20"/>
          <w:szCs w:val="20"/>
          <w:color w:val="auto"/>
        </w:rPr>
      </w:pPr>
    </w:p>
    <w:p>
      <w:pPr>
        <w:ind w:left="980" w:right="300"/>
        <w:spacing w:after="0" w:line="244" w:lineRule="auto"/>
        <w:rPr>
          <w:sz w:val="20"/>
          <w:szCs w:val="20"/>
          <w:color w:val="auto"/>
        </w:rPr>
      </w:pPr>
      <w:r>
        <w:rPr>
          <w:rFonts w:ascii="Arial" w:cs="Arial" w:eastAsia="Arial" w:hAnsi="Arial"/>
          <w:sz w:val="20"/>
          <w:szCs w:val="20"/>
          <w:i w:val="1"/>
          <w:iCs w:val="1"/>
          <w:color w:val="auto"/>
        </w:rPr>
        <w:t>Director (since 1996), Chair of the Nominating and Corporate Governance Committee, member of the Executive Committee and the Management Development and Compensation Committee.</w:t>
      </w:r>
    </w:p>
    <w:p>
      <w:pPr>
        <w:spacing w:after="0" w:line="43" w:lineRule="exact"/>
        <w:rPr>
          <w:sz w:val="20"/>
          <w:szCs w:val="20"/>
          <w:color w:val="auto"/>
        </w:rPr>
      </w:pPr>
    </w:p>
    <w:p>
      <w:pPr>
        <w:ind w:left="1480" w:right="60"/>
        <w:spacing w:after="0" w:line="256" w:lineRule="auto"/>
        <w:rPr>
          <w:sz w:val="20"/>
          <w:szCs w:val="20"/>
          <w:color w:val="auto"/>
        </w:rPr>
      </w:pPr>
      <w:r>
        <w:rPr>
          <w:rFonts w:ascii="Arial" w:cs="Arial" w:eastAsia="Arial" w:hAnsi="Arial"/>
          <w:sz w:val="19"/>
          <w:szCs w:val="19"/>
          <w:color w:val="auto"/>
        </w:rPr>
        <w:t>Mr. McDonald served as President and Chief Executive Officer of Sprint Mid-Atlantic Telecom and Sprint Mid-Atlantic Operations from 1993 to 1998, and was President and Chief Executive Officer for the United Telephone-Eastern in Carlisle, PA. Mr. McDonald began working with Sprint in 1968 when he joined Sprint United Telephone-Southeast. He progressed through various management positions until 1980, when he was named Vice President-Revenue Requirements. In 1981, he became Vice President-Operations for Sprint United Telephone-Midwest in Kansas City, MO. Mr. McDonald became President of Uninet in 1982 and in 1984 served as Senior Vice President-Network Development for what is now Sprint Long Distance. He was named President of Sprint United Telephone-Northwest in Hood River, OR, in 1986, before becoming President of Sprint United Telephone-Eastern. Mr. McDonald served as Senior Vice President, Customer Service Operations, Sprint Corporation, a telecommunications company, until his retirement in 2000.</w:t>
      </w:r>
    </w:p>
    <w:p>
      <w:pPr>
        <w:spacing w:after="0" w:line="33"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300"/>
        <w:spacing w:after="0" w:line="246" w:lineRule="auto"/>
        <w:rPr>
          <w:sz w:val="20"/>
          <w:szCs w:val="20"/>
          <w:color w:val="auto"/>
        </w:rPr>
      </w:pPr>
      <w:r>
        <w:rPr>
          <w:rFonts w:ascii="Arial" w:cs="Arial" w:eastAsia="Arial" w:hAnsi="Arial"/>
          <w:sz w:val="20"/>
          <w:szCs w:val="20"/>
          <w:color w:val="auto"/>
        </w:rPr>
        <w:t>Mr. McDonald brings to the Board leadership, corporate governance, executive compensation, customer service, marketing, sales, and human resources experience from his service as chief executive officer of large business regions with significant operations. His 15-year tenure on the Board gives him a valuable perspective into our business, its strategy and industry leadership.</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Frank H. Menaker, Jr. </w:t>
      </w:r>
      <w:r>
        <w:rPr>
          <w:rFonts w:ascii="Arial" w:cs="Arial" w:eastAsia="Arial" w:hAnsi="Arial"/>
          <w:sz w:val="20"/>
          <w:szCs w:val="20"/>
          <w:color w:val="auto"/>
        </w:rPr>
        <w:t>(70)</w:t>
      </w:r>
    </w:p>
    <w:p>
      <w:pPr>
        <w:spacing w:after="0" w:line="22" w:lineRule="exact"/>
        <w:rPr>
          <w:sz w:val="20"/>
          <w:szCs w:val="20"/>
          <w:color w:val="auto"/>
        </w:rPr>
      </w:pPr>
    </w:p>
    <w:p>
      <w:pPr>
        <w:ind w:left="980" w:right="220"/>
        <w:spacing w:after="0" w:line="244" w:lineRule="auto"/>
        <w:rPr>
          <w:sz w:val="20"/>
          <w:szCs w:val="20"/>
          <w:color w:val="auto"/>
        </w:rPr>
      </w:pPr>
      <w:r>
        <w:rPr>
          <w:rFonts w:ascii="Arial" w:cs="Arial" w:eastAsia="Arial" w:hAnsi="Arial"/>
          <w:sz w:val="20"/>
          <w:szCs w:val="20"/>
          <w:i w:val="1"/>
          <w:iCs w:val="1"/>
          <w:color w:val="auto"/>
        </w:rPr>
        <w:t>Director (since 1993), Member of the Audit Committee, the Ethics, Environment, Safety and Health Committee, the Executive Committee and the Management Development and Compensation Committee.</w:t>
      </w:r>
    </w:p>
    <w:p>
      <w:pPr>
        <w:spacing w:after="0" w:line="43" w:lineRule="exact"/>
        <w:rPr>
          <w:sz w:val="20"/>
          <w:szCs w:val="20"/>
          <w:color w:val="auto"/>
        </w:rPr>
      </w:pPr>
    </w:p>
    <w:p>
      <w:pPr>
        <w:ind w:left="1480"/>
        <w:spacing w:after="0" w:line="268" w:lineRule="auto"/>
        <w:rPr>
          <w:sz w:val="20"/>
          <w:szCs w:val="20"/>
          <w:color w:val="auto"/>
        </w:rPr>
      </w:pPr>
      <w:r>
        <w:rPr>
          <w:rFonts w:ascii="Arial" w:cs="Arial" w:eastAsia="Arial" w:hAnsi="Arial"/>
          <w:sz w:val="18"/>
          <w:szCs w:val="18"/>
          <w:color w:val="auto"/>
        </w:rPr>
        <w:t>Mr. Menaker is Of Counsel in the DLA Piper international law firm, based in Washington, D.C., where he practices in the areas of internal investigations, corporate governance and regulatory matters. Mr. Menaker is also a member of the McCammon Group, a mediation, arbitration, facilitation, training and consulting group providing conflict resolution services throughout the mid-Atlantic region. Mr. Menaker previously served as Senior Vice President and General Counsel of Lockheed Martin Corporation, a defense, aeronautics, and aerospace company, from 1996 until 2005, and previously was General Counsel of Martin Marietta Corporation since 1981.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1980. He retired from Lockheed Martin Corporation in 2006.</w:t>
      </w:r>
    </w:p>
    <w:p>
      <w:pPr>
        <w:spacing w:after="0" w:line="2" w:lineRule="exact"/>
        <w:rPr>
          <w:sz w:val="20"/>
          <w:szCs w:val="20"/>
          <w:color w:val="auto"/>
        </w:rPr>
      </w:pPr>
    </w:p>
    <w:p>
      <w:pPr>
        <w:ind w:left="1480" w:right="180"/>
        <w:spacing w:after="0" w:line="258" w:lineRule="auto"/>
        <w:rPr>
          <w:sz w:val="20"/>
          <w:szCs w:val="20"/>
          <w:color w:val="auto"/>
        </w:rPr>
      </w:pPr>
      <w:r>
        <w:rPr>
          <w:rFonts w:ascii="Arial" w:cs="Arial" w:eastAsia="Arial" w:hAnsi="Arial"/>
          <w:sz w:val="19"/>
          <w:szCs w:val="19"/>
          <w:color w:val="auto"/>
        </w:rPr>
        <w:t>Mr. Menaker’s professional activities include previously serving as past chair and fellow of the ABA Public Contract Law Section, as a board member of the Atlantic Legal Foundation, and as an advisor to Human Rights First. During the past five years, Mr. Menaker served as a Director and as Member of the Audit Committee of North American Galvanizing and Coatings, Inc., which merged with AZZ Incorporated in 2010.</w:t>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300"/>
        <w:spacing w:after="0" w:line="250" w:lineRule="auto"/>
        <w:rPr>
          <w:sz w:val="20"/>
          <w:szCs w:val="20"/>
          <w:color w:val="auto"/>
        </w:rPr>
      </w:pPr>
      <w:r>
        <w:rPr>
          <w:rFonts w:ascii="Arial" w:cs="Arial" w:eastAsia="Arial" w:hAnsi="Arial"/>
          <w:sz w:val="20"/>
          <w:szCs w:val="20"/>
          <w:color w:val="auto"/>
        </w:rPr>
        <w:t>Mr. Menaker brings to the Board his experience as general counsel of an S&amp;P 100 corporation, with responsibility for legal, compliance, corporate governance, among other matters, as well as his experience in management, leadership, executive compensation,</w:t>
      </w:r>
    </w:p>
    <w:p>
      <w:pPr>
        <w:spacing w:after="0" w:line="195"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1480185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80" w:right="580"/>
        <w:spacing w:after="0" w:line="246" w:lineRule="auto"/>
        <w:rPr>
          <w:sz w:val="20"/>
          <w:szCs w:val="20"/>
          <w:color w:val="auto"/>
        </w:rPr>
      </w:pPr>
      <w:r>
        <w:rPr>
          <w:rFonts w:ascii="Arial" w:cs="Arial" w:eastAsia="Arial" w:hAnsi="Arial"/>
          <w:sz w:val="20"/>
          <w:szCs w:val="20"/>
          <w:color w:val="auto"/>
        </w:rPr>
        <w:t>financial affairs, governmental and regulatory issues, safety, health and environmental matters, and mergers and acquisitions. As one of the original members of the Corporation’s Board, Mr. Menaker also brings an important perspective on the Corporation’s business, strategy, and culture. In addition, Mr. Menaker is a recognized leader in corporate ethics programs.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Richard A. Vinroot </w:t>
      </w:r>
      <w:r>
        <w:rPr>
          <w:rFonts w:ascii="Arial" w:cs="Arial" w:eastAsia="Arial" w:hAnsi="Arial"/>
          <w:sz w:val="20"/>
          <w:szCs w:val="20"/>
          <w:color w:val="auto"/>
        </w:rPr>
        <w:t>(69)</w:t>
      </w:r>
    </w:p>
    <w:p>
      <w:pPr>
        <w:spacing w:after="0" w:line="22" w:lineRule="exact"/>
        <w:rPr>
          <w:sz w:val="20"/>
          <w:szCs w:val="20"/>
          <w:color w:val="auto"/>
        </w:rPr>
      </w:pPr>
    </w:p>
    <w:p>
      <w:pPr>
        <w:ind w:left="980" w:right="440"/>
        <w:spacing w:after="0" w:line="244" w:lineRule="auto"/>
        <w:rPr>
          <w:sz w:val="20"/>
          <w:szCs w:val="20"/>
          <w:color w:val="auto"/>
        </w:rPr>
      </w:pPr>
      <w:r>
        <w:rPr>
          <w:rFonts w:ascii="Arial" w:cs="Arial" w:eastAsia="Arial" w:hAnsi="Arial"/>
          <w:sz w:val="20"/>
          <w:szCs w:val="20"/>
          <w:i w:val="1"/>
          <w:iCs w:val="1"/>
          <w:color w:val="auto"/>
        </w:rPr>
        <w:t>Director (since 1996), Chair of the Ethics, Environment, Safety and Health Committee and member of the Nominating and Corporate Governance Committee.</w:t>
      </w:r>
    </w:p>
    <w:p>
      <w:pPr>
        <w:spacing w:after="0" w:line="43" w:lineRule="exact"/>
        <w:rPr>
          <w:sz w:val="20"/>
          <w:szCs w:val="20"/>
          <w:color w:val="auto"/>
        </w:rPr>
      </w:pPr>
    </w:p>
    <w:p>
      <w:pPr>
        <w:ind w:left="1480"/>
        <w:spacing w:after="0" w:line="242" w:lineRule="auto"/>
        <w:rPr>
          <w:sz w:val="20"/>
          <w:szCs w:val="20"/>
          <w:color w:val="auto"/>
        </w:rPr>
      </w:pPr>
      <w:r>
        <w:rPr>
          <w:rFonts w:ascii="Arial" w:cs="Arial" w:eastAsia="Arial" w:hAnsi="Arial"/>
          <w:sz w:val="20"/>
          <w:szCs w:val="20"/>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during the past several years. Mr. Vinroot has also been active in civic and community activities, including serving on the Board of Trustees of Sugar Creek Charter School and the Board of Trustees of the Charlotte-Mecklenburg County YMCA. From 1991 to 1995, Mr. Vinroot served as Mayor of Charlotte, North Carolina and from 1983 to 1991; he served on the Charlotte City Council.</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40"/>
        <w:spacing w:after="0" w:line="278" w:lineRule="auto"/>
        <w:rPr>
          <w:sz w:val="20"/>
          <w:szCs w:val="20"/>
          <w:color w:val="auto"/>
        </w:rPr>
      </w:pPr>
      <w:r>
        <w:rPr>
          <w:rFonts w:ascii="Arial" w:cs="Arial" w:eastAsia="Arial" w:hAnsi="Arial"/>
          <w:sz w:val="18"/>
          <w:szCs w:val="18"/>
          <w:color w:val="auto"/>
        </w:rPr>
        <w:t>Mr. Vinroot brings tremendous experience to the Board from both private practice of law and his elected position as Mayor of Charlotte, North Carolina related to leadership, corporate governance, legal, mergers and acquisitions, governmental and regulatory issues, safety, health and environmental matters. His familiarity with North Carolina, which is one of the Corporation’s most important states, has been very valuable to the Board, as well as his involvement with non-profit organizations to give the Board perspective on diversity and corporate citizenship.</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Directors Whose Terms Continue Until 2013:</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C. Howard Nye </w:t>
      </w:r>
      <w:r>
        <w:rPr>
          <w:rFonts w:ascii="Arial" w:cs="Arial" w:eastAsia="Arial" w:hAnsi="Arial"/>
          <w:sz w:val="20"/>
          <w:szCs w:val="20"/>
          <w:color w:val="auto"/>
        </w:rPr>
        <w:t>(48)</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0"/>
          <w:szCs w:val="20"/>
          <w:i w:val="1"/>
          <w:iCs w:val="1"/>
          <w:color w:val="auto"/>
        </w:rPr>
        <w:t>Director (since 2010)</w:t>
      </w:r>
    </w:p>
    <w:p>
      <w:pPr>
        <w:spacing w:after="0" w:line="51" w:lineRule="exact"/>
        <w:rPr>
          <w:sz w:val="20"/>
          <w:szCs w:val="20"/>
          <w:color w:val="auto"/>
        </w:rPr>
      </w:pPr>
    </w:p>
    <w:p>
      <w:pPr>
        <w:ind w:left="1480" w:right="300"/>
        <w:spacing w:after="0" w:line="257" w:lineRule="auto"/>
        <w:rPr>
          <w:sz w:val="20"/>
          <w:szCs w:val="20"/>
          <w:color w:val="auto"/>
        </w:rPr>
      </w:pPr>
      <w:r>
        <w:rPr>
          <w:rFonts w:ascii="Arial" w:cs="Arial" w:eastAsia="Arial" w:hAnsi="Arial"/>
          <w:sz w:val="19"/>
          <w:szCs w:val="19"/>
          <w:color w:val="auto"/>
        </w:rPr>
        <w:t>Mr. Nye has served as President and Chief Executive Officer of the Corporation since January 1, 2010. He previously served as President and Chief Operating Officer of the Corporation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of the Board of Directors for the National Stone, Sand &amp; Gravel Association, the American Road &amp; Transportation Builders Association, and Romeo Guest Associates, Inc. Mr. Nye is also a member of the Duke University Alumni Board, as well as a former gubernatorial appointee to the North Carolina Mining Commission.</w:t>
      </w:r>
    </w:p>
    <w:p>
      <w:pPr>
        <w:spacing w:after="0" w:line="33"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100"/>
        <w:spacing w:after="0" w:line="260" w:lineRule="auto"/>
        <w:rPr>
          <w:sz w:val="20"/>
          <w:szCs w:val="20"/>
          <w:color w:val="auto"/>
        </w:rPr>
      </w:pPr>
      <w:r>
        <w:rPr>
          <w:rFonts w:ascii="Arial" w:cs="Arial" w:eastAsia="Arial" w:hAnsi="Arial"/>
          <w:sz w:val="19"/>
          <w:szCs w:val="19"/>
          <w:color w:val="auto"/>
        </w:rPr>
        <w:t>Mr. Nye has extensive knowledge of the construction aggregates industry from his 27 years of experience in all facets of the construction materials business. He brings to the Board extensive leadership, business, operating,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the Corporation.</w:t>
      </w:r>
    </w:p>
    <w:p>
      <w:pPr>
        <w:spacing w:after="0" w:line="18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1266190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Laree E. Perez </w:t>
      </w:r>
      <w:r>
        <w:rPr>
          <w:rFonts w:ascii="Arial" w:cs="Arial" w:eastAsia="Arial" w:hAnsi="Arial"/>
          <w:sz w:val="20"/>
          <w:szCs w:val="20"/>
          <w:color w:val="auto"/>
        </w:rPr>
        <w:t>(57)</w:t>
      </w:r>
    </w:p>
    <w:p>
      <w:pPr>
        <w:spacing w:after="0" w:line="22" w:lineRule="exact"/>
        <w:rPr>
          <w:sz w:val="20"/>
          <w:szCs w:val="20"/>
          <w:color w:val="auto"/>
        </w:rPr>
      </w:pPr>
    </w:p>
    <w:p>
      <w:pPr>
        <w:ind w:left="980" w:right="520"/>
        <w:spacing w:after="0" w:line="244" w:lineRule="auto"/>
        <w:rPr>
          <w:sz w:val="20"/>
          <w:szCs w:val="20"/>
          <w:color w:val="auto"/>
        </w:rPr>
      </w:pPr>
      <w:r>
        <w:rPr>
          <w:rFonts w:ascii="Arial" w:cs="Arial" w:eastAsia="Arial" w:hAnsi="Arial"/>
          <w:sz w:val="20"/>
          <w:szCs w:val="20"/>
          <w:i w:val="1"/>
          <w:iCs w:val="1"/>
          <w:color w:val="auto"/>
        </w:rPr>
        <w:t>Director (since 2004), Chair of the Finance Committee and member of the Audit Committee and the Ethics, Environment, Safety and Health Committee.</w:t>
      </w:r>
    </w:p>
    <w:p>
      <w:pPr>
        <w:spacing w:after="0" w:line="43" w:lineRule="exact"/>
        <w:rPr>
          <w:sz w:val="20"/>
          <w:szCs w:val="20"/>
          <w:color w:val="auto"/>
        </w:rPr>
      </w:pPr>
    </w:p>
    <w:p>
      <w:pPr>
        <w:ind w:left="1480"/>
        <w:spacing w:after="0" w:line="255" w:lineRule="auto"/>
        <w:rPr>
          <w:sz w:val="20"/>
          <w:szCs w:val="20"/>
          <w:color w:val="auto"/>
        </w:rPr>
      </w:pPr>
      <w:r>
        <w:rPr>
          <w:rFonts w:ascii="Arial" w:cs="Arial" w:eastAsia="Arial" w:hAnsi="Arial"/>
          <w:sz w:val="19"/>
          <w:szCs w:val="19"/>
          <w:color w:val="auto"/>
        </w:rPr>
        <w:t>Ms. Perez serves as the Managing Partner in The Medallion Company, LLC, an investment management company, since 2003 and as an independent financial consultant with that company since 2002. Ms. Perez is a Director of GenOn Energy, Inc. (previously named RRI Energy, Inc.), one of the largest power producers in the United States, and is currently a member of its Audit and Risk and Finance Oversight Committees. She previously served as the Chairman of the Audit Committee of GenOn Energy, Inc. from 2002 to 2007. From 1996 to 2002, she was Vice President of Loomis, Sayles &amp; Company, L.P. Ms. Perez was co-founder of Medallion Investment Company, Inc. and served as President and Chief Executive Officer from 1991 until it was acquired by Loomis Sayles in 1996. Ms. Perez recently served as Vice Chairman of the Board of Regents at Baylor University and previously served on the Board of Trustees of New Mexico State University, where she was also Chairman of the Board. Ms. Perez has also served on the Leadership Council and as Chair of the Development Committee for the Mayo Clinic Arizona. Ms. Perez has over 30 years experience in finance and investments.</w:t>
      </w:r>
    </w:p>
    <w:p>
      <w:pPr>
        <w:spacing w:after="0" w:line="39"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60"/>
        <w:spacing w:after="0" w:line="243" w:lineRule="auto"/>
        <w:rPr>
          <w:sz w:val="20"/>
          <w:szCs w:val="20"/>
          <w:color w:val="auto"/>
        </w:rPr>
      </w:pPr>
      <w:r>
        <w:rPr>
          <w:rFonts w:ascii="Arial" w:cs="Arial" w:eastAsia="Arial" w:hAnsi="Arial"/>
          <w:sz w:val="20"/>
          <w:szCs w:val="20"/>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the Corporation has important operations in that region and to give the Board perspective on diversity.</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Dennis L. Rediker </w:t>
      </w:r>
      <w:r>
        <w:rPr>
          <w:rFonts w:ascii="Arial" w:cs="Arial" w:eastAsia="Arial" w:hAnsi="Arial"/>
          <w:sz w:val="20"/>
          <w:szCs w:val="20"/>
          <w:color w:val="auto"/>
        </w:rPr>
        <w:t>(67)</w:t>
      </w:r>
    </w:p>
    <w:p>
      <w:pPr>
        <w:spacing w:after="0" w:line="22" w:lineRule="exact"/>
        <w:rPr>
          <w:sz w:val="20"/>
          <w:szCs w:val="20"/>
          <w:color w:val="auto"/>
        </w:rPr>
      </w:pPr>
    </w:p>
    <w:p>
      <w:pPr>
        <w:ind w:left="980" w:right="40"/>
        <w:spacing w:after="0" w:line="244" w:lineRule="auto"/>
        <w:rPr>
          <w:sz w:val="20"/>
          <w:szCs w:val="20"/>
          <w:color w:val="auto"/>
        </w:rPr>
      </w:pPr>
      <w:r>
        <w:rPr>
          <w:rFonts w:ascii="Arial" w:cs="Arial" w:eastAsia="Arial" w:hAnsi="Arial"/>
          <w:sz w:val="20"/>
          <w:szCs w:val="20"/>
          <w:i w:val="1"/>
          <w:iCs w:val="1"/>
          <w:color w:val="auto"/>
        </w:rPr>
        <w:t>Director (since 2003), Member of the Audit Committee, the Finance Committee and the Ethics, Environment, Safety and Health Committee.</w:t>
      </w:r>
    </w:p>
    <w:p>
      <w:pPr>
        <w:spacing w:after="0" w:line="43" w:lineRule="exact"/>
        <w:rPr>
          <w:sz w:val="20"/>
          <w:szCs w:val="20"/>
          <w:color w:val="auto"/>
        </w:rPr>
      </w:pPr>
    </w:p>
    <w:p>
      <w:pPr>
        <w:ind w:left="1480" w:right="40"/>
        <w:spacing w:after="0" w:line="270" w:lineRule="auto"/>
        <w:rPr>
          <w:sz w:val="20"/>
          <w:szCs w:val="20"/>
          <w:color w:val="auto"/>
        </w:rPr>
      </w:pPr>
      <w:r>
        <w:rPr>
          <w:rFonts w:ascii="Arial" w:cs="Arial" w:eastAsia="Arial" w:hAnsi="Arial"/>
          <w:sz w:val="18"/>
          <w:szCs w:val="18"/>
          <w:color w:val="auto"/>
        </w:rPr>
        <w:t>Mr. Rediker serves as the President and Chief Operating Officer of B4C, LLC, a developer and maker of composite materials for defense and aerospace applications. He previously served as President and Chief Executive Officer of The Standard Register Company, a document services company, from 2000 until his retirement in 2008. Mr. Rediker was also previously the Chief Executive Officer and a Director of English China Clays, plc. During the past five years,</w:t>
      </w:r>
    </w:p>
    <w:p>
      <w:pPr>
        <w:spacing w:after="0" w:line="3" w:lineRule="exact"/>
        <w:rPr>
          <w:sz w:val="20"/>
          <w:szCs w:val="20"/>
          <w:color w:val="auto"/>
        </w:rPr>
      </w:pPr>
    </w:p>
    <w:p>
      <w:pPr>
        <w:ind w:left="1480" w:right="80"/>
        <w:spacing w:after="0" w:line="260" w:lineRule="auto"/>
        <w:rPr>
          <w:sz w:val="20"/>
          <w:szCs w:val="20"/>
          <w:color w:val="auto"/>
        </w:rPr>
      </w:pPr>
      <w:r>
        <w:rPr>
          <w:rFonts w:ascii="Arial" w:cs="Arial" w:eastAsia="Arial" w:hAnsi="Arial"/>
          <w:sz w:val="19"/>
          <w:szCs w:val="19"/>
          <w:color w:val="auto"/>
        </w:rPr>
        <w:t>Mr. Rediker served as Director of The Standard Register Company. Mr. Rediker is past volunteer Chairman of the Board of Trustees of the National Composites Center, and previously served on the Dayton Development Coalition and on the Board of Managers for the National Museum of the U.S. Air Force Foundation.</w:t>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20"/>
          <w:szCs w:val="20"/>
          <w:b w:val="1"/>
          <w:bCs w:val="1"/>
          <w:i w:val="1"/>
          <w:iCs w:val="1"/>
          <w:color w:val="auto"/>
        </w:rPr>
        <w:t>Key attributes, experience and skills:</w:t>
      </w:r>
    </w:p>
    <w:p>
      <w:pPr>
        <w:spacing w:after="0" w:line="67" w:lineRule="exact"/>
        <w:rPr>
          <w:sz w:val="20"/>
          <w:szCs w:val="20"/>
          <w:color w:val="auto"/>
        </w:rPr>
      </w:pPr>
    </w:p>
    <w:p>
      <w:pPr>
        <w:ind w:left="1480" w:right="100"/>
        <w:spacing w:after="0" w:line="244" w:lineRule="auto"/>
        <w:rPr>
          <w:sz w:val="20"/>
          <w:szCs w:val="20"/>
          <w:color w:val="auto"/>
        </w:rPr>
      </w:pPr>
      <w:r>
        <w:rPr>
          <w:rFonts w:ascii="Arial" w:cs="Arial" w:eastAsia="Arial" w:hAnsi="Arial"/>
          <w:sz w:val="20"/>
          <w:szCs w:val="20"/>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former association with McKinsey &amp; Co.</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1626235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DIRECTOR COMPENSATION</w:t>
      </w:r>
    </w:p>
    <w:p>
      <w:pPr>
        <w:spacing w:after="0" w:line="127" w:lineRule="exact"/>
        <w:rPr>
          <w:sz w:val="20"/>
          <w:szCs w:val="20"/>
          <w:color w:val="auto"/>
        </w:rPr>
      </w:pPr>
    </w:p>
    <w:p>
      <w:pPr>
        <w:ind w:left="980" w:right="160" w:firstLine="609"/>
        <w:spacing w:after="0" w:line="243" w:lineRule="auto"/>
        <w:rPr>
          <w:sz w:val="20"/>
          <w:szCs w:val="20"/>
          <w:color w:val="auto"/>
        </w:rPr>
      </w:pPr>
      <w:r>
        <w:rPr>
          <w:rFonts w:ascii="Arial" w:cs="Arial" w:eastAsia="Arial" w:hAnsi="Arial"/>
          <w:sz w:val="20"/>
          <w:szCs w:val="20"/>
          <w:color w:val="auto"/>
        </w:rPr>
        <w:t>The Corporation uses a combination of cash and stock-based incentive compensation to attract and retain qualified candidates to serve on the Board of Directors. In setting director compensation, the Corporation considers the significant amount of time that Directors expend in fulfilling their duties to the Corporation as well as the skill-level required by the Corporation of members of the Board. The Board determines reasonable compensation for Directors upon recommendation of the Management Development and Compensation Committee of the Board, which retains independent compensation consultants to assist it.</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Cash Compensation Paid to Board Members</w:t>
      </w:r>
    </w:p>
    <w:p>
      <w:pPr>
        <w:spacing w:after="0" w:line="121" w:lineRule="exact"/>
        <w:rPr>
          <w:sz w:val="20"/>
          <w:szCs w:val="20"/>
          <w:color w:val="auto"/>
        </w:rPr>
      </w:pPr>
    </w:p>
    <w:p>
      <w:pPr>
        <w:ind w:left="980" w:firstLine="609"/>
        <w:spacing w:after="0" w:line="255" w:lineRule="auto"/>
        <w:rPr>
          <w:sz w:val="20"/>
          <w:szCs w:val="20"/>
          <w:color w:val="auto"/>
        </w:rPr>
      </w:pPr>
      <w:r>
        <w:rPr>
          <w:rFonts w:ascii="Arial" w:cs="Arial" w:eastAsia="Arial" w:hAnsi="Arial"/>
          <w:sz w:val="19"/>
          <w:szCs w:val="19"/>
          <w:color w:val="auto"/>
        </w:rPr>
        <w:t>For the fiscal year ended December 31, 2010, all of the individuals who were then Directors, except Mr. Nye, who was the Chief Executive Officer of the Corporation in 2010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The Chair of the Audit Committee received an annual fee of $15,000 in light of his increased responsibilities. Each committee chair (other than the Chairs of the Audit and the Executive Committees) received an annual fee of $8,000. Directors were also reimbursed for travel and other expenses related to attendance at Board and committee meetings. The Corporation’s plane was used to transport some Directors to and from Board and committee meetings, but no Directors received personal use of the Corporation’s plane or other perquisites and personal benefits in 2010. Mr. Zelnak did not receive compensation for his service as a Director while serving as Executive Chairman from January 1 through May 27, 2010. In his role as non-executive Chairman, Mr. Zelnak received $125,000 in addition to the annual retainer in lieu of receiving meeting attendance fees.</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Equity Compensation Paid to Board Members</w:t>
      </w:r>
    </w:p>
    <w:p>
      <w:pPr>
        <w:spacing w:after="0" w:line="121" w:lineRule="exact"/>
        <w:rPr>
          <w:sz w:val="20"/>
          <w:szCs w:val="20"/>
          <w:color w:val="auto"/>
        </w:rPr>
      </w:pPr>
    </w:p>
    <w:p>
      <w:pPr>
        <w:ind w:left="980" w:right="20" w:firstLine="609"/>
        <w:spacing w:after="0" w:line="274" w:lineRule="auto"/>
        <w:rPr>
          <w:sz w:val="20"/>
          <w:szCs w:val="20"/>
          <w:color w:val="auto"/>
        </w:rPr>
      </w:pPr>
      <w:r>
        <w:rPr>
          <w:rFonts w:ascii="Arial" w:cs="Arial" w:eastAsia="Arial" w:hAnsi="Arial"/>
          <w:sz w:val="18"/>
          <w:szCs w:val="18"/>
          <w:color w:val="auto"/>
        </w:rPr>
        <w:t>All of the individuals who were Directors in 2010, except Mr. Nye, were granted 1,155 restricted stock units pursuant to the Amended and Restated Stock-Based Award Plan. The restricted stock units granted to the Directors in 2010 were fully vested upon award and will be distributed upon retirement. This component of Director compensation replaced annual awards of non-qualified stock options for 3,000 shares that had been made to Directors in previous years. The Board believes that the use of restricted stock units is more appropriate because of its lower impact on the Corporation’s financial statements and made this determination after input from its independent compensation consultant. The value of the restricted stock unit awards to the Directors is approximately the same as the value of 3,000 shares of stock options at the time of grant.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Deferred Compensation Program for Board Members</w:t>
      </w:r>
    </w:p>
    <w:p>
      <w:pPr>
        <w:spacing w:after="0" w:line="121" w:lineRule="exact"/>
        <w:rPr>
          <w:sz w:val="20"/>
          <w:szCs w:val="20"/>
          <w:color w:val="auto"/>
        </w:rPr>
      </w:pPr>
    </w:p>
    <w:p>
      <w:pPr>
        <w:ind w:left="980" w:right="20" w:firstLine="609"/>
        <w:spacing w:after="0" w:line="271" w:lineRule="auto"/>
        <w:rPr>
          <w:sz w:val="20"/>
          <w:szCs w:val="20"/>
          <w:color w:val="auto"/>
        </w:rPr>
      </w:pPr>
      <w:r>
        <w:rPr>
          <w:rFonts w:ascii="Arial" w:cs="Arial" w:eastAsia="Arial" w:hAnsi="Arial"/>
          <w:sz w:val="18"/>
          <w:szCs w:val="18"/>
          <w:color w:val="auto"/>
        </w:rPr>
        <w:t>Pursuant to the Common Stock Purchase Plan for Directors, non-employee Directors may elect to receive all or a portion of their fees in the form of the Corporation’s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the Corporation. The units are converted into common stock of the Corporation pursuant to the terms of the</w:t>
      </w:r>
    </w:p>
    <w:p>
      <w:pPr>
        <w:spacing w:after="0" w:line="18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708660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20"/>
        <w:spacing w:after="0" w:line="260" w:lineRule="auto"/>
        <w:rPr>
          <w:sz w:val="20"/>
          <w:szCs w:val="20"/>
          <w:color w:val="auto"/>
        </w:rPr>
      </w:pPr>
      <w:r>
        <w:rPr>
          <w:rFonts w:ascii="Arial" w:cs="Arial" w:eastAsia="Arial" w:hAnsi="Arial"/>
          <w:sz w:val="20"/>
          <w:szCs w:val="20"/>
          <w:color w:val="auto"/>
        </w:rPr>
        <w:t>plan. Dividend equivalents are paid on the units at the same rate as dividends are paid to all shareholders. The Directors do not have voting or investment power for their respective units.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Director Compensation Table</w:t>
      </w:r>
    </w:p>
    <w:p>
      <w:pPr>
        <w:spacing w:after="0" w:line="121" w:lineRule="exact"/>
        <w:rPr>
          <w:sz w:val="20"/>
          <w:szCs w:val="20"/>
          <w:color w:val="auto"/>
        </w:rPr>
      </w:pPr>
    </w:p>
    <w:p>
      <w:pPr>
        <w:ind w:left="980" w:right="220" w:firstLine="609"/>
        <w:spacing w:after="0" w:line="260" w:lineRule="auto"/>
        <w:rPr>
          <w:sz w:val="20"/>
          <w:szCs w:val="20"/>
          <w:color w:val="auto"/>
        </w:rPr>
      </w:pPr>
      <w:r>
        <w:rPr>
          <w:rFonts w:ascii="Arial" w:cs="Arial" w:eastAsia="Arial" w:hAnsi="Arial"/>
          <w:sz w:val="20"/>
          <w:szCs w:val="20"/>
          <w:color w:val="auto"/>
        </w:rPr>
        <w:t>The table below summarizes the compensation paid by the Corporation to each person who served as a non-employee Directors during the fiscal year ended December 31, 2010.</w:t>
      </w:r>
    </w:p>
    <w:p>
      <w:pPr>
        <w:spacing w:after="0" w:line="93"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2340" w:type="dxa"/>
            <w:vAlign w:val="bottom"/>
            <w:tcBorders>
              <w:top w:val="single" w:sz="8" w:color="auto"/>
              <w:left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left="32"/>
              <w:spacing w:after="0" w:line="131" w:lineRule="exact"/>
              <w:rPr>
                <w:sz w:val="20"/>
                <w:szCs w:val="20"/>
                <w:color w:val="auto"/>
              </w:rPr>
            </w:pPr>
            <w:r>
              <w:rPr>
                <w:rFonts w:ascii="Arial" w:cs="Arial" w:eastAsia="Arial" w:hAnsi="Arial"/>
                <w:sz w:val="13"/>
                <w:szCs w:val="13"/>
                <w:b w:val="1"/>
                <w:bCs w:val="1"/>
                <w:color w:val="auto"/>
                <w:w w:val="85"/>
              </w:rPr>
              <w:t>Change in Pension</w:t>
            </w:r>
          </w:p>
        </w:tc>
        <w:tc>
          <w:tcPr>
            <w:tcW w:w="15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r>
        <w:trPr>
          <w:trHeight w:val="135"/>
        </w:trPr>
        <w:tc>
          <w:tcPr>
            <w:tcW w:w="2340" w:type="dxa"/>
            <w:vAlign w:val="bottom"/>
            <w:tcBorders>
              <w:lef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80" w:type="dxa"/>
            <w:vAlign w:val="bottom"/>
          </w:tcPr>
          <w:p>
            <w:pPr>
              <w:jc w:val="center"/>
              <w:ind w:left="52"/>
              <w:spacing w:after="0" w:line="135" w:lineRule="exact"/>
              <w:rPr>
                <w:sz w:val="20"/>
                <w:szCs w:val="20"/>
                <w:color w:val="auto"/>
              </w:rPr>
            </w:pPr>
            <w:r>
              <w:rPr>
                <w:rFonts w:ascii="Arial" w:cs="Arial" w:eastAsia="Arial" w:hAnsi="Arial"/>
                <w:sz w:val="13"/>
                <w:szCs w:val="13"/>
                <w:b w:val="1"/>
                <w:bCs w:val="1"/>
                <w:color w:val="auto"/>
                <w:w w:val="87"/>
              </w:rPr>
              <w:t>Value and</w:t>
            </w:r>
          </w:p>
        </w:tc>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340" w:type="dxa"/>
            <w:vAlign w:val="bottom"/>
            <w:tcBorders>
              <w:lef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80" w:type="dxa"/>
            <w:vAlign w:val="bottom"/>
          </w:tcPr>
          <w:p>
            <w:pPr>
              <w:jc w:val="center"/>
              <w:ind w:left="52"/>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34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Fees Earned</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1380" w:type="dxa"/>
            <w:vAlign w:val="bottom"/>
          </w:tcPr>
          <w:p>
            <w:pPr>
              <w:jc w:val="center"/>
              <w:ind w:left="32"/>
              <w:spacing w:after="0" w:line="135" w:lineRule="exact"/>
              <w:rPr>
                <w:sz w:val="20"/>
                <w:szCs w:val="20"/>
                <w:color w:val="auto"/>
              </w:rPr>
            </w:pPr>
            <w:r>
              <w:rPr>
                <w:rFonts w:ascii="Arial" w:cs="Arial" w:eastAsia="Arial" w:hAnsi="Arial"/>
                <w:sz w:val="13"/>
                <w:szCs w:val="13"/>
                <w:b w:val="1"/>
                <w:bCs w:val="1"/>
                <w:color w:val="auto"/>
                <w:w w:val="89"/>
              </w:rPr>
              <w:t>Deferred</w:t>
            </w:r>
          </w:p>
        </w:tc>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340" w:type="dxa"/>
            <w:vAlign w:val="bottom"/>
            <w:tcBorders>
              <w:left w:val="single" w:sz="8" w:color="auto"/>
            </w:tcBorders>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or Paid in</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380" w:type="dxa"/>
            <w:vAlign w:val="bottom"/>
          </w:tcPr>
          <w:p>
            <w:pPr>
              <w:jc w:val="center"/>
              <w:ind w:left="52"/>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500" w:type="dxa"/>
            <w:vAlign w:val="bottom"/>
          </w:tcPr>
          <w:p>
            <w:pPr>
              <w:jc w:val="center"/>
              <w:ind w:left="30"/>
              <w:spacing w:after="0" w:line="135" w:lineRule="exact"/>
              <w:rPr>
                <w:sz w:val="20"/>
                <w:szCs w:val="20"/>
                <w:color w:val="auto"/>
              </w:rPr>
            </w:pPr>
            <w:r>
              <w:rPr>
                <w:rFonts w:ascii="Arial" w:cs="Arial" w:eastAsia="Arial" w:hAnsi="Arial"/>
                <w:sz w:val="13"/>
                <w:szCs w:val="13"/>
                <w:b w:val="1"/>
                <w:bCs w:val="1"/>
                <w:color w:val="auto"/>
                <w:w w:val="94"/>
              </w:rPr>
              <w:t>All Other</w:t>
            </w:r>
          </w:p>
        </w:tc>
        <w:tc>
          <w:tcPr>
            <w:tcW w:w="840" w:type="dxa"/>
            <w:vAlign w:val="bottom"/>
          </w:tcPr>
          <w:p>
            <w:pPr>
              <w:spacing w:after="0"/>
              <w:rPr>
                <w:sz w:val="11"/>
                <w:szCs w:val="11"/>
                <w:color w:val="auto"/>
              </w:rPr>
            </w:pPr>
          </w:p>
        </w:tc>
      </w:tr>
      <w:tr>
        <w:trPr>
          <w:trHeight w:val="135"/>
        </w:trPr>
        <w:tc>
          <w:tcPr>
            <w:tcW w:w="2340" w:type="dxa"/>
            <w:vAlign w:val="bottom"/>
            <w:tcBorders>
              <w:left w:val="single" w:sz="8" w:color="auto"/>
            </w:tcBorders>
          </w:tcPr>
          <w:p>
            <w:pPr>
              <w:ind w:left="940"/>
              <w:spacing w:after="0" w:line="135" w:lineRule="exact"/>
              <w:rPr>
                <w:sz w:val="20"/>
                <w:szCs w:val="20"/>
                <w:color w:val="auto"/>
              </w:rPr>
            </w:pPr>
            <w:r>
              <w:rPr>
                <w:rFonts w:ascii="Arial" w:cs="Arial" w:eastAsia="Arial" w:hAnsi="Arial"/>
                <w:sz w:val="13"/>
                <w:szCs w:val="13"/>
                <w:b w:val="1"/>
                <w:bCs w:val="1"/>
                <w:color w:val="auto"/>
              </w:rPr>
              <w:t>Name</w:t>
            </w:r>
            <w:r>
              <w:rPr>
                <w:rFonts w:ascii="Arial" w:cs="Arial" w:eastAsia="Arial" w:hAnsi="Arial"/>
                <w:sz w:val="10"/>
                <w:szCs w:val="10"/>
                <w:b w:val="1"/>
                <w:bCs w:val="1"/>
                <w:color w:val="auto"/>
              </w:rPr>
              <w:t>(1)</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Cash($)</w:t>
            </w:r>
            <w:r>
              <w:rPr>
                <w:rFonts w:ascii="Arial" w:cs="Arial" w:eastAsia="Arial" w:hAnsi="Arial"/>
                <w:sz w:val="10"/>
                <w:szCs w:val="10"/>
                <w:b w:val="1"/>
                <w:bCs w:val="1"/>
                <w:color w:val="auto"/>
                <w:w w:val="93"/>
              </w:rPr>
              <w:t>(2)</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Awards($)</w:t>
            </w:r>
            <w:r>
              <w:rPr>
                <w:rFonts w:ascii="Arial" w:cs="Arial" w:eastAsia="Arial" w:hAnsi="Arial"/>
                <w:sz w:val="10"/>
                <w:szCs w:val="10"/>
                <w:b w:val="1"/>
                <w:bCs w:val="1"/>
                <w:color w:val="auto"/>
                <w:w w:val="90"/>
              </w:rPr>
              <w:t>(3)</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0"/>
                <w:szCs w:val="10"/>
                <w:b w:val="1"/>
                <w:bCs w:val="1"/>
                <w:color w:val="auto"/>
                <w:w w:val="92"/>
              </w:rPr>
              <w:t>(4)</w:t>
            </w:r>
            <w:r>
              <w:rPr>
                <w:rFonts w:ascii="Arial" w:cs="Arial" w:eastAsia="Arial" w:hAnsi="Arial"/>
                <w:sz w:val="13"/>
                <w:szCs w:val="13"/>
                <w:b w:val="1"/>
                <w:bCs w:val="1"/>
                <w:color w:val="auto"/>
                <w:w w:val="92"/>
              </w:rPr>
              <w:t xml:space="preserve">   Compensation($)</w:t>
            </w:r>
          </w:p>
        </w:tc>
        <w:tc>
          <w:tcPr>
            <w:tcW w:w="1380" w:type="dxa"/>
            <w:vAlign w:val="bottom"/>
          </w:tcPr>
          <w:p>
            <w:pPr>
              <w:jc w:val="center"/>
              <w:ind w:left="32"/>
              <w:spacing w:after="0" w:line="135" w:lineRule="exact"/>
              <w:rPr>
                <w:sz w:val="20"/>
                <w:szCs w:val="20"/>
                <w:color w:val="auto"/>
              </w:rPr>
            </w:pPr>
            <w:r>
              <w:rPr>
                <w:rFonts w:ascii="Arial" w:cs="Arial" w:eastAsia="Arial" w:hAnsi="Arial"/>
                <w:sz w:val="13"/>
                <w:szCs w:val="13"/>
                <w:b w:val="1"/>
                <w:bCs w:val="1"/>
                <w:color w:val="auto"/>
                <w:w w:val="90"/>
              </w:rPr>
              <w:t>Earnings($)</w:t>
            </w:r>
            <w:r>
              <w:rPr>
                <w:rFonts w:ascii="Arial" w:cs="Arial" w:eastAsia="Arial" w:hAnsi="Arial"/>
                <w:sz w:val="10"/>
                <w:szCs w:val="10"/>
                <w:b w:val="1"/>
                <w:bCs w:val="1"/>
                <w:color w:val="auto"/>
                <w:w w:val="90"/>
              </w:rPr>
              <w:t>(5)</w:t>
            </w:r>
          </w:p>
        </w:tc>
        <w:tc>
          <w:tcPr>
            <w:tcW w:w="1500" w:type="dxa"/>
            <w:vAlign w:val="bottom"/>
          </w:tcPr>
          <w:p>
            <w:pPr>
              <w:jc w:val="center"/>
              <w:ind w:left="10"/>
              <w:spacing w:after="0" w:line="135" w:lineRule="exact"/>
              <w:rPr>
                <w:sz w:val="20"/>
                <w:szCs w:val="20"/>
                <w:color w:val="auto"/>
              </w:rPr>
            </w:pPr>
            <w:r>
              <w:rPr>
                <w:rFonts w:ascii="Arial" w:cs="Arial" w:eastAsia="Arial" w:hAnsi="Arial"/>
                <w:sz w:val="13"/>
                <w:szCs w:val="13"/>
                <w:b w:val="1"/>
                <w:bCs w:val="1"/>
                <w:color w:val="auto"/>
                <w:w w:val="89"/>
              </w:rPr>
              <w:t>Compensation($)</w:t>
            </w:r>
            <w:r>
              <w:rPr>
                <w:rFonts w:ascii="Arial" w:cs="Arial" w:eastAsia="Arial" w:hAnsi="Arial"/>
                <w:sz w:val="10"/>
                <w:szCs w:val="10"/>
                <w:b w:val="1"/>
                <w:bCs w:val="1"/>
                <w:color w:val="auto"/>
                <w:w w:val="89"/>
              </w:rPr>
              <w:t>(6)</w:t>
            </w:r>
          </w:p>
        </w:tc>
        <w:tc>
          <w:tcPr>
            <w:tcW w:w="840" w:type="dxa"/>
            <w:vAlign w:val="bottom"/>
          </w:tcPr>
          <w:p>
            <w:pPr>
              <w:jc w:val="center"/>
              <w:ind w:left="3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81"/>
        </w:trPr>
        <w:tc>
          <w:tcPr>
            <w:tcW w:w="2340" w:type="dxa"/>
            <w:vAlign w:val="bottom"/>
            <w:tcBorders>
              <w:left w:val="single" w:sz="8" w:color="auto"/>
              <w:bottom w:val="single" w:sz="8" w:color="auto"/>
            </w:tcBorders>
          </w:tcPr>
          <w:p>
            <w:pPr>
              <w:ind w:left="1160"/>
              <w:spacing w:after="0"/>
              <w:rPr>
                <w:sz w:val="20"/>
                <w:szCs w:val="20"/>
                <w:color w:val="auto"/>
              </w:rPr>
            </w:pPr>
            <w:r>
              <w:rPr>
                <w:rFonts w:ascii="Arial" w:cs="Arial" w:eastAsia="Arial" w:hAnsi="Arial"/>
                <w:sz w:val="13"/>
                <w:szCs w:val="13"/>
                <w:b w:val="1"/>
                <w:bCs w:val="1"/>
                <w:color w:val="auto"/>
              </w:rPr>
              <w:t>(a)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w:t>
            </w:r>
          </w:p>
        </w:tc>
        <w:tc>
          <w:tcPr>
            <w:tcW w:w="1380" w:type="dxa"/>
            <w:vAlign w:val="bottom"/>
            <w:tcBorders>
              <w:bottom w:val="single" w:sz="8" w:color="auto"/>
            </w:tcBorders>
          </w:tcPr>
          <w:p>
            <w:pPr>
              <w:jc w:val="center"/>
              <w:ind w:left="32"/>
              <w:spacing w:after="0"/>
              <w:rPr>
                <w:sz w:val="20"/>
                <w:szCs w:val="20"/>
                <w:color w:val="auto"/>
              </w:rPr>
            </w:pPr>
            <w:r>
              <w:rPr>
                <w:rFonts w:ascii="Arial" w:cs="Arial" w:eastAsia="Arial" w:hAnsi="Arial"/>
                <w:sz w:val="13"/>
                <w:szCs w:val="13"/>
                <w:b w:val="1"/>
                <w:bCs w:val="1"/>
                <w:color w:val="auto"/>
                <w:w w:val="92"/>
              </w:rPr>
              <w:t>(f)</w:t>
            </w:r>
          </w:p>
        </w:tc>
        <w:tc>
          <w:tcPr>
            <w:tcW w:w="150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w w:val="84"/>
              </w:rPr>
              <w:t>(g)</w:t>
            </w:r>
          </w:p>
        </w:tc>
        <w:tc>
          <w:tcPr>
            <w:tcW w:w="840" w:type="dxa"/>
            <w:vAlign w:val="bottom"/>
            <w:tcBorders>
              <w:bottom w:val="single" w:sz="8" w:color="auto"/>
            </w:tcBorders>
          </w:tcPr>
          <w:p>
            <w:pPr>
              <w:jc w:val="center"/>
              <w:ind w:left="10"/>
              <w:spacing w:after="0"/>
              <w:rPr>
                <w:sz w:val="20"/>
                <w:szCs w:val="20"/>
                <w:color w:val="auto"/>
              </w:rPr>
            </w:pPr>
            <w:r>
              <w:rPr>
                <w:rFonts w:ascii="Arial" w:cs="Arial" w:eastAsia="Arial" w:hAnsi="Arial"/>
                <w:sz w:val="13"/>
                <w:szCs w:val="13"/>
                <w:b w:val="1"/>
                <w:bCs w:val="1"/>
                <w:color w:val="auto"/>
                <w:w w:val="96"/>
              </w:rPr>
              <w:t>(h)</w:t>
            </w:r>
          </w:p>
        </w:tc>
      </w:tr>
      <w:tr>
        <w:trPr>
          <w:trHeight w:val="155"/>
        </w:trPr>
        <w:tc>
          <w:tcPr>
            <w:tcW w:w="2340" w:type="dxa"/>
            <w:vAlign w:val="bottom"/>
            <w:tcBorders>
              <w:left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Sue W. Cole</w:t>
            </w:r>
          </w:p>
        </w:tc>
        <w:tc>
          <w:tcPr>
            <w:tcW w:w="1080" w:type="dxa"/>
            <w:vAlign w:val="bottom"/>
            <w:shd w:val="clear" w:color="auto" w:fill="CCEEFF"/>
          </w:tcPr>
          <w:p>
            <w:pPr>
              <w:jc w:val="right"/>
              <w:ind w:right="231"/>
              <w:spacing w:after="0" w:line="155" w:lineRule="exact"/>
              <w:rPr>
                <w:sz w:val="20"/>
                <w:szCs w:val="20"/>
                <w:color w:val="auto"/>
              </w:rPr>
            </w:pPr>
            <w:r>
              <w:rPr>
                <w:rFonts w:ascii="Arial" w:cs="Arial" w:eastAsia="Arial" w:hAnsi="Arial"/>
                <w:sz w:val="14"/>
                <w:szCs w:val="14"/>
                <w:color w:val="auto"/>
              </w:rPr>
              <w:t>56,750</w:t>
            </w:r>
          </w:p>
        </w:tc>
        <w:tc>
          <w:tcPr>
            <w:tcW w:w="11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0"/>
              </w:rPr>
              <w:t>110,037</w:t>
            </w:r>
          </w:p>
        </w:tc>
        <w:tc>
          <w:tcPr>
            <w:tcW w:w="7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412"/>
              <w:spacing w:after="0" w:line="155" w:lineRule="exact"/>
              <w:rPr>
                <w:sz w:val="20"/>
                <w:szCs w:val="20"/>
                <w:color w:val="auto"/>
              </w:rPr>
            </w:pPr>
            <w:r>
              <w:rPr>
                <w:rFonts w:ascii="Arial" w:cs="Arial" w:eastAsia="Arial" w:hAnsi="Arial"/>
                <w:sz w:val="14"/>
                <w:szCs w:val="14"/>
                <w:color w:val="auto"/>
              </w:rPr>
              <w:t>2,513</w:t>
            </w:r>
          </w:p>
        </w:tc>
        <w:tc>
          <w:tcPr>
            <w:tcW w:w="1500" w:type="dxa"/>
            <w:vAlign w:val="bottom"/>
            <w:shd w:val="clear" w:color="auto" w:fill="CCEEFF"/>
          </w:tcPr>
          <w:p>
            <w:pPr>
              <w:jc w:val="center"/>
              <w:ind w:left="30"/>
              <w:spacing w:after="0" w:line="155" w:lineRule="exact"/>
              <w:rPr>
                <w:sz w:val="20"/>
                <w:szCs w:val="20"/>
                <w:color w:val="auto"/>
              </w:rPr>
            </w:pPr>
            <w:r>
              <w:rPr>
                <w:rFonts w:ascii="Arial" w:cs="Arial" w:eastAsia="Arial" w:hAnsi="Arial"/>
                <w:sz w:val="14"/>
                <w:szCs w:val="14"/>
                <w:color w:val="auto"/>
                <w:w w:val="93"/>
              </w:rPr>
              <w:t>36,844</w:t>
            </w:r>
          </w:p>
        </w:tc>
        <w:tc>
          <w:tcPr>
            <w:tcW w:w="840" w:type="dxa"/>
            <w:vAlign w:val="bottom"/>
            <w:shd w:val="clear" w:color="auto" w:fill="CCEEFF"/>
          </w:tcPr>
          <w:p>
            <w:pPr>
              <w:jc w:val="center"/>
              <w:ind w:left="30"/>
              <w:spacing w:after="0" w:line="155" w:lineRule="exact"/>
              <w:rPr>
                <w:sz w:val="20"/>
                <w:szCs w:val="20"/>
                <w:color w:val="auto"/>
              </w:rPr>
            </w:pPr>
            <w:r>
              <w:rPr>
                <w:rFonts w:ascii="Arial" w:cs="Arial" w:eastAsia="Arial" w:hAnsi="Arial"/>
                <w:sz w:val="14"/>
                <w:szCs w:val="14"/>
                <w:color w:val="auto"/>
                <w:w w:val="90"/>
              </w:rPr>
              <w:t>206,144</w:t>
            </w: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David G. Maffucci</w:t>
            </w:r>
          </w:p>
        </w:tc>
        <w:tc>
          <w:tcPr>
            <w:tcW w:w="108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77,500</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717</w:t>
            </w:r>
          </w:p>
        </w:tc>
        <w:tc>
          <w:tcPr>
            <w:tcW w:w="150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3"/>
              </w:rPr>
              <w:t>31,998</w:t>
            </w:r>
          </w:p>
        </w:tc>
        <w:tc>
          <w:tcPr>
            <w:tcW w:w="8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0"/>
              </w:rPr>
              <w:t>220,252</w:t>
            </w:r>
          </w:p>
        </w:tc>
      </w:tr>
      <w:tr>
        <w:trPr>
          <w:trHeight w:val="149"/>
        </w:trPr>
        <w:tc>
          <w:tcPr>
            <w:tcW w:w="234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William E. McDonald</w:t>
            </w:r>
          </w:p>
        </w:tc>
        <w:tc>
          <w:tcPr>
            <w:tcW w:w="1080" w:type="dxa"/>
            <w:vAlign w:val="bottom"/>
            <w:shd w:val="clear" w:color="auto" w:fill="CCEEFF"/>
          </w:tcPr>
          <w:p>
            <w:pPr>
              <w:jc w:val="right"/>
              <w:ind w:right="231"/>
              <w:spacing w:after="0" w:line="149" w:lineRule="exact"/>
              <w:rPr>
                <w:sz w:val="20"/>
                <w:szCs w:val="20"/>
                <w:color w:val="auto"/>
              </w:rPr>
            </w:pPr>
            <w:r>
              <w:rPr>
                <w:rFonts w:ascii="Arial" w:cs="Arial" w:eastAsia="Arial" w:hAnsi="Arial"/>
                <w:sz w:val="14"/>
                <w:szCs w:val="14"/>
                <w:color w:val="auto"/>
              </w:rPr>
              <w:t>55,500</w:t>
            </w: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3,632</w:t>
            </w:r>
          </w:p>
        </w:tc>
        <w:tc>
          <w:tcPr>
            <w:tcW w:w="1500" w:type="dxa"/>
            <w:vAlign w:val="bottom"/>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3"/>
              </w:rPr>
              <w:t>40,870</w:t>
            </w:r>
          </w:p>
        </w:tc>
        <w:tc>
          <w:tcPr>
            <w:tcW w:w="840" w:type="dxa"/>
            <w:vAlign w:val="bottom"/>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0"/>
              </w:rPr>
              <w:t>210,039</w:t>
            </w: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Frank H. Menaker, Jr.</w:t>
            </w:r>
          </w:p>
        </w:tc>
        <w:tc>
          <w:tcPr>
            <w:tcW w:w="108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63,750</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4,442</w:t>
            </w:r>
          </w:p>
        </w:tc>
        <w:tc>
          <w:tcPr>
            <w:tcW w:w="150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3"/>
              </w:rPr>
              <w:t>47,625</w:t>
            </w:r>
          </w:p>
        </w:tc>
        <w:tc>
          <w:tcPr>
            <w:tcW w:w="8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0"/>
              </w:rPr>
              <w:t>225,854</w:t>
            </w:r>
          </w:p>
        </w:tc>
      </w:tr>
      <w:tr>
        <w:trPr>
          <w:trHeight w:val="149"/>
        </w:trPr>
        <w:tc>
          <w:tcPr>
            <w:tcW w:w="234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Laree E. Perez</w:t>
            </w:r>
          </w:p>
        </w:tc>
        <w:tc>
          <w:tcPr>
            <w:tcW w:w="1080" w:type="dxa"/>
            <w:vAlign w:val="bottom"/>
            <w:shd w:val="clear" w:color="auto" w:fill="CCEEFF"/>
          </w:tcPr>
          <w:p>
            <w:pPr>
              <w:jc w:val="right"/>
              <w:ind w:right="231"/>
              <w:spacing w:after="0" w:line="149" w:lineRule="exact"/>
              <w:rPr>
                <w:sz w:val="20"/>
                <w:szCs w:val="20"/>
                <w:color w:val="auto"/>
              </w:rPr>
            </w:pPr>
            <w:r>
              <w:rPr>
                <w:rFonts w:ascii="Arial" w:cs="Arial" w:eastAsia="Arial" w:hAnsi="Arial"/>
                <w:sz w:val="14"/>
                <w:szCs w:val="14"/>
                <w:color w:val="auto"/>
              </w:rPr>
              <w:t>73,000</w:t>
            </w: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534</w:t>
            </w:r>
          </w:p>
        </w:tc>
        <w:tc>
          <w:tcPr>
            <w:tcW w:w="1500" w:type="dxa"/>
            <w:vAlign w:val="bottom"/>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3"/>
              </w:rPr>
              <w:t>18,330</w:t>
            </w:r>
          </w:p>
        </w:tc>
        <w:tc>
          <w:tcPr>
            <w:tcW w:w="840" w:type="dxa"/>
            <w:vAlign w:val="bottom"/>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0"/>
              </w:rPr>
              <w:t>201,901</w:t>
            </w: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Michael J. Quillen</w:t>
            </w:r>
          </w:p>
        </w:tc>
        <w:tc>
          <w:tcPr>
            <w:tcW w:w="108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53,750</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220</w:t>
            </w:r>
          </w:p>
        </w:tc>
        <w:tc>
          <w:tcPr>
            <w:tcW w:w="150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3"/>
              </w:rPr>
              <w:t>20,582</w:t>
            </w:r>
          </w:p>
        </w:tc>
        <w:tc>
          <w:tcPr>
            <w:tcW w:w="8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0"/>
              </w:rPr>
              <w:t>184,589</w:t>
            </w:r>
          </w:p>
        </w:tc>
      </w:tr>
      <w:tr>
        <w:trPr>
          <w:trHeight w:val="149"/>
        </w:trPr>
        <w:tc>
          <w:tcPr>
            <w:tcW w:w="2340" w:type="dxa"/>
            <w:vAlign w:val="bottom"/>
            <w:tcBorders>
              <w:left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Dennis L. Rediker</w:t>
            </w:r>
          </w:p>
        </w:tc>
        <w:tc>
          <w:tcPr>
            <w:tcW w:w="1080" w:type="dxa"/>
            <w:vAlign w:val="bottom"/>
            <w:shd w:val="clear" w:color="auto" w:fill="CCEEFF"/>
          </w:tcPr>
          <w:p>
            <w:pPr>
              <w:jc w:val="right"/>
              <w:ind w:right="231"/>
              <w:spacing w:after="0" w:line="149" w:lineRule="exact"/>
              <w:rPr>
                <w:sz w:val="20"/>
                <w:szCs w:val="20"/>
                <w:color w:val="auto"/>
              </w:rPr>
            </w:pPr>
            <w:r>
              <w:rPr>
                <w:rFonts w:ascii="Arial" w:cs="Arial" w:eastAsia="Arial" w:hAnsi="Arial"/>
                <w:sz w:val="14"/>
                <w:szCs w:val="14"/>
                <w:color w:val="auto"/>
              </w:rPr>
              <w:t>62,500</w:t>
            </w:r>
          </w:p>
        </w:tc>
        <w:tc>
          <w:tcPr>
            <w:tcW w:w="11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1,921</w:t>
            </w:r>
          </w:p>
        </w:tc>
        <w:tc>
          <w:tcPr>
            <w:tcW w:w="1500" w:type="dxa"/>
            <w:vAlign w:val="bottom"/>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3"/>
              </w:rPr>
              <w:t>31,145</w:t>
            </w:r>
          </w:p>
        </w:tc>
        <w:tc>
          <w:tcPr>
            <w:tcW w:w="840" w:type="dxa"/>
            <w:vAlign w:val="bottom"/>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0"/>
              </w:rPr>
              <w:t>205,603</w:t>
            </w:r>
          </w:p>
        </w:tc>
      </w:tr>
      <w:tr>
        <w:trPr>
          <w:trHeight w:val="149"/>
        </w:trPr>
        <w:tc>
          <w:tcPr>
            <w:tcW w:w="2340" w:type="dxa"/>
            <w:vAlign w:val="bottom"/>
          </w:tcPr>
          <w:p>
            <w:pPr>
              <w:ind w:left="20"/>
              <w:spacing w:after="0" w:line="149" w:lineRule="exact"/>
              <w:rPr>
                <w:sz w:val="20"/>
                <w:szCs w:val="20"/>
                <w:color w:val="auto"/>
              </w:rPr>
            </w:pPr>
            <w:r>
              <w:rPr>
                <w:rFonts w:ascii="Arial" w:cs="Arial" w:eastAsia="Arial" w:hAnsi="Arial"/>
                <w:sz w:val="14"/>
                <w:szCs w:val="14"/>
                <w:color w:val="auto"/>
              </w:rPr>
              <w:t>Richard A. Vinroot</w:t>
            </w:r>
          </w:p>
        </w:tc>
        <w:tc>
          <w:tcPr>
            <w:tcW w:w="108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51,750</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4,011</w:t>
            </w:r>
          </w:p>
        </w:tc>
        <w:tc>
          <w:tcPr>
            <w:tcW w:w="150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3"/>
              </w:rPr>
              <w:t>40,924</w:t>
            </w:r>
          </w:p>
        </w:tc>
        <w:tc>
          <w:tcPr>
            <w:tcW w:w="84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0"/>
              </w:rPr>
              <w:t>206,722</w:t>
            </w:r>
          </w:p>
        </w:tc>
      </w:tr>
      <w:tr>
        <w:trPr>
          <w:trHeight w:val="149"/>
        </w:trPr>
        <w:tc>
          <w:tcPr>
            <w:tcW w:w="2340" w:type="dxa"/>
            <w:vAlign w:val="bottom"/>
            <w:tcBorders>
              <w:left w:val="single" w:sz="8" w:color="auto"/>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Stephen P. Zelnak, Jr.</w:t>
            </w:r>
          </w:p>
        </w:tc>
        <w:tc>
          <w:tcPr>
            <w:tcW w:w="1080" w:type="dxa"/>
            <w:vAlign w:val="bottom"/>
            <w:tcBorders>
              <w:bottom w:val="single" w:sz="8" w:color="auto"/>
            </w:tcBorders>
            <w:shd w:val="clear" w:color="auto" w:fill="CCEEFF"/>
          </w:tcPr>
          <w:p>
            <w:pPr>
              <w:jc w:val="right"/>
              <w:ind w:right="231"/>
              <w:spacing w:after="0" w:line="149" w:lineRule="exact"/>
              <w:rPr>
                <w:sz w:val="20"/>
                <w:szCs w:val="20"/>
                <w:color w:val="auto"/>
              </w:rPr>
            </w:pPr>
            <w:r>
              <w:rPr>
                <w:rFonts w:ascii="Arial" w:cs="Arial" w:eastAsia="Arial" w:hAnsi="Arial"/>
                <w:sz w:val="14"/>
                <w:szCs w:val="14"/>
                <w:color w:val="auto"/>
              </w:rPr>
              <w:t>169,250</w:t>
            </w:r>
          </w:p>
        </w:tc>
        <w:tc>
          <w:tcPr>
            <w:tcW w:w="1180" w:type="dxa"/>
            <w:vAlign w:val="bottom"/>
            <w:tcBorders>
              <w:bottom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110,037</w:t>
            </w:r>
          </w:p>
        </w:tc>
        <w:tc>
          <w:tcPr>
            <w:tcW w:w="7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22</w:t>
            </w:r>
          </w:p>
        </w:tc>
        <w:tc>
          <w:tcPr>
            <w:tcW w:w="1500" w:type="dxa"/>
            <w:vAlign w:val="bottom"/>
            <w:tcBorders>
              <w:bottom w:val="single" w:sz="8" w:color="auto"/>
            </w:tcBorders>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3"/>
              </w:rPr>
              <w:t>24,087</w:t>
            </w:r>
          </w:p>
        </w:tc>
        <w:tc>
          <w:tcPr>
            <w:tcW w:w="840" w:type="dxa"/>
            <w:vAlign w:val="bottom"/>
            <w:tcBorders>
              <w:bottom w:val="single" w:sz="8" w:color="auto"/>
            </w:tcBorders>
            <w:shd w:val="clear" w:color="auto" w:fill="CCEEFF"/>
          </w:tcPr>
          <w:p>
            <w:pPr>
              <w:jc w:val="center"/>
              <w:ind w:left="30"/>
              <w:spacing w:after="0" w:line="149" w:lineRule="exact"/>
              <w:rPr>
                <w:sz w:val="20"/>
                <w:szCs w:val="20"/>
                <w:color w:val="auto"/>
              </w:rPr>
            </w:pPr>
            <w:r>
              <w:rPr>
                <w:rFonts w:ascii="Arial" w:cs="Arial" w:eastAsia="Arial" w:hAnsi="Arial"/>
                <w:sz w:val="14"/>
                <w:szCs w:val="14"/>
                <w:color w:val="auto"/>
                <w:w w:val="90"/>
              </w:rPr>
              <w:t>303,396</w:t>
            </w:r>
          </w:p>
        </w:tc>
      </w:tr>
    </w:tbl>
    <w:p>
      <w:pPr>
        <w:spacing w:after="0" w:line="143" w:lineRule="exact"/>
        <w:rPr>
          <w:sz w:val="20"/>
          <w:szCs w:val="20"/>
          <w:color w:val="auto"/>
        </w:rPr>
      </w:pPr>
    </w:p>
    <w:p>
      <w:pPr>
        <w:ind w:left="1220" w:right="20" w:hanging="242"/>
        <w:spacing w:after="0" w:line="256" w:lineRule="auto"/>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Mr. Nye, who is the Chief Executive Officer of the Corporation and a member of the Board of Directors, is not included in this table because he is not compensated separately for his service as a Director. Mr. Zelnak, who is the Chairman of the Board of Directors and was the Executive Chairman of the Corporation until May 27, 2010, is included in this table commencing May 27, 2010 because he was not previously compensated separately for his service as a Director. The compensation received by Mr. Nye and Mr. Zelnak in 2010 as employees of the Corporation is shown in the Summary Compensation Table on page 42.</w:t>
      </w:r>
    </w:p>
    <w:p>
      <w:pPr>
        <w:spacing w:after="0" w:line="10" w:lineRule="exact"/>
        <w:rPr>
          <w:rFonts w:ascii="Arial" w:cs="Arial" w:eastAsia="Arial" w:hAnsi="Arial"/>
          <w:sz w:val="13"/>
          <w:szCs w:val="13"/>
          <w:color w:val="auto"/>
        </w:rPr>
      </w:pPr>
    </w:p>
    <w:p>
      <w:pPr>
        <w:ind w:left="1220" w:right="140" w:hanging="242"/>
        <w:spacing w:after="0" w:line="241" w:lineRule="auto"/>
        <w:tabs>
          <w:tab w:leader="none" w:pos="1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amounts in column (b) reflect fees earned in 2010. Some of these fees were deferred pursuant to the Common Stock Purchase Plan for Directors in the form of common stock units. The number of units of common stock credited in 2010 to each of the Directors under the Common Stock Purchase Plan for Directors and the grant date fair value for these awards determined in accordance with FASB ASC Topic 718, which includes the 20% discount, are as follows: Ms. Cole, 1,932 units and $86.31 value, respectively; Mr. Maffucci, 2,215 units and $84.65 value, respectively; Mr. McDonald, 1,913 units and $86.51 value, respectively; Mr. Menaker, 2,039 units and $85.21 value, respectively; Ms. Perez, 1,661 units and $88.20 value, respectively; Mr. Quillen, 1,898 units and $86.28 value, respectively; Mr. Rediker, 2,019 units and $85.44 value, respectively; Mr. Vinroot, 1,856 units and $87.15 value, respectively; and Mr. Zelnak, 2,271 units and $85.70, respectively. The number of units credited to each of the Directors as of December 31, 2010, including units accumulated under the plan for all years of service as a Director, is as follows: Ms. Cole, 13,040;</w:t>
      </w:r>
    </w:p>
    <w:p>
      <w:pPr>
        <w:spacing w:after="0" w:line="1" w:lineRule="exact"/>
        <w:rPr>
          <w:rFonts w:ascii="Arial" w:cs="Arial" w:eastAsia="Arial" w:hAnsi="Arial"/>
          <w:sz w:val="13"/>
          <w:szCs w:val="13"/>
          <w:color w:val="auto"/>
        </w:rPr>
      </w:pPr>
    </w:p>
    <w:p>
      <w:pPr>
        <w:ind w:left="1220" w:right="80"/>
        <w:spacing w:after="0" w:line="237" w:lineRule="auto"/>
        <w:rPr>
          <w:rFonts w:ascii="Arial" w:cs="Arial" w:eastAsia="Arial" w:hAnsi="Arial"/>
          <w:sz w:val="13"/>
          <w:szCs w:val="13"/>
          <w:color w:val="auto"/>
        </w:rPr>
      </w:pPr>
      <w:r>
        <w:rPr>
          <w:rFonts w:ascii="Arial" w:cs="Arial" w:eastAsia="Arial" w:hAnsi="Arial"/>
          <w:sz w:val="14"/>
          <w:szCs w:val="14"/>
          <w:color w:val="auto"/>
        </w:rPr>
        <w:t>Mr. Maffucci, 7,972; Mr. McDonald, 15,063; Mr. Menaker, 17,461; Ms. Perez, 5,676; Mr. Quillen, 4,791; Mr. Rediker, 8,903; Mr. Vinroot, 15,386; and Mr. Zelnak, 2,271. The 20% discount from the market price of the Corporation’s common stock used in converting to common stock is reported in column (g).</w:t>
      </w:r>
    </w:p>
    <w:p>
      <w:pPr>
        <w:spacing w:after="0" w:line="21" w:lineRule="exact"/>
        <w:rPr>
          <w:rFonts w:ascii="Arial" w:cs="Arial" w:eastAsia="Arial" w:hAnsi="Arial"/>
          <w:sz w:val="13"/>
          <w:szCs w:val="13"/>
          <w:color w:val="auto"/>
        </w:rPr>
      </w:pPr>
    </w:p>
    <w:p>
      <w:pPr>
        <w:ind w:left="1220" w:right="280" w:hanging="242"/>
        <w:spacing w:after="0" w:line="253"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Each Director received 1,155 restricted stock units in 2010. The amounts in column (c) reflect the grant date fair value for these awards determined in accordance with FASB ASC Topic 718.</w:t>
      </w:r>
    </w:p>
    <w:p>
      <w:pPr>
        <w:spacing w:after="0" w:line="11" w:lineRule="exact"/>
        <w:rPr>
          <w:rFonts w:ascii="Arial" w:cs="Arial" w:eastAsia="Arial" w:hAnsi="Arial"/>
          <w:sz w:val="14"/>
          <w:szCs w:val="14"/>
          <w:color w:val="auto"/>
        </w:rPr>
      </w:pPr>
    </w:p>
    <w:p>
      <w:pPr>
        <w:ind w:left="1220" w:right="400" w:hanging="242"/>
        <w:spacing w:after="0" w:line="253"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2010, each Director held options for common stock in the amounts as follows: Ms. Cole, 19,000; Mr. Maffucci, 12,000; Mr. McDonald, 17,000; Mr. Menaker, 21,000; Ms. Perez, 12,000; Mr. Quillen, 3,000; Mr. Rediker, 14,300; Mr. Vinroot, 19,000; and Mr. Zelnak, 118,763.</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spacing w:after="0" w:line="41" w:lineRule="exact"/>
        <w:rPr>
          <w:rFonts w:ascii="Arial" w:cs="Arial" w:eastAsia="Arial" w:hAnsi="Arial"/>
          <w:sz w:val="14"/>
          <w:szCs w:val="14"/>
          <w:color w:val="auto"/>
        </w:rPr>
      </w:pPr>
    </w:p>
    <w:p>
      <w:pPr>
        <w:jc w:val="both"/>
        <w:ind w:left="1220" w:right="20" w:hanging="242"/>
        <w:spacing w:after="0" w:line="238" w:lineRule="auto"/>
        <w:tabs>
          <w:tab w:leader="none" w:pos="1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amounts in column (g) reflect for each Director: (i) an amount equal to the 20% discount from the market price of the Corporation’s common stock used in converting fees deferred in 2010 into common stock units pursuant to the Common Stock Purchase Plan for Directors, and (ii) the dollar value of dividend equivalents paid in 2010 on common stock units held under the plan. The Directors did not receive perquisites or other personal benefits in 2010.</w:t>
      </w:r>
    </w:p>
    <w:p>
      <w:pPr>
        <w:spacing w:after="0" w:line="19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2569210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CORPORATE GOVERNANCE MATTERS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Corporate Governance Philosophy</w:t>
      </w:r>
    </w:p>
    <w:p>
      <w:pPr>
        <w:spacing w:after="0" w:line="121" w:lineRule="exact"/>
        <w:rPr>
          <w:sz w:val="20"/>
          <w:szCs w:val="20"/>
          <w:color w:val="auto"/>
        </w:rPr>
      </w:pPr>
    </w:p>
    <w:p>
      <w:pPr>
        <w:ind w:left="980" w:right="120" w:firstLine="609"/>
        <w:spacing w:after="0" w:line="313" w:lineRule="auto"/>
        <w:rPr>
          <w:sz w:val="20"/>
          <w:szCs w:val="20"/>
          <w:color w:val="auto"/>
        </w:rPr>
      </w:pPr>
      <w:r>
        <w:rPr>
          <w:rFonts w:ascii="Arial" w:cs="Arial" w:eastAsia="Arial" w:hAnsi="Arial"/>
          <w:sz w:val="16"/>
          <w:szCs w:val="16"/>
          <w:color w:val="auto"/>
        </w:rPr>
        <w:t xml:space="preserve">The Board of Directors has long believed that good corporate governance is important to ensure the Corporation is managed for the long-term benefit of its shareholders. The Corporation’s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the Corporation are conducted has been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which has been in place for more than two decades.</w:t>
      </w:r>
    </w:p>
    <w:p>
      <w:pPr>
        <w:spacing w:after="0" w:line="49" w:lineRule="exact"/>
        <w:rPr>
          <w:sz w:val="20"/>
          <w:szCs w:val="20"/>
          <w:color w:val="auto"/>
        </w:rPr>
      </w:pPr>
    </w:p>
    <w:p>
      <w:pPr>
        <w:ind w:left="980" w:right="240" w:firstLine="609"/>
        <w:spacing w:after="0" w:line="276" w:lineRule="auto"/>
        <w:rPr>
          <w:sz w:val="20"/>
          <w:szCs w:val="20"/>
          <w:color w:val="auto"/>
        </w:rPr>
      </w:pPr>
      <w:r>
        <w:rPr>
          <w:rFonts w:ascii="Arial" w:cs="Arial" w:eastAsia="Arial" w:hAnsi="Arial"/>
          <w:sz w:val="18"/>
          <w:szCs w:val="18"/>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71" w:lineRule="exact"/>
        <w:rPr>
          <w:sz w:val="20"/>
          <w:szCs w:val="20"/>
          <w:color w:val="auto"/>
        </w:rPr>
      </w:pPr>
    </w:p>
    <w:p>
      <w:pPr>
        <w:ind w:left="980" w:right="160" w:firstLine="609"/>
        <w:spacing w:after="0" w:line="244" w:lineRule="auto"/>
        <w:rPr>
          <w:sz w:val="20"/>
          <w:szCs w:val="20"/>
          <w:color w:val="auto"/>
        </w:rPr>
      </w:pPr>
      <w:r>
        <w:rPr>
          <w:rFonts w:ascii="Arial" w:cs="Arial" w:eastAsia="Arial" w:hAnsi="Arial"/>
          <w:sz w:val="20"/>
          <w:szCs w:val="20"/>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for the Corporation. The Nominating and Corporate Governance Committee is responsible for overseeing the guidelines and making recommendations to the Board relating to corporate governance matters.</w:t>
      </w:r>
    </w:p>
    <w:p>
      <w:pPr>
        <w:spacing w:after="0" w:line="100" w:lineRule="exact"/>
        <w:rPr>
          <w:sz w:val="20"/>
          <w:szCs w:val="20"/>
          <w:color w:val="auto"/>
        </w:rPr>
      </w:pPr>
    </w:p>
    <w:p>
      <w:pPr>
        <w:ind w:left="980" w:right="220" w:firstLine="609"/>
        <w:spacing w:after="0" w:line="257" w:lineRule="auto"/>
        <w:rPr>
          <w:sz w:val="20"/>
          <w:szCs w:val="20"/>
          <w:color w:val="auto"/>
        </w:rPr>
      </w:pPr>
      <w:r>
        <w:rPr>
          <w:rFonts w:ascii="Arial" w:cs="Arial" w:eastAsia="Arial" w:hAnsi="Arial"/>
          <w:sz w:val="19"/>
          <w:szCs w:val="19"/>
          <w:color w:val="auto"/>
        </w:rPr>
        <w:t>The New York Stock Exchange has adopted rules that require listed companies like the Corporation to adopt governance guidelines and comply with certain standards regarding corporate governance. The Corporation voluntarily implemented these corporate governance rules even prior to their effective date in 2004. 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The Corporation also submits written affirmations to the NYSE annually regarding details of the Corporation’s compliance with the corporate governance rules of the NYSE.</w:t>
      </w:r>
    </w:p>
    <w:p>
      <w:pPr>
        <w:spacing w:after="0" w:line="87" w:lineRule="exact"/>
        <w:rPr>
          <w:sz w:val="20"/>
          <w:szCs w:val="20"/>
          <w:color w:val="auto"/>
        </w:rPr>
      </w:pPr>
    </w:p>
    <w:p>
      <w:pPr>
        <w:ind w:left="980" w:right="140" w:firstLine="609"/>
        <w:spacing w:after="0" w:line="250" w:lineRule="auto"/>
        <w:rPr>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are posted and available for public viewing on the Corporation’s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 The guidelines address a wide array of governance issues. Among other matters, the corporate governance principles of Martin Marietta Materials include the following:</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Ethics</w:t>
      </w:r>
    </w:p>
    <w:p>
      <w:pPr>
        <w:spacing w:after="0" w:line="121" w:lineRule="exact"/>
        <w:rPr>
          <w:sz w:val="20"/>
          <w:szCs w:val="20"/>
          <w:color w:val="auto"/>
        </w:rPr>
      </w:pPr>
    </w:p>
    <w:p>
      <w:pPr>
        <w:ind w:left="1800" w:hanging="208"/>
        <w:spacing w:after="0" w:line="316"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the Corporation, including the Corporation’s executive officers, has been in place since the 1980’s.</w:t>
      </w:r>
    </w:p>
    <w:p>
      <w:pPr>
        <w:spacing w:after="0" w:line="22" w:lineRule="exact"/>
        <w:rPr>
          <w:rFonts w:ascii="Arial" w:cs="Arial" w:eastAsia="Arial" w:hAnsi="Arial"/>
          <w:sz w:val="18"/>
          <w:szCs w:val="18"/>
          <w:color w:val="auto"/>
        </w:rPr>
      </w:pPr>
    </w:p>
    <w:p>
      <w:pPr>
        <w:ind w:left="1800" w:right="100" w:hanging="208"/>
        <w:spacing w:after="0" w:line="260" w:lineRule="auto"/>
        <w:tabs>
          <w:tab w:leader="none" w:pos="180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confidential telephone hotline for anonymous reporting of complaints and concerns was established in 1994 when the Corporation’s common stock became publicly traded.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0" w:right="20" w:hanging="208"/>
        <w:spacing w:after="0" w:line="250"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78" w:lineRule="exact"/>
        <w:rPr>
          <w:rFonts w:ascii="Arial" w:cs="Arial" w:eastAsia="Arial" w:hAnsi="Arial"/>
          <w:sz w:val="20"/>
          <w:szCs w:val="20"/>
          <w:color w:val="auto"/>
        </w:rPr>
      </w:pPr>
    </w:p>
    <w:p>
      <w:pPr>
        <w:ind w:left="1800" w:right="140" w:hanging="208"/>
        <w:spacing w:after="0" w:line="246" w:lineRule="auto"/>
        <w:tabs>
          <w:tab w:leader="none" w:pos="18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The Corporation will also disclose on its website any amendments to its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waivers, if any, of such code as applicable to the Corporation’s Directors and executive officers. Any waiver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or executive officers will be made only by the full Board and promptly disclosed to shareholders within four business days.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Board Independence</w:t>
      </w:r>
    </w:p>
    <w:p>
      <w:pPr>
        <w:spacing w:after="0" w:line="121" w:lineRule="exact"/>
        <w:rPr>
          <w:sz w:val="20"/>
          <w:szCs w:val="20"/>
          <w:color w:val="auto"/>
        </w:rPr>
      </w:pPr>
    </w:p>
    <w:p>
      <w:pPr>
        <w:ind w:left="1800" w:hanging="208"/>
        <w:spacing w:after="0"/>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Nine out of ten Board members are non-employee Directors.</w:t>
      </w:r>
    </w:p>
    <w:p>
      <w:pPr>
        <w:spacing w:after="0" w:line="107" w:lineRule="exact"/>
        <w:rPr>
          <w:rFonts w:ascii="Arial" w:cs="Arial" w:eastAsia="Arial" w:hAnsi="Arial"/>
          <w:sz w:val="20"/>
          <w:szCs w:val="20"/>
          <w:color w:val="auto"/>
        </w:rPr>
      </w:pPr>
    </w:p>
    <w:p>
      <w:pPr>
        <w:ind w:left="1800" w:right="4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Eight out of ten Board members are independent Directors, as defined in the rules of the NYSE, and are not affiliated with the Corporation.</w:t>
      </w:r>
    </w:p>
    <w:p>
      <w:pPr>
        <w:spacing w:after="0" w:line="68" w:lineRule="exact"/>
        <w:rPr>
          <w:rFonts w:ascii="Arial" w:cs="Arial" w:eastAsia="Arial" w:hAnsi="Arial"/>
          <w:sz w:val="20"/>
          <w:szCs w:val="20"/>
          <w:color w:val="auto"/>
        </w:rPr>
      </w:pPr>
    </w:p>
    <w:p>
      <w:pPr>
        <w:ind w:left="1800" w:right="38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adopted by the Board reflect the Board’s belief that at least two-thirds of all Directors should consist of independent Directors.</w:t>
      </w:r>
    </w:p>
    <w:p>
      <w:pPr>
        <w:spacing w:after="0" w:line="68" w:lineRule="exact"/>
        <w:rPr>
          <w:rFonts w:ascii="Arial" w:cs="Arial" w:eastAsia="Arial" w:hAnsi="Arial"/>
          <w:sz w:val="20"/>
          <w:szCs w:val="20"/>
          <w:color w:val="auto"/>
        </w:rPr>
      </w:pPr>
    </w:p>
    <w:p>
      <w:pPr>
        <w:ind w:left="1800" w:right="14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Board has adopted </w:t>
      </w:r>
      <w:r>
        <w:rPr>
          <w:rFonts w:ascii="Arial" w:cs="Arial" w:eastAsia="Arial" w:hAnsi="Arial"/>
          <w:sz w:val="20"/>
          <w:szCs w:val="20"/>
          <w:i w:val="1"/>
          <w:iCs w:val="1"/>
          <w:color w:val="auto"/>
        </w:rPr>
        <w:t>Guidelines for Director’s Independence</w:t>
      </w:r>
      <w:r>
        <w:rPr>
          <w:rFonts w:ascii="Arial" w:cs="Arial" w:eastAsia="Arial" w:hAnsi="Arial"/>
          <w:sz w:val="20"/>
          <w:szCs w:val="20"/>
          <w:color w:val="auto"/>
        </w:rPr>
        <w:t xml:space="preserve"> for the Corporation and has determined that eight of the ten Board members are independent under these Guidelines.</w:t>
      </w:r>
    </w:p>
    <w:p>
      <w:pPr>
        <w:spacing w:after="0" w:line="68" w:lineRule="exact"/>
        <w:rPr>
          <w:rFonts w:ascii="Arial" w:cs="Arial" w:eastAsia="Arial" w:hAnsi="Arial"/>
          <w:sz w:val="20"/>
          <w:szCs w:val="20"/>
          <w:color w:val="auto"/>
        </w:rPr>
      </w:pPr>
    </w:p>
    <w:p>
      <w:pPr>
        <w:ind w:left="1800" w:right="420" w:hanging="208"/>
        <w:spacing w:after="0" w:line="260" w:lineRule="auto"/>
        <w:tabs>
          <w:tab w:leader="none" w:pos="18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Board has adopted a policy of regularly scheduled executive sessions where the independent Directors meet without management.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Independent Board Committees</w:t>
      </w:r>
    </w:p>
    <w:p>
      <w:pPr>
        <w:spacing w:after="0" w:line="121" w:lineRule="exact"/>
        <w:rPr>
          <w:sz w:val="20"/>
          <w:szCs w:val="20"/>
          <w:color w:val="auto"/>
        </w:rPr>
      </w:pPr>
    </w:p>
    <w:p>
      <w:pPr>
        <w:ind w:left="1800" w:hanging="208"/>
        <w:spacing w:after="0" w:line="263" w:lineRule="auto"/>
        <w:tabs>
          <w:tab w:leader="none" w:pos="1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8" w:lineRule="exact"/>
        <w:rPr>
          <w:rFonts w:ascii="Arial" w:cs="Arial" w:eastAsia="Arial" w:hAnsi="Arial"/>
          <w:sz w:val="19"/>
          <w:szCs w:val="19"/>
          <w:color w:val="auto"/>
        </w:rPr>
      </w:pPr>
    </w:p>
    <w:p>
      <w:pPr>
        <w:ind w:left="1800" w:right="140" w:hanging="208"/>
        <w:spacing w:after="0" w:line="244"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86" w:lineRule="exact"/>
        <w:rPr>
          <w:rFonts w:ascii="Arial" w:cs="Arial" w:eastAsia="Arial" w:hAnsi="Arial"/>
          <w:sz w:val="20"/>
          <w:szCs w:val="20"/>
          <w:color w:val="auto"/>
        </w:rPr>
      </w:pPr>
    </w:p>
    <w:p>
      <w:pPr>
        <w:ind w:left="1800" w:right="28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Audit Committee meets privately with each of management, representatives of the Corporation’s independent auditors, and the Corporation’s internal audit department.</w:t>
      </w:r>
    </w:p>
    <w:p>
      <w:pPr>
        <w:spacing w:after="0" w:line="6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members of the Audit Committee do not receive any consulting or advisory fees or other compensation from the Corporation, other than Directors fees.</w:t>
      </w:r>
    </w:p>
    <w:p>
      <w:pPr>
        <w:spacing w:after="0" w:line="68" w:lineRule="exact"/>
        <w:rPr>
          <w:rFonts w:ascii="Arial" w:cs="Arial" w:eastAsia="Arial" w:hAnsi="Arial"/>
          <w:sz w:val="20"/>
          <w:szCs w:val="20"/>
          <w:color w:val="auto"/>
        </w:rPr>
      </w:pPr>
    </w:p>
    <w:p>
      <w:pPr>
        <w:ind w:left="1800" w:right="70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members of the Audit Committee have no affiliation with the Corporation other than as a Director of the Corporation.</w:t>
      </w:r>
    </w:p>
    <w:p>
      <w:pPr>
        <w:spacing w:after="0" w:line="68" w:lineRule="exact"/>
        <w:rPr>
          <w:rFonts w:ascii="Arial" w:cs="Arial" w:eastAsia="Arial" w:hAnsi="Arial"/>
          <w:sz w:val="20"/>
          <w:szCs w:val="20"/>
          <w:color w:val="auto"/>
        </w:rPr>
      </w:pPr>
    </w:p>
    <w:p>
      <w:pPr>
        <w:ind w:left="1800" w:right="560" w:hanging="208"/>
        <w:spacing w:after="0" w:line="260" w:lineRule="auto"/>
        <w:tabs>
          <w:tab w:leader="none" w:pos="18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Board of Directors has determined that the Audit Committee includes at least one member who is an audit committee financial expert as defined in SEC rules.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General</w:t>
      </w:r>
    </w:p>
    <w:p>
      <w:pPr>
        <w:spacing w:after="0" w:line="121" w:lineRule="exact"/>
        <w:rPr>
          <w:sz w:val="20"/>
          <w:szCs w:val="20"/>
          <w:color w:val="auto"/>
        </w:rPr>
      </w:pPr>
    </w:p>
    <w:p>
      <w:pPr>
        <w:ind w:left="1800" w:hanging="208"/>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130" w:lineRule="exact"/>
        <w:rPr>
          <w:rFonts w:ascii="Arial" w:cs="Arial" w:eastAsia="Arial" w:hAnsi="Arial"/>
          <w:sz w:val="18"/>
          <w:szCs w:val="18"/>
          <w:color w:val="auto"/>
        </w:rPr>
      </w:pPr>
    </w:p>
    <w:p>
      <w:pPr>
        <w:ind w:left="1800" w:right="540" w:hanging="208"/>
        <w:spacing w:after="0" w:line="260" w:lineRule="auto"/>
        <w:tabs>
          <w:tab w:leader="none" w:pos="1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Directors have access to members of the Corporation’s management team and, as necessary and appropriate, to independent advisors.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At least annually, the Board evaluates the performance of the Chief Executive Officer.</w:t>
      </w:r>
    </w:p>
    <w:p>
      <w:pPr>
        <w:spacing w:after="0" w:line="107" w:lineRule="exact"/>
        <w:rPr>
          <w:rFonts w:ascii="Arial" w:cs="Arial" w:eastAsia="Arial" w:hAnsi="Arial"/>
          <w:sz w:val="20"/>
          <w:szCs w:val="20"/>
          <w:color w:val="auto"/>
        </w:rPr>
      </w:pPr>
    </w:p>
    <w:p>
      <w:pPr>
        <w:ind w:left="1800" w:right="120" w:hanging="208"/>
        <w:spacing w:after="0" w:line="291"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are the Corporation’s Independent Directors?</w:t>
      </w:r>
    </w:p>
    <w:p>
      <w:pPr>
        <w:spacing w:after="0" w:line="121" w:lineRule="exact"/>
        <w:rPr>
          <w:sz w:val="20"/>
          <w:szCs w:val="20"/>
          <w:color w:val="auto"/>
        </w:rPr>
      </w:pPr>
    </w:p>
    <w:p>
      <w:pPr>
        <w:ind w:left="980" w:right="140" w:firstLine="609"/>
        <w:spacing w:after="0" w:line="246" w:lineRule="auto"/>
        <w:rPr>
          <w:sz w:val="20"/>
          <w:szCs w:val="20"/>
          <w:color w:val="auto"/>
        </w:rPr>
      </w:pPr>
      <w:r>
        <w:rPr>
          <w:rFonts w:ascii="Arial" w:cs="Arial" w:eastAsia="Arial" w:hAnsi="Arial"/>
          <w:sz w:val="20"/>
          <w:szCs w:val="20"/>
          <w:color w:val="auto"/>
        </w:rPr>
        <w:t>All of the Corporation’s Directors are non-employee Directors except Mr. Nye. Mr. Nye was elected to the Board as of January 1, 2010.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97"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 xml:space="preserve">In assessing the independence of its members, the Board has adopted for the Corporation a set of </w:t>
      </w:r>
      <w:r>
        <w:rPr>
          <w:rFonts w:ascii="Arial" w:cs="Arial" w:eastAsia="Arial" w:hAnsi="Arial"/>
          <w:sz w:val="19"/>
          <w:szCs w:val="19"/>
          <w:i w:val="1"/>
          <w:iCs w:val="1"/>
          <w:color w:val="auto"/>
        </w:rPr>
        <w:t>Guidelines for</w:t>
      </w:r>
      <w:r>
        <w:rPr>
          <w:rFonts w:ascii="Arial" w:cs="Arial" w:eastAsia="Arial" w:hAnsi="Arial"/>
          <w:sz w:val="19"/>
          <w:szCs w:val="19"/>
          <w:color w:val="auto"/>
        </w:rPr>
        <w:t xml:space="preserve"> </w:t>
      </w:r>
      <w:r>
        <w:rPr>
          <w:rFonts w:ascii="Arial" w:cs="Arial" w:eastAsia="Arial" w:hAnsi="Arial"/>
          <w:sz w:val="19"/>
          <w:szCs w:val="19"/>
          <w:i w:val="1"/>
          <w:iCs w:val="1"/>
          <w:color w:val="auto"/>
        </w:rPr>
        <w:t>Director’s Independence</w:t>
      </w:r>
      <w:r>
        <w:rPr>
          <w:rFonts w:ascii="Arial" w:cs="Arial" w:eastAsia="Arial" w:hAnsi="Arial"/>
          <w:sz w:val="19"/>
          <w:szCs w:val="19"/>
          <w:color w:val="auto"/>
        </w:rPr>
        <w:t>. The Guidelines are posted and available for public viewing on the Corporation’s website at</w:t>
      </w:r>
      <w:r>
        <w:rPr>
          <w:rFonts w:ascii="Arial" w:cs="Arial" w:eastAsia="Arial" w:hAnsi="Arial"/>
          <w:sz w:val="19"/>
          <w:szCs w:val="19"/>
          <w:i w:val="1"/>
          <w:iCs w:val="1"/>
          <w:color w:val="auto"/>
        </w:rPr>
        <w:t xml:space="preserve"> www.martinmarietta.com</w:t>
      </w:r>
      <w:r>
        <w:rPr>
          <w:rFonts w:ascii="Arial" w:cs="Arial" w:eastAsia="Arial" w:hAnsi="Arial"/>
          <w:sz w:val="19"/>
          <w:szCs w:val="19"/>
          <w:color w:val="auto"/>
        </w:rPr>
        <w:t>. These Guidelines reflect the rules of the NYSE, applicable requirements of the SEC,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standards determined by the Board to be important in assessing the independence of Board members. The Board has determined that all members of the Board, except Mr. Zelnak and Mr. Nye, are “independent” under these Guidelines. The Board of Directors has determined that no Director (except Mr. Zelnak and Mr. Nye), or any person or organization with which the Director has any affiliation, has a relationship with the Corporation that may interfere with the Director’s independence from the Corporation and its management.</w:t>
      </w:r>
    </w:p>
    <w:p>
      <w:pPr>
        <w:spacing w:after="0" w:line="87" w:lineRule="exact"/>
        <w:rPr>
          <w:sz w:val="20"/>
          <w:szCs w:val="20"/>
          <w:color w:val="auto"/>
        </w:rPr>
      </w:pPr>
    </w:p>
    <w:p>
      <w:pPr>
        <w:ind w:left="980" w:right="100" w:firstLine="609"/>
        <w:spacing w:after="0" w:line="242" w:lineRule="auto"/>
        <w:rPr>
          <w:sz w:val="20"/>
          <w:szCs w:val="20"/>
          <w:color w:val="auto"/>
        </w:rPr>
      </w:pPr>
      <w:r>
        <w:rPr>
          <w:rFonts w:ascii="Arial" w:cs="Arial" w:eastAsia="Arial" w:hAnsi="Arial"/>
          <w:sz w:val="20"/>
          <w:szCs w:val="20"/>
          <w:color w:val="auto"/>
        </w:rPr>
        <w:t>In making this “independence” determination, the Board considered other entities with which the Directors were affiliated and any business the Corporation had done with such entities. In that regard, Mr. Vinroot is a member of the law firm of Robinson, Bradshaw &amp; Hinson, P.A. located in Charlotte, North Carolina, which provided certain legal services to the Corporation in 2010. Mr. Vinroot did not work on any of the legal matters for the Corporation. The amount of fees paid to Robinson, Bradshaw &amp; Hinson, P.A. for such services in 2010 was approximately $84,000, representing less than 0.2%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Do the independent Directors ever meet without management?</w:t>
      </w:r>
    </w:p>
    <w:p>
      <w:pPr>
        <w:spacing w:after="0" w:line="121" w:lineRule="exact"/>
        <w:rPr>
          <w:sz w:val="20"/>
          <w:szCs w:val="20"/>
          <w:color w:val="auto"/>
        </w:rPr>
      </w:pPr>
    </w:p>
    <w:p>
      <w:pPr>
        <w:ind w:left="980" w:right="20" w:firstLine="609"/>
        <w:spacing w:after="0" w:line="274" w:lineRule="auto"/>
        <w:rPr>
          <w:sz w:val="20"/>
          <w:szCs w:val="20"/>
          <w:color w:val="auto"/>
        </w:rPr>
      </w:pPr>
      <w:r>
        <w:rPr>
          <w:rFonts w:ascii="Arial" w:cs="Arial" w:eastAsia="Arial" w:hAnsi="Arial"/>
          <w:sz w:val="18"/>
          <w:szCs w:val="18"/>
          <w:color w:val="auto"/>
        </w:rPr>
        <w:t xml:space="preserve">The Corporation’s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its Chief Executive Officer. In 2010, the Corporation’s non-employee Directors met 4 times in executive session without management, in addition to executive sessions held by committees of the Board. The Chair of the Nominating and Corporate Governance Committee, currently Mr. McDonald, a non-employee Director, presides at these executive sessions of non-employee Directors. In the absence of such Chair, the non-employee Directors would elect from among themselves a chair for such an executive session.</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1076960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Board’s leadership structure?</w:t>
      </w:r>
    </w:p>
    <w:p>
      <w:pPr>
        <w:spacing w:after="0" w:line="12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As of January 1, 2010, the role of Chairman and Chief Executive Officer are separate. The Board believes this structure is best currently for the Corporation as Mr. Zelnak’s continuance as Chairman helps provide a seamless transition in connection with the succession of Mr. Nye as Chief Executive Officer. The Corporation also believes that the Board leadership structure wherein the Chairman of the Nominating and Corporate Governance Committee presides at executive sessions of the Board, at which Mr. Nye does not attend unless specifically invited, facilitates communication among the non-employee Directors. We believe our Chief Executive Officer and our Chairman have an excellent working relationship that has allowed Mr. Nye to make a strong transition into his new role and will allow him to focus on the challenges the Corporation is facing in the current business environment. We believe Mr. Zelnak’s continuation as Chairman provides strong leadership for our Board, while also positioning our Chief Executive Officer as the leader of the Corporation as recognized by our customers, employees and other constituencies.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is the Board’s role in risk oversight?</w:t>
      </w:r>
    </w:p>
    <w:p>
      <w:pPr>
        <w:spacing w:after="0" w:line="121" w:lineRule="exact"/>
        <w:rPr>
          <w:sz w:val="20"/>
          <w:szCs w:val="20"/>
          <w:color w:val="auto"/>
        </w:rPr>
      </w:pPr>
    </w:p>
    <w:p>
      <w:pPr>
        <w:ind w:left="980" w:right="140" w:firstLine="609"/>
        <w:spacing w:after="0" w:line="274" w:lineRule="auto"/>
        <w:rPr>
          <w:sz w:val="20"/>
          <w:szCs w:val="20"/>
          <w:color w:val="auto"/>
        </w:rPr>
      </w:pPr>
      <w:r>
        <w:rPr>
          <w:rFonts w:ascii="Arial" w:cs="Arial" w:eastAsia="Arial" w:hAnsi="Arial"/>
          <w:sz w:val="18"/>
          <w:szCs w:val="18"/>
          <w:color w:val="auto"/>
        </w:rPr>
        <w:t>Our Board currently has eight independent members and only two non-independent members, the non-executive Chairman and the Chief Executive Officer.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75" w:lineRule="exact"/>
        <w:rPr>
          <w:sz w:val="20"/>
          <w:szCs w:val="20"/>
          <w:color w:val="auto"/>
        </w:rPr>
      </w:pPr>
    </w:p>
    <w:p>
      <w:pPr>
        <w:ind w:left="980" w:right="220" w:firstLine="609"/>
        <w:spacing w:after="0" w:line="306" w:lineRule="auto"/>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 (1) timely indentify the material risks that the Corporation faces, (2) communicate necessary information with respect to material risks to senior executives and, as appropriate, to the Board or relevant Board Committee,</w:t>
      </w:r>
    </w:p>
    <w:p>
      <w:pPr>
        <w:spacing w:after="0" w:line="1" w:lineRule="exact"/>
        <w:rPr>
          <w:sz w:val="20"/>
          <w:szCs w:val="20"/>
          <w:color w:val="auto"/>
        </w:rPr>
      </w:pPr>
    </w:p>
    <w:p>
      <w:pPr>
        <w:ind w:left="980" w:right="220" w:hanging="10"/>
        <w:spacing w:after="0" w:line="241" w:lineRule="auto"/>
        <w:tabs>
          <w:tab w:leader="none" w:pos="12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determine whether the risk is excessive or appropriate under the circumstances and designed to achieve a legitimate corporate goal, (4) implement risk management responses consistent with the Corporation’s risk profile, and (5) integrate risk management into the Corporation’s decision-making.</w:t>
      </w:r>
    </w:p>
    <w:p>
      <w:pPr>
        <w:spacing w:after="0" w:line="102" w:lineRule="exact"/>
        <w:rPr>
          <w:sz w:val="20"/>
          <w:szCs w:val="20"/>
          <w:color w:val="auto"/>
        </w:rPr>
      </w:pPr>
    </w:p>
    <w:p>
      <w:pPr>
        <w:ind w:left="980" w:right="40" w:firstLine="609"/>
        <w:spacing w:after="0" w:line="243" w:lineRule="auto"/>
        <w:rPr>
          <w:sz w:val="20"/>
          <w:szCs w:val="20"/>
          <w:color w:val="auto"/>
        </w:rPr>
      </w:pPr>
      <w:r>
        <w:rPr>
          <w:rFonts w:ascii="Arial" w:cs="Arial" w:eastAsia="Arial" w:hAnsi="Arial"/>
          <w:sz w:val="20"/>
          <w:szCs w:val="20"/>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reviews with management regularly the most significant risks facing the Corporation, the probabilities of those risks occurring, the steps taken to mitigate any impact of risks, and management’s general risk management strategy. In addition, the Board encourages management to promote a corporate culture that incorporates risk management into the Corporation’s day-to-day operations.</w:t>
      </w:r>
    </w:p>
    <w:p>
      <w:pPr>
        <w:spacing w:after="0" w:line="102" w:lineRule="exact"/>
        <w:rPr>
          <w:sz w:val="20"/>
          <w:szCs w:val="20"/>
          <w:color w:val="auto"/>
        </w:rPr>
      </w:pPr>
    </w:p>
    <w:p>
      <w:pPr>
        <w:ind w:left="980" w:right="40" w:firstLine="609"/>
        <w:spacing w:after="0" w:line="242" w:lineRule="auto"/>
        <w:rPr>
          <w:sz w:val="20"/>
          <w:szCs w:val="20"/>
          <w:color w:val="auto"/>
        </w:rPr>
      </w:pPr>
      <w:r>
        <w:rPr>
          <w:rFonts w:ascii="Arial" w:cs="Arial" w:eastAsia="Arial" w:hAnsi="Arial"/>
          <w:sz w:val="20"/>
          <w:szCs w:val="20"/>
          <w:color w:val="auto"/>
        </w:rPr>
        <w:t>The Board has designated the Audit Committee to take the lead in overseeing risks related to financial reporting, financial statements, internal control environment, internal audit, independent audit, and accounting processes. The Finance Committee evaluates risks associated with the Corporation’s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the Corporation’s objectives. The Nominating and Corporate Governance Committee oversees aspects of risk related to the composition of the Board and its Committees, Board performance and best practices in corporate governance. The Ethics, Environment, Safety and Health Committee monitors risks in the areas of the Corporation’s ethics program, health, safety, and the environment.</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991235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980" w:right="120" w:firstLine="609"/>
        <w:spacing w:after="0" w:line="246" w:lineRule="auto"/>
        <w:rPr>
          <w:sz w:val="20"/>
          <w:szCs w:val="20"/>
          <w:color w:val="auto"/>
        </w:rPr>
      </w:pPr>
      <w:r>
        <w:rPr>
          <w:rFonts w:ascii="Arial" w:cs="Arial" w:eastAsia="Arial" w:hAnsi="Arial"/>
          <w:sz w:val="20"/>
          <w:szCs w:val="20"/>
          <w:color w:val="auto"/>
        </w:rPr>
        <w:t>While the Board oversees the Corporation’s risk management, the executive officers are responsible for the day-to-day risk management processes. We believe this division of responsibilities is the most effective approach for addressing the risks facing our Corporation and is appropriate whether the positions of Chairman and Chief Executive Officer are separate or held by the same individual.</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would interested parties make their concerns known to the independent Directors?</w:t>
      </w:r>
    </w:p>
    <w:p>
      <w:pPr>
        <w:spacing w:after="0" w:line="121" w:lineRule="exact"/>
        <w:rPr>
          <w:sz w:val="20"/>
          <w:szCs w:val="20"/>
          <w:color w:val="auto"/>
        </w:rPr>
      </w:pPr>
    </w:p>
    <w:p>
      <w:pPr>
        <w:ind w:left="980" w:right="40" w:firstLine="609"/>
        <w:spacing w:after="0" w:line="258" w:lineRule="auto"/>
        <w:rPr>
          <w:sz w:val="20"/>
          <w:szCs w:val="20"/>
          <w:color w:val="auto"/>
        </w:rPr>
      </w:pPr>
      <w:r>
        <w:rPr>
          <w:rFonts w:ascii="Arial" w:cs="Arial" w:eastAsia="Arial" w:hAnsi="Arial"/>
          <w:sz w:val="19"/>
          <w:szCs w:val="19"/>
          <w:color w:val="auto"/>
        </w:rPr>
        <w:t>The Board of Directors provides a process for shareholders and other interested parties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85"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color w:val="auto"/>
        </w:rPr>
        <w:t>All communications by shareholders or other interested parties addressed to the Board will be sent directly to Board members. While the Corporation’s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00" w:lineRule="exact"/>
        <w:rPr>
          <w:sz w:val="20"/>
          <w:szCs w:val="20"/>
          <w:color w:val="auto"/>
        </w:rPr>
      </w:pPr>
    </w:p>
    <w:p>
      <w:pPr>
        <w:ind w:left="980" w:right="200" w:firstLine="609"/>
        <w:spacing w:after="0" w:line="246" w:lineRule="auto"/>
        <w:rPr>
          <w:sz w:val="20"/>
          <w:szCs w:val="20"/>
          <w:color w:val="auto"/>
        </w:rPr>
      </w:pPr>
      <w:r>
        <w:rPr>
          <w:rFonts w:ascii="Arial" w:cs="Arial" w:eastAsia="Arial" w:hAnsi="Arial"/>
          <w:sz w:val="20"/>
          <w:szCs w:val="20"/>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20"/>
          <w:szCs w:val="20"/>
          <w:i w:val="1"/>
          <w:iCs w:val="1"/>
          <w:u w:val="single" w:color="auto"/>
          <w:color w:val="auto"/>
        </w:rPr>
        <w:t>www.martinmarietta.com</w:t>
      </w:r>
      <w:r>
        <w:rPr>
          <w:rFonts w:ascii="Arial" w:cs="Arial" w:eastAsia="Arial" w:hAnsi="Arial"/>
          <w:sz w:val="20"/>
          <w:szCs w:val="20"/>
          <w:color w:val="auto"/>
        </w:rPr>
        <w:t>.</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often did the Board meet during 2010?</w:t>
      </w:r>
    </w:p>
    <w:p>
      <w:pPr>
        <w:spacing w:after="0" w:line="121"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The Corporation’s Board of Directors held 5 meetings during 2010, all of which were regularly scheduled meetings. There were also a total of 22 committee meetings in 2010. In addition, management confers frequently with its Directors on an informal basis to discuss Corporation affairs.</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many times did Directors attend meetings of the Board and its Committees?</w:t>
      </w:r>
    </w:p>
    <w:p>
      <w:pPr>
        <w:spacing w:after="0" w:line="121" w:lineRule="exact"/>
        <w:rPr>
          <w:sz w:val="20"/>
          <w:szCs w:val="20"/>
          <w:color w:val="auto"/>
        </w:rPr>
      </w:pPr>
    </w:p>
    <w:p>
      <w:pPr>
        <w:ind w:left="980" w:firstLine="609"/>
        <w:spacing w:after="0" w:line="260" w:lineRule="auto"/>
        <w:rPr>
          <w:sz w:val="20"/>
          <w:szCs w:val="20"/>
          <w:color w:val="auto"/>
        </w:rPr>
      </w:pPr>
      <w:r>
        <w:rPr>
          <w:rFonts w:ascii="Arial" w:cs="Arial" w:eastAsia="Arial" w:hAnsi="Arial"/>
          <w:sz w:val="20"/>
          <w:szCs w:val="20"/>
          <w:color w:val="auto"/>
        </w:rPr>
        <w:t>In 2010, all Directors attended all of the meetings of the Board of Directors. All directors attended all of the meetings of the committees of the Board on which they served (during the periods that they served).</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the Directors attend the Annual Meeting?</w:t>
      </w:r>
    </w:p>
    <w:p>
      <w:pPr>
        <w:spacing w:after="0" w:line="121" w:lineRule="exact"/>
        <w:rPr>
          <w:sz w:val="20"/>
          <w:szCs w:val="20"/>
          <w:color w:val="auto"/>
        </w:rPr>
      </w:pPr>
    </w:p>
    <w:p>
      <w:pPr>
        <w:ind w:left="980" w:right="300" w:firstLine="609"/>
        <w:spacing w:after="0" w:line="260" w:lineRule="auto"/>
        <w:rPr>
          <w:sz w:val="20"/>
          <w:szCs w:val="20"/>
          <w:color w:val="auto"/>
        </w:rPr>
      </w:pPr>
      <w:r>
        <w:rPr>
          <w:rFonts w:ascii="Arial" w:cs="Arial" w:eastAsia="Arial" w:hAnsi="Arial"/>
          <w:sz w:val="20"/>
          <w:szCs w:val="20"/>
          <w:color w:val="auto"/>
        </w:rPr>
        <w:t>The Corporation’s Directors are expected to attend the Corporation’s Annual Meeting of Shareholders. All Directors then serving on the Board attended the 2010 Annual Meeting of Shareholders.</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Directors compensated?</w:t>
      </w:r>
    </w:p>
    <w:p>
      <w:pPr>
        <w:spacing w:after="0" w:line="121"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 xml:space="preserve">A table showing the compensation paid by the Corporation to the individuals serving as Directors in 2010, other than Mr. Nye, is included in the section of this proxy statement entitled “DIRECTOR COMPENSATION — </w:t>
      </w:r>
      <w:r>
        <w:rPr>
          <w:rFonts w:ascii="Arial" w:cs="Arial" w:eastAsia="Arial" w:hAnsi="Arial"/>
          <w:sz w:val="20"/>
          <w:szCs w:val="20"/>
          <w:i w:val="1"/>
          <w:iCs w:val="1"/>
          <w:color w:val="auto"/>
        </w:rPr>
        <w:t>Director 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Table.</w:t>
      </w:r>
      <w:r>
        <w:rPr>
          <w:rFonts w:ascii="Arial" w:cs="Arial" w:eastAsia="Arial" w:hAnsi="Arial"/>
          <w:sz w:val="20"/>
          <w:szCs w:val="20"/>
          <w:color w:val="auto"/>
        </w:rPr>
        <w:t>” Mr. Nye, who was elected a Director as of January 1, 2010, is not included in the table. Mr. Zelnak, who served as</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Chairman through May 27, 2010 and thereafter serves as non-executive Chairman, is included in the table for compensation received as non-executive Chairman and Board member. Mr. Zelnak’s and Mr. Nye’s compensation as executive officers of the</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60" w:lineRule="auto"/>
        <w:rPr>
          <w:sz w:val="20"/>
          <w:szCs w:val="20"/>
          <w:color w:val="auto"/>
        </w:rPr>
      </w:pPr>
      <w:r>
        <w:rPr>
          <w:rFonts w:ascii="Arial" w:cs="Arial" w:eastAsia="Arial" w:hAnsi="Arial"/>
          <w:sz w:val="20"/>
          <w:szCs w:val="20"/>
          <w:color w:val="auto"/>
        </w:rPr>
        <w:t>Corporation is shown in the section entitled “EXECUTIVE COMPENSATION” and they received no additional compensation for service as a Director during that time.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What Committees has the Board established?</w:t>
      </w:r>
    </w:p>
    <w:p>
      <w:pPr>
        <w:spacing w:after="0" w:line="121" w:lineRule="exact"/>
        <w:rPr>
          <w:sz w:val="20"/>
          <w:szCs w:val="20"/>
          <w:color w:val="auto"/>
        </w:rPr>
      </w:pPr>
    </w:p>
    <w:p>
      <w:pPr>
        <w:ind w:left="980" w:right="340" w:firstLine="609"/>
        <w:spacing w:after="0" w:line="269" w:lineRule="auto"/>
        <w:rPr>
          <w:sz w:val="20"/>
          <w:szCs w:val="20"/>
          <w:color w:val="auto"/>
        </w:rPr>
      </w:pPr>
      <w:r>
        <w:rPr>
          <w:rFonts w:ascii="Arial" w:cs="Arial" w:eastAsia="Arial" w:hAnsi="Arial"/>
          <w:sz w:val="19"/>
          <w:szCs w:val="19"/>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70" w:lineRule="exact"/>
        <w:rPr>
          <w:sz w:val="20"/>
          <w:szCs w:val="20"/>
          <w:color w:val="auto"/>
        </w:rPr>
      </w:pPr>
    </w:p>
    <w:p>
      <w:pPr>
        <w:ind w:left="980" w:right="180" w:firstLine="609"/>
        <w:spacing w:after="0" w:line="25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Audit Committee</w:t>
      </w:r>
      <w:r>
        <w:rPr>
          <w:rFonts w:ascii="Arial" w:cs="Arial" w:eastAsia="Arial" w:hAnsi="Arial"/>
          <w:sz w:val="19"/>
          <w:szCs w:val="19"/>
          <w:color w:val="auto"/>
        </w:rPr>
        <w:t>, which is composed entirely of non-employee, independent Directors, held 8 meetings during 2010.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85" w:lineRule="exact"/>
        <w:rPr>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selects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pre-approves all audit and non-audit services provided to the Corporation by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monitors the independence of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approves: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scope and timing of work to be performed by the independent auditors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compensation to be paid to the independent auditors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financial accounting and reporting principles used by the Corporation</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policies and procedures concerning audits, accounting, and financial controls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recommendations to improve existing practices</w:t>
      </w:r>
    </w:p>
    <w:p>
      <w:pPr>
        <w:spacing w:after="0" w:line="121" w:lineRule="exact"/>
        <w:rPr>
          <w:rFonts w:ascii="Arial" w:cs="Arial" w:eastAsia="Arial" w:hAnsi="Arial"/>
          <w:sz w:val="20"/>
          <w:szCs w:val="20"/>
          <w:color w:val="auto"/>
        </w:rPr>
      </w:pPr>
    </w:p>
    <w:p>
      <w:pPr>
        <w:ind w:left="1820" w:hanging="139"/>
        <w:spacing w:after="0"/>
        <w:tabs>
          <w:tab w:leader="none" w:pos="1820" w:val="left"/>
        </w:tabs>
        <w:numPr>
          <w:ilvl w:val="1"/>
          <w:numId w:val="15"/>
        </w:numPr>
        <w:rPr>
          <w:rFonts w:ascii="Arial" w:cs="Arial" w:eastAsia="Arial" w:hAnsi="Arial"/>
          <w:sz w:val="20"/>
          <w:szCs w:val="20"/>
          <w:color w:val="auto"/>
        </w:rPr>
      </w:pPr>
      <w:r>
        <w:rPr>
          <w:rFonts w:ascii="Arial" w:cs="Arial" w:eastAsia="Arial" w:hAnsi="Arial"/>
          <w:sz w:val="20"/>
          <w:szCs w:val="20"/>
          <w:color w:val="auto"/>
        </w:rPr>
        <w:t>results of the audit and the reports of the independent auditors</w:t>
      </w:r>
    </w:p>
    <w:p>
      <w:pPr>
        <w:spacing w:after="0" w:line="121" w:lineRule="exact"/>
        <w:rPr>
          <w:rFonts w:ascii="Arial" w:cs="Arial" w:eastAsia="Arial" w:hAnsi="Arial"/>
          <w:sz w:val="20"/>
          <w:szCs w:val="20"/>
          <w:color w:val="auto"/>
        </w:rPr>
      </w:pPr>
    </w:p>
    <w:p>
      <w:pPr>
        <w:ind w:left="1800" w:right="10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discusses the Corporation’s annual audited financial statements and quarterly financial statements with management and the independent auditors</w:t>
      </w:r>
    </w:p>
    <w:p>
      <w:pPr>
        <w:spacing w:after="0" w:line="6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discusses management’s assessment of the effectiveness of the Corporation’s system of internal control over financial reporting</w:t>
      </w:r>
    </w:p>
    <w:p>
      <w:pPr>
        <w:spacing w:after="0" w:line="68" w:lineRule="exact"/>
        <w:rPr>
          <w:rFonts w:ascii="Arial" w:cs="Arial" w:eastAsia="Arial" w:hAnsi="Arial"/>
          <w:sz w:val="20"/>
          <w:szCs w:val="20"/>
          <w:color w:val="auto"/>
        </w:rPr>
      </w:pPr>
    </w:p>
    <w:p>
      <w:pPr>
        <w:ind w:left="1800" w:right="40" w:hanging="208"/>
        <w:spacing w:after="0" w:line="260" w:lineRule="auto"/>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discusses the Corporation’s earnings press releases, as well as financial information and earnings guidance provided to analysts and rating agencies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discusses matters related to risk assessment and risk management and how the process is handled by management</w:t>
      </w:r>
    </w:p>
    <w:p>
      <w:pPr>
        <w:spacing w:after="0" w:line="153" w:lineRule="exact"/>
        <w:rPr>
          <w:rFonts w:ascii="Arial" w:cs="Arial" w:eastAsia="Arial" w:hAnsi="Arial"/>
          <w:sz w:val="16"/>
          <w:szCs w:val="16"/>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considers allegations, if ever made, of possible financial fraud or other financial improprieties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sets clear hiring policies for employees or former employees of the independent auditors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the qualifications and the plan and scope of work of the corporate internal audit function</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prepares an audit committee report as required by the SEC to be in this proxy statement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657225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20"/>
          <w:szCs w:val="20"/>
          <w:i w:val="1"/>
          <w:iCs w:val="1"/>
          <w:color w:val="auto"/>
        </w:rPr>
        <w:t>Guidelines for</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Director’s Independence</w:t>
      </w:r>
      <w:r>
        <w:rPr>
          <w:rFonts w:ascii="Arial" w:cs="Arial" w:eastAsia="Arial" w:hAnsi="Arial"/>
          <w:sz w:val="20"/>
          <w:szCs w:val="20"/>
          <w:color w:val="auto"/>
        </w:rPr>
        <w:t>.</w:t>
      </w:r>
    </w:p>
    <w:p>
      <w:pPr>
        <w:spacing w:after="0" w:line="94" w:lineRule="exact"/>
        <w:rPr>
          <w:sz w:val="20"/>
          <w:szCs w:val="20"/>
          <w:color w:val="auto"/>
        </w:rPr>
      </w:pPr>
    </w:p>
    <w:p>
      <w:pPr>
        <w:ind w:left="980" w:right="180" w:firstLine="609"/>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Ethics, Environment, Safety and Health Committee</w:t>
      </w:r>
      <w:r>
        <w:rPr>
          <w:rFonts w:ascii="Arial" w:cs="Arial" w:eastAsia="Arial" w:hAnsi="Arial"/>
          <w:sz w:val="18"/>
          <w:szCs w:val="18"/>
          <w:color w:val="auto"/>
        </w:rPr>
        <w:t xml:space="preserve"> held 2 meetings during 2010. It monitors compliance with the Corporation’s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and reviews all matters presented 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Vinroot (Chair), Menaker, Perez, Quillen, and Rediker.</w:t>
      </w:r>
    </w:p>
    <w:p>
      <w:pPr>
        <w:spacing w:after="0" w:line="68"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Executive Committee</w:t>
      </w:r>
      <w:r>
        <w:rPr>
          <w:rFonts w:ascii="Arial" w:cs="Arial" w:eastAsia="Arial" w:hAnsi="Arial"/>
          <w:sz w:val="20"/>
          <w:szCs w:val="20"/>
          <w:color w:val="auto"/>
        </w:rPr>
        <w:t xml:space="preserve"> held no meetings during 2010.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91" w:lineRule="exact"/>
        <w:rPr>
          <w:sz w:val="20"/>
          <w:szCs w:val="20"/>
          <w:color w:val="auto"/>
        </w:rPr>
      </w:pPr>
    </w:p>
    <w:p>
      <w:pPr>
        <w:ind w:left="980" w:firstLine="609"/>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Finance Committee</w:t>
      </w:r>
      <w:r>
        <w:rPr>
          <w:rFonts w:ascii="Arial" w:cs="Arial" w:eastAsia="Arial" w:hAnsi="Arial"/>
          <w:sz w:val="18"/>
          <w:szCs w:val="18"/>
          <w:color w:val="auto"/>
        </w:rPr>
        <w:t xml:space="preserve"> held 5 meetings during 2010.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66" w:lineRule="exact"/>
        <w:rPr>
          <w:sz w:val="20"/>
          <w:szCs w:val="20"/>
          <w:color w:val="auto"/>
        </w:rPr>
      </w:pPr>
    </w:p>
    <w:p>
      <w:pPr>
        <w:ind w:left="980" w:right="60" w:firstLine="609"/>
        <w:spacing w:after="0" w:line="27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Management Development and Compensation Committee</w:t>
      </w:r>
      <w:r>
        <w:rPr>
          <w:rFonts w:ascii="Arial" w:cs="Arial" w:eastAsia="Arial" w:hAnsi="Arial"/>
          <w:sz w:val="18"/>
          <w:szCs w:val="18"/>
          <w:color w:val="auto"/>
        </w:rPr>
        <w:t xml:space="preserve"> held 5 meetings during 2010. It is composed entirely of non-employee, independent Directors, as required by the rules of the NYSE, who are also “non-employee” and “outside” Directors as those terms are defined by Rule 16b-3 promulgated under the Securities and Exchange Act of 1934 and</w:t>
      </w:r>
    </w:p>
    <w:p>
      <w:pPr>
        <w:spacing w:after="0" w:line="2" w:lineRule="exact"/>
        <w:rPr>
          <w:sz w:val="20"/>
          <w:szCs w:val="20"/>
          <w:color w:val="auto"/>
        </w:rPr>
      </w:pPr>
    </w:p>
    <w:p>
      <w:pPr>
        <w:jc w:val="both"/>
        <w:ind w:left="980" w:right="120"/>
        <w:spacing w:after="0" w:line="276" w:lineRule="auto"/>
        <w:rPr>
          <w:sz w:val="20"/>
          <w:szCs w:val="20"/>
          <w:color w:val="auto"/>
        </w:rPr>
      </w:pPr>
      <w:r>
        <w:rPr>
          <w:rFonts w:ascii="Arial" w:cs="Arial" w:eastAsia="Arial" w:hAnsi="Arial"/>
          <w:sz w:val="18"/>
          <w:szCs w:val="18"/>
          <w:color w:val="auto"/>
        </w:rPr>
        <w:t>Section 162(m) of the Internal Revenue Code of 1986. The Committee possesses and may exercise the powers of the Board of Directors relating to management development and compensation matters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72" w:lineRule="exact"/>
        <w:rPr>
          <w:sz w:val="20"/>
          <w:szCs w:val="20"/>
          <w:color w:val="auto"/>
        </w:rPr>
      </w:pPr>
    </w:p>
    <w:p>
      <w:pPr>
        <w:ind w:left="1800" w:right="160" w:hanging="208"/>
        <w:spacing w:after="0" w:line="260" w:lineRule="auto"/>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establish an overall strategy with respect to compensation for officers and management to enable the Corporation to attract and retain qualified employees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oversee executive succession and management development plans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the Corporation’s directors and elected officers</w:t>
      </w:r>
    </w:p>
    <w:p>
      <w:pPr>
        <w:spacing w:after="0" w:line="130" w:lineRule="exact"/>
        <w:rPr>
          <w:rFonts w:ascii="Arial" w:cs="Arial" w:eastAsia="Arial" w:hAnsi="Arial"/>
          <w:sz w:val="18"/>
          <w:szCs w:val="18"/>
          <w:color w:val="auto"/>
        </w:rPr>
      </w:pPr>
    </w:p>
    <w:p>
      <w:pPr>
        <w:ind w:left="1800" w:hanging="208"/>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administer the Corporation’s equity and other compensation plans, as amended from time to time</w:t>
      </w:r>
    </w:p>
    <w:p>
      <w:pPr>
        <w:spacing w:after="0" w:line="107" w:lineRule="exact"/>
        <w:rPr>
          <w:rFonts w:ascii="Arial" w:cs="Arial" w:eastAsia="Arial" w:hAnsi="Arial"/>
          <w:sz w:val="20"/>
          <w:szCs w:val="20"/>
          <w:color w:val="auto"/>
        </w:rPr>
      </w:pPr>
    </w:p>
    <w:p>
      <w:pPr>
        <w:ind w:left="1800" w:right="420" w:hanging="208"/>
        <w:spacing w:after="0" w:line="260" w:lineRule="auto"/>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review and discuss the Compensation Discussion and Analysis and produce a compensation committee report as required by the SEC to be included in this proxy statement</w:t>
      </w:r>
    </w:p>
    <w:p>
      <w:pPr>
        <w:spacing w:after="0" w:line="68" w:lineRule="exact"/>
        <w:rPr>
          <w:rFonts w:ascii="Arial" w:cs="Arial" w:eastAsia="Arial" w:hAnsi="Arial"/>
          <w:sz w:val="20"/>
          <w:szCs w:val="20"/>
          <w:color w:val="auto"/>
        </w:rPr>
      </w:pPr>
    </w:p>
    <w:p>
      <w:pPr>
        <w:ind w:left="1800" w:right="120" w:hanging="208"/>
        <w:spacing w:after="0" w:line="260" w:lineRule="auto"/>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provide oversight of the Corporation’s Benefit Plan Committee, which administers the Corporation’s defined benefit and contribution plans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the Corporation.</w:t>
      </w:r>
    </w:p>
    <w:p>
      <w:pPr>
        <w:spacing w:after="0" w:line="92"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Committee reviews and approves the Corporation’s goals and objectives for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the Corporation. The Committee’s current members are Directors Cole (Chair), McDonald, Menaker and Quillen.</w:t>
      </w:r>
    </w:p>
    <w:p>
      <w:pPr>
        <w:spacing w:after="0" w:line="74" w:lineRule="exact"/>
        <w:rPr>
          <w:sz w:val="20"/>
          <w:szCs w:val="20"/>
          <w:color w:val="auto"/>
        </w:rPr>
      </w:pPr>
    </w:p>
    <w:p>
      <w:pPr>
        <w:ind w:left="980" w:right="220" w:firstLine="609"/>
        <w:spacing w:after="0" w:line="28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xml:space="preserve"> held 2 meetings in 2010. The Committee is composed entirely of non-employee, independent Directors, as required by the rules of the NYSE. The Committee possesses and may exercise the powers of the Board of Directors relating to the process of governance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68" w:lineRule="exact"/>
        <w:rPr>
          <w:sz w:val="20"/>
          <w:szCs w:val="20"/>
          <w:color w:val="auto"/>
        </w:rPr>
      </w:pPr>
    </w:p>
    <w:p>
      <w:pPr>
        <w:ind w:left="1800" w:hanging="208"/>
        <w:spacing w:after="0"/>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 the identification and selection of qualified Board and Committee members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recommend to the Board director nominees for the next annual meeting of shareholders</w:t>
      </w:r>
    </w:p>
    <w:p>
      <w:pPr>
        <w:spacing w:after="0" w:line="107" w:lineRule="exact"/>
        <w:rPr>
          <w:rFonts w:ascii="Arial" w:cs="Arial" w:eastAsia="Arial" w:hAnsi="Arial"/>
          <w:sz w:val="20"/>
          <w:szCs w:val="20"/>
          <w:color w:val="auto"/>
        </w:rPr>
      </w:pPr>
    </w:p>
    <w:p>
      <w:pPr>
        <w:ind w:left="1800" w:right="940" w:hanging="208"/>
        <w:spacing w:after="0" w:line="260" w:lineRule="auto"/>
        <w:tabs>
          <w:tab w:leader="none" w:pos="1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 the development and implementation of a set of corporate governance principles applicable to the Corporation</w:t>
      </w:r>
    </w:p>
    <w:p>
      <w:pPr>
        <w:spacing w:after="0" w:line="82" w:lineRule="exact"/>
        <w:rPr>
          <w:sz w:val="20"/>
          <w:szCs w:val="20"/>
          <w:color w:val="auto"/>
        </w:rPr>
      </w:pPr>
    </w:p>
    <w:p>
      <w:pPr>
        <w:ind w:left="980" w:right="200" w:firstLine="609"/>
        <w:spacing w:after="0" w:line="250" w:lineRule="auto"/>
        <w:rPr>
          <w:sz w:val="20"/>
          <w:szCs w:val="20"/>
          <w:color w:val="auto"/>
        </w:rPr>
      </w:pPr>
      <w:r>
        <w:rPr>
          <w:rFonts w:ascii="Arial" w:cs="Arial" w:eastAsia="Arial" w:hAnsi="Arial"/>
          <w:sz w:val="20"/>
          <w:szCs w:val="20"/>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92" w:lineRule="exact"/>
        <w:rPr>
          <w:sz w:val="20"/>
          <w:szCs w:val="20"/>
          <w:color w:val="auto"/>
        </w:rPr>
      </w:pPr>
    </w:p>
    <w:p>
      <w:pPr>
        <w:ind w:left="980" w:right="40" w:firstLine="609"/>
        <w:spacing w:after="0" w:line="244" w:lineRule="auto"/>
        <w:rPr>
          <w:sz w:val="20"/>
          <w:szCs w:val="20"/>
          <w:color w:val="auto"/>
        </w:rPr>
      </w:pPr>
      <w:r>
        <w:rPr>
          <w:rFonts w:ascii="Arial" w:cs="Arial" w:eastAsia="Arial" w:hAnsi="Arial"/>
          <w:sz w:val="20"/>
          <w:szCs w:val="20"/>
          <w:color w:val="auto"/>
        </w:rPr>
        <w:t xml:space="preserve">Upon the recommendation of this Committee, the Board of Directors has adopted a set of </w:t>
      </w:r>
      <w:r>
        <w:rPr>
          <w:rFonts w:ascii="Arial" w:cs="Arial" w:eastAsia="Arial" w:hAnsi="Arial"/>
          <w:sz w:val="20"/>
          <w:szCs w:val="20"/>
          <w:i w:val="1"/>
          <w:iCs w:val="1"/>
          <w:color w:val="auto"/>
        </w:rPr>
        <w:t>Corporate Governance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Guidelines </w:t>
      </w:r>
      <w:r>
        <w:rPr>
          <w:rFonts w:ascii="Arial" w:cs="Arial" w:eastAsia="Arial" w:hAnsi="Arial"/>
          <w:sz w:val="20"/>
          <w:szCs w:val="20"/>
          <w:color w:val="auto"/>
        </w:rPr>
        <w:t>for the Corporation. The Guidelines are posted and available for public viewing on the Corporation’s website at</w:t>
      </w:r>
      <w:r>
        <w:rPr>
          <w:rFonts w:ascii="Arial" w:cs="Arial" w:eastAsia="Arial" w:hAnsi="Arial"/>
          <w:sz w:val="20"/>
          <w:szCs w:val="20"/>
          <w:i w:val="1"/>
          <w:iCs w:val="1"/>
          <w:color w:val="auto"/>
        </w:rPr>
        <w:t xml:space="preserve"> www.martinmarietta.com</w:t>
      </w:r>
      <w:r>
        <w:rPr>
          <w:rFonts w:ascii="Arial" w:cs="Arial" w:eastAsia="Arial" w:hAnsi="Arial"/>
          <w:sz w:val="20"/>
          <w:szCs w:val="20"/>
          <w:color w:val="auto"/>
        </w:rPr>
        <w:t>. A copy may also be obtained upon request from the Corporation’s Corporate Secretary.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concerning the corporate governance process of the Corporation is contained in the section entitled “CORPORATE GOVERNANCE MATTERS” above.</w:t>
      </w:r>
    </w:p>
    <w:p>
      <w:pPr>
        <w:spacing w:after="0" w:line="208" w:lineRule="exact"/>
        <w:rPr>
          <w:sz w:val="20"/>
          <w:szCs w:val="20"/>
          <w:color w:val="auto"/>
        </w:rPr>
      </w:pPr>
    </w:p>
    <w:p>
      <w:pPr>
        <w:ind w:left="980" w:right="1120"/>
        <w:spacing w:after="0" w:line="260" w:lineRule="auto"/>
        <w:rPr>
          <w:sz w:val="20"/>
          <w:szCs w:val="20"/>
          <w:color w:val="auto"/>
        </w:rPr>
      </w:pPr>
      <w:r>
        <w:rPr>
          <w:rFonts w:ascii="Arial" w:cs="Arial" w:eastAsia="Arial" w:hAnsi="Arial"/>
          <w:sz w:val="20"/>
          <w:szCs w:val="20"/>
          <w:b w:val="1"/>
          <w:bCs w:val="1"/>
          <w:i w:val="1"/>
          <w:iCs w:val="1"/>
          <w:color w:val="auto"/>
        </w:rPr>
        <w:t>Will the Nominating and Corporate Governance Committee consider any Director candidates recommended by shareholders?</w:t>
      </w:r>
    </w:p>
    <w:p>
      <w:pPr>
        <w:spacing w:after="0" w:line="82" w:lineRule="exact"/>
        <w:rPr>
          <w:sz w:val="20"/>
          <w:szCs w:val="20"/>
          <w:color w:val="auto"/>
        </w:rPr>
      </w:pPr>
    </w:p>
    <w:p>
      <w:pPr>
        <w:ind w:left="980" w:right="60" w:firstLine="609"/>
        <w:spacing w:after="0" w:line="242" w:lineRule="auto"/>
        <w:rPr>
          <w:sz w:val="20"/>
          <w:szCs w:val="20"/>
          <w:color w:val="auto"/>
        </w:rPr>
      </w:pPr>
      <w:r>
        <w:rPr>
          <w:rFonts w:ascii="Arial" w:cs="Arial" w:eastAsia="Arial" w:hAnsi="Arial"/>
          <w:sz w:val="20"/>
          <w:szCs w:val="20"/>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w:t>
      </w:r>
    </w:p>
    <w:p>
      <w:pPr>
        <w:spacing w:after="0" w:line="20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777240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0"/>
        <w:spacing w:after="0" w:line="243" w:lineRule="auto"/>
        <w:rPr>
          <w:sz w:val="20"/>
          <w:szCs w:val="20"/>
          <w:color w:val="auto"/>
        </w:rPr>
      </w:pPr>
      <w:r>
        <w:rPr>
          <w:rFonts w:ascii="Arial" w:cs="Arial" w:eastAsia="Arial" w:hAnsi="Arial"/>
          <w:sz w:val="20"/>
          <w:szCs w:val="20"/>
          <w:color w:val="auto"/>
        </w:rPr>
        <w:t>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2010 annual meeting, the Corporation has not made any material changes to the procedures by which shareholders may recommend nominees to the Corporation’s Board of Directors. Additional information is contained in the section entitled “SHAREHOLDERS’ PROPOSALS FOR 2012 ANNUAL MEETING” below.</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does the Board select nominees for the Board?</w:t>
      </w:r>
    </w:p>
    <w:p>
      <w:pPr>
        <w:spacing w:after="0" w:line="121"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76" w:lineRule="exact"/>
        <w:rPr>
          <w:sz w:val="20"/>
          <w:szCs w:val="20"/>
          <w:color w:val="auto"/>
        </w:rPr>
      </w:pPr>
    </w:p>
    <w:p>
      <w:pPr>
        <w:ind w:left="980" w:right="120" w:firstLine="609"/>
        <w:spacing w:after="0" w:line="246" w:lineRule="auto"/>
        <w:rPr>
          <w:sz w:val="20"/>
          <w:szCs w:val="20"/>
          <w:color w:val="auto"/>
        </w:rPr>
      </w:pPr>
      <w:r>
        <w:rPr>
          <w:rFonts w:ascii="Arial" w:cs="Arial" w:eastAsia="Arial" w:hAnsi="Arial"/>
          <w:sz w:val="20"/>
          <w:szCs w:val="20"/>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20"/>
          <w:szCs w:val="20"/>
          <w:i w:val="1"/>
          <w:iCs w:val="1"/>
          <w:color w:val="auto"/>
        </w:rPr>
        <w:t>Guidelines for Potential New Board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Members </w:t>
      </w:r>
      <w:r>
        <w:rPr>
          <w:rFonts w:ascii="Arial" w:cs="Arial" w:eastAsia="Arial" w:hAnsi="Arial"/>
          <w:sz w:val="20"/>
          <w:szCs w:val="20"/>
          <w:color w:val="auto"/>
        </w:rPr>
        <w:t>adopted by the Committee, and takes into account all other factors it considers appropriate. A copy of these</w:t>
      </w:r>
      <w:r>
        <w:rPr>
          <w:rFonts w:ascii="Arial" w:cs="Arial" w:eastAsia="Arial" w:hAnsi="Arial"/>
          <w:sz w:val="20"/>
          <w:szCs w:val="20"/>
          <w:i w:val="1"/>
          <w:iCs w:val="1"/>
          <w:color w:val="auto"/>
        </w:rPr>
        <w:t xml:space="preserve"> </w:t>
      </w:r>
      <w:r>
        <w:rPr>
          <w:rFonts w:ascii="Arial" w:cs="Arial" w:eastAsia="Arial" w:hAnsi="Arial"/>
          <w:sz w:val="20"/>
          <w:szCs w:val="20"/>
          <w:color w:val="auto"/>
        </w:rPr>
        <w:t>Guidelines is attached to this proxy statement as Appendix A.</w:t>
      </w:r>
    </w:p>
    <w:p>
      <w:pPr>
        <w:spacing w:after="0" w:line="97"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the Corporation.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the Corporation’s which has grown through acquisitions, leadership experience, public company Board membership or executive officer experience, and relevant geographical experience.</w:t>
      </w:r>
    </w:p>
    <w:p>
      <w:pPr>
        <w:spacing w:after="0" w:line="80" w:lineRule="exact"/>
        <w:rPr>
          <w:sz w:val="20"/>
          <w:szCs w:val="20"/>
          <w:color w:val="auto"/>
        </w:rPr>
      </w:pPr>
    </w:p>
    <w:p>
      <w:pPr>
        <w:ind w:left="980" w:right="60" w:firstLine="609"/>
        <w:spacing w:after="0" w:line="271" w:lineRule="auto"/>
        <w:rPr>
          <w:sz w:val="20"/>
          <w:szCs w:val="20"/>
          <w:color w:val="auto"/>
        </w:rPr>
      </w:pPr>
      <w:r>
        <w:rPr>
          <w:rFonts w:ascii="Arial" w:cs="Arial" w:eastAsia="Arial" w:hAnsi="Arial"/>
          <w:sz w:val="18"/>
          <w:szCs w:val="18"/>
          <w:color w:val="auto"/>
        </w:rPr>
        <w:t xml:space="preserve">Although the Committee does not have a formal policy regarding Board diversity, matters of diversity (including diversity in professional experience, geographic background reflecting the Corporation’s geographic base, education, ethnic background and gender) are included in the many characteristics considered by the Committee in evaluating nominees for election as directors as reflected in the Corporation’s </w:t>
      </w:r>
      <w:r>
        <w:rPr>
          <w:rFonts w:ascii="Arial" w:cs="Arial" w:eastAsia="Arial" w:hAnsi="Arial"/>
          <w:sz w:val="18"/>
          <w:szCs w:val="18"/>
          <w:i w:val="1"/>
          <w:iCs w:val="1"/>
          <w:color w:val="auto"/>
        </w:rPr>
        <w:t>Guidelines for Potential New Board Members</w:t>
      </w:r>
      <w:r>
        <w:rPr>
          <w:rFonts w:ascii="Arial" w:cs="Arial" w:eastAsia="Arial" w:hAnsi="Arial"/>
          <w:sz w:val="18"/>
          <w:szCs w:val="18"/>
          <w:color w:val="auto"/>
        </w:rPr>
        <w:t xml:space="preserve">. The Committee considers all candidates in the context of the qualifications enumerated above, as well as their complementary experiences, 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Arial" w:cs="Arial" w:eastAsia="Arial" w:hAnsi="Arial"/>
          <w:sz w:val="18"/>
          <w:szCs w:val="18"/>
          <w:i w:val="1"/>
          <w:iCs w:val="1"/>
          <w:color w:val="auto"/>
        </w:rPr>
        <w:t>Guidelines for Potential New Board Members</w:t>
      </w:r>
      <w:r>
        <w:rPr>
          <w:rFonts w:ascii="Arial" w:cs="Arial" w:eastAsia="Arial" w:hAnsi="Arial"/>
          <w:sz w:val="18"/>
          <w:szCs w:val="18"/>
          <w:color w:val="auto"/>
        </w:rPr>
        <w:t xml:space="preserve"> when it periodically reviews the overall composition of the Board and as part of its self-evaluation process. In addition to these qualities, the Committee has considered the special characteristics outlined in the Directors’ biographies on pages 6-11 of this</w:t>
      </w:r>
    </w:p>
    <w:p>
      <w:pPr>
        <w:spacing w:after="0" w:line="18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785495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680"/>
        <w:spacing w:after="0" w:line="260" w:lineRule="auto"/>
        <w:rPr>
          <w:sz w:val="20"/>
          <w:szCs w:val="20"/>
          <w:color w:val="auto"/>
        </w:rPr>
      </w:pPr>
      <w:r>
        <w:rPr>
          <w:rFonts w:ascii="Arial" w:cs="Arial" w:eastAsia="Arial" w:hAnsi="Arial"/>
          <w:sz w:val="20"/>
          <w:szCs w:val="20"/>
          <w:color w:val="auto"/>
        </w:rPr>
        <w:t>Proxy Statement, which has led the Committee to conclude that the current Board members, including the nominees for election, have the appropriate characteristics to serve as members of the Board of Directors.</w:t>
      </w:r>
    </w:p>
    <w:p>
      <w:pPr>
        <w:spacing w:after="0" w:line="82" w:lineRule="exact"/>
        <w:rPr>
          <w:sz w:val="20"/>
          <w:szCs w:val="20"/>
          <w:color w:val="auto"/>
        </w:rPr>
      </w:pPr>
    </w:p>
    <w:p>
      <w:pPr>
        <w:jc w:val="both"/>
        <w:ind w:left="980" w:firstLine="609"/>
        <w:spacing w:after="0" w:line="250" w:lineRule="auto"/>
        <w:rPr>
          <w:sz w:val="20"/>
          <w:szCs w:val="20"/>
          <w:color w:val="auto"/>
        </w:rPr>
      </w:pPr>
      <w:r>
        <w:rPr>
          <w:rFonts w:ascii="Arial" w:cs="Arial" w:eastAsia="Arial" w:hAnsi="Arial"/>
          <w:sz w:val="20"/>
          <w:szCs w:val="20"/>
          <w:color w:val="auto"/>
        </w:rPr>
        <w:t>Each nominee approved by the Nominating and Corporate Governance Committee and recommended for election at the 2011 Annual Meeting is a current Director standing for re-election. The Committee received no additional recommendations for Director nominees for consideration at the annual meeting.</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Do the Board Committees have charters? How can shareholders obtain them?</w:t>
      </w:r>
    </w:p>
    <w:p>
      <w:pPr>
        <w:spacing w:after="0" w:line="121" w:lineRule="exact"/>
        <w:rPr>
          <w:sz w:val="20"/>
          <w:szCs w:val="20"/>
          <w:color w:val="auto"/>
        </w:rPr>
      </w:pPr>
    </w:p>
    <w:p>
      <w:pPr>
        <w:ind w:left="980" w:right="20" w:firstLine="609"/>
        <w:spacing w:after="0" w:line="259" w:lineRule="auto"/>
        <w:rPr>
          <w:sz w:val="20"/>
          <w:szCs w:val="20"/>
          <w:color w:val="auto"/>
        </w:rPr>
      </w:pPr>
      <w:r>
        <w:rPr>
          <w:rFonts w:ascii="Arial" w:cs="Arial" w:eastAsia="Arial" w:hAnsi="Arial"/>
          <w:sz w:val="19"/>
          <w:szCs w:val="19"/>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along with copies of the Corporation’s</w:t>
      </w:r>
      <w:r>
        <w:rPr>
          <w:rFonts w:ascii="Arial" w:cs="Arial" w:eastAsia="Arial" w:hAnsi="Arial"/>
          <w:sz w:val="19"/>
          <w:szCs w:val="19"/>
          <w:i w:val="1"/>
          <w:iCs w:val="1"/>
          <w:color w:val="auto"/>
        </w:rPr>
        <w:t xml:space="preserve"> Corporate Governance Guidelines, Code of Ethics and Standards of Conduct</w:t>
      </w:r>
      <w:r>
        <w:rPr>
          <w:rFonts w:ascii="Arial" w:cs="Arial" w:eastAsia="Arial" w:hAnsi="Arial"/>
          <w:sz w:val="19"/>
          <w:szCs w:val="19"/>
          <w:color w:val="auto"/>
        </w:rPr>
        <w:t>, and</w:t>
      </w:r>
      <w:r>
        <w:rPr>
          <w:rFonts w:ascii="Arial" w:cs="Arial" w:eastAsia="Arial" w:hAnsi="Arial"/>
          <w:sz w:val="19"/>
          <w:szCs w:val="19"/>
          <w:i w:val="1"/>
          <w:iCs w:val="1"/>
          <w:color w:val="auto"/>
        </w:rPr>
        <w:t xml:space="preserve"> Guidelines for Director’s Independence</w:t>
      </w:r>
      <w:r>
        <w:rPr>
          <w:rFonts w:ascii="Arial" w:cs="Arial" w:eastAsia="Arial" w:hAnsi="Arial"/>
          <w:sz w:val="19"/>
          <w:szCs w:val="19"/>
          <w:color w:val="auto"/>
        </w:rPr>
        <w: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How are transactions with persons related to the Corporation reviewed?</w:t>
      </w:r>
    </w:p>
    <w:p>
      <w:pPr>
        <w:spacing w:after="0" w:line="121" w:lineRule="exact"/>
        <w:rPr>
          <w:sz w:val="20"/>
          <w:szCs w:val="20"/>
          <w:color w:val="auto"/>
        </w:rPr>
      </w:pPr>
    </w:p>
    <w:p>
      <w:pPr>
        <w:ind w:left="980" w:right="220" w:firstLine="609"/>
        <w:spacing w:after="0" w:line="246" w:lineRule="auto"/>
        <w:rPr>
          <w:sz w:val="20"/>
          <w:szCs w:val="20"/>
          <w:color w:val="auto"/>
        </w:rPr>
      </w:pPr>
      <w:r>
        <w:rPr>
          <w:rFonts w:ascii="Arial" w:cs="Arial" w:eastAsia="Arial" w:hAnsi="Arial"/>
          <w:sz w:val="20"/>
          <w:szCs w:val="20"/>
          <w:color w:val="auto"/>
        </w:rPr>
        <w:t>The SEC requires the Corporation to disclose in this proxy statement certain transactions in which the Corporation participates and in which certain persons considered “related persons” of the Corporation have a direct or indirect material interest. These “related persons” would include the directors and executive officers of the Corporation, nominees for director, certain control persons, and their immediate family members.</w:t>
      </w:r>
    </w:p>
    <w:p>
      <w:pPr>
        <w:spacing w:after="0" w:line="97" w:lineRule="exact"/>
        <w:rPr>
          <w:sz w:val="20"/>
          <w:szCs w:val="20"/>
          <w:color w:val="auto"/>
        </w:rPr>
      </w:pPr>
    </w:p>
    <w:p>
      <w:pPr>
        <w:ind w:left="980" w:right="120" w:firstLine="609"/>
        <w:spacing w:after="0" w:line="242" w:lineRule="auto"/>
        <w:rPr>
          <w:sz w:val="20"/>
          <w:szCs w:val="20"/>
          <w:color w:val="auto"/>
        </w:rPr>
      </w:pPr>
      <w:r>
        <w:rPr>
          <w:rFonts w:ascii="Arial" w:cs="Arial" w:eastAsia="Arial" w:hAnsi="Arial"/>
          <w:sz w:val="20"/>
          <w:szCs w:val="20"/>
          <w:color w:val="auto"/>
        </w:rPr>
        <w:t xml:space="preserve">Each director, executive officer, and nominee for director of the Corporation receives and agrees to abide by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The Corporation considers that any transaction in which the Corporation participates and in which any related person of the Corporation has a direct or indirect material interest will be subject to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subject to review, approval or ratification, as appropriate under the circumstances, by the Corporation under the standards enumerated in the Corporation’s </w:t>
      </w:r>
      <w:r>
        <w:rPr>
          <w:rFonts w:ascii="Arial" w:cs="Arial" w:eastAsia="Arial" w:hAnsi="Arial"/>
          <w:sz w:val="20"/>
          <w:szCs w:val="20"/>
          <w:i w:val="1"/>
          <w:iCs w:val="1"/>
          <w:color w:val="auto"/>
        </w:rPr>
        <w:t>Code of Ethics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Standards of Conduct. </w:t>
      </w:r>
      <w:r>
        <w:rPr>
          <w:rFonts w:ascii="Arial" w:cs="Arial" w:eastAsia="Arial" w:hAnsi="Arial"/>
          <w:sz w:val="20"/>
          <w:szCs w:val="20"/>
          <w:color w:val="auto"/>
        </w:rPr>
        <w:t>If a proposed transaction is one in which a Director of the Corporation has an actual or potential</w:t>
      </w:r>
      <w:r>
        <w:rPr>
          <w:rFonts w:ascii="Arial" w:cs="Arial" w:eastAsia="Arial" w:hAnsi="Arial"/>
          <w:sz w:val="20"/>
          <w:szCs w:val="20"/>
          <w:i w:val="1"/>
          <w:iCs w:val="1"/>
          <w:color w:val="auto"/>
        </w:rPr>
        <w:t xml:space="preserve"> </w:t>
      </w:r>
      <w:r>
        <w:rPr>
          <w:rFonts w:ascii="Arial" w:cs="Arial" w:eastAsia="Arial" w:hAnsi="Arial"/>
          <w:sz w:val="20"/>
          <w:szCs w:val="20"/>
          <w:color w:val="auto"/>
        </w:rPr>
        <w:t>conflict of interest, it will be subject to review by the Chairman of the Board of Directors and the Chairman of the Nominating and Corporate Governance Committee.</w:t>
      </w:r>
    </w:p>
    <w:p>
      <w:pPr>
        <w:spacing w:after="0" w:line="103"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 xml:space="preserve">Any waivers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and executive officers may be made only by the Corporation’s Board of Directors or any committee to which it delegates that authority. Any waivers for Directors and executive officers and any amendments to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will be promptly disclosed to the Corporation’s shareholders.</w:t>
      </w:r>
    </w:p>
    <w:p>
      <w:pPr>
        <w:spacing w:after="0" w:line="97" w:lineRule="exact"/>
        <w:rPr>
          <w:sz w:val="20"/>
          <w:szCs w:val="20"/>
          <w:color w:val="auto"/>
        </w:rPr>
      </w:pPr>
    </w:p>
    <w:p>
      <w:pPr>
        <w:ind w:left="980" w:right="60" w:firstLine="609"/>
        <w:spacing w:after="0" w:line="250" w:lineRule="auto"/>
        <w:rPr>
          <w:sz w:val="20"/>
          <w:szCs w:val="20"/>
          <w:color w:val="auto"/>
        </w:rPr>
      </w:pPr>
      <w:r>
        <w:rPr>
          <w:rFonts w:ascii="Arial" w:cs="Arial" w:eastAsia="Arial" w:hAnsi="Arial"/>
          <w:sz w:val="20"/>
          <w:szCs w:val="20"/>
          <w:color w:val="auto"/>
        </w:rPr>
        <w:t>In assessing the independence of its members, the Board considers any interests a director may have in any transactions in which the Corporation participates. The Board also considers other entities with which the Directors are affiliated and any business the Corporation has done with such entities.</w:t>
      </w:r>
    </w:p>
    <w:p>
      <w:pPr>
        <w:spacing w:after="0" w:line="194"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PROPOSAL 2</w:t>
      </w:r>
    </w:p>
    <w:p>
      <w:pPr>
        <w:spacing w:after="0" w:line="21"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INDEPENDENT AUDITORS</w:t>
      </w:r>
    </w:p>
    <w:p>
      <w:pPr>
        <w:jc w:val="center"/>
        <w:ind w:left="680"/>
        <w:spacing w:after="0"/>
        <w:rPr>
          <w:sz w:val="20"/>
          <w:szCs w:val="20"/>
          <w:color w:val="auto"/>
        </w:rPr>
      </w:pPr>
      <w:r>
        <w:rPr>
          <w:rFonts w:ascii="Arial" w:cs="Arial" w:eastAsia="Arial" w:hAnsi="Arial"/>
          <w:sz w:val="20"/>
          <w:szCs w:val="20"/>
          <w:b w:val="1"/>
          <w:bCs w:val="1"/>
          <w:i w:val="1"/>
          <w:iCs w:val="1"/>
          <w:color w:val="auto"/>
        </w:rPr>
        <w:t>(Item 2 on Proxy Card)</w:t>
      </w:r>
    </w:p>
    <w:p>
      <w:pPr>
        <w:spacing w:after="0" w:line="105"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2011. The ratification of the appointment of Ernst &amp; Young LLP is being submitted to the shareholders</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699770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360"/>
        <w:spacing w:after="0" w:line="260" w:lineRule="auto"/>
        <w:rPr>
          <w:sz w:val="20"/>
          <w:szCs w:val="20"/>
          <w:color w:val="auto"/>
        </w:rPr>
      </w:pPr>
      <w:r>
        <w:rPr>
          <w:rFonts w:ascii="Arial" w:cs="Arial" w:eastAsia="Arial" w:hAnsi="Arial"/>
          <w:sz w:val="20"/>
          <w:szCs w:val="20"/>
          <w:color w:val="auto"/>
        </w:rPr>
        <w:t>because management believes this to be good corporate practice. Should the shareholders fail to ratify this appointment, the Board of Directors and its Audit Committee will review the matter.</w:t>
      </w:r>
    </w:p>
    <w:p>
      <w:pPr>
        <w:spacing w:after="0" w:line="82" w:lineRule="exact"/>
        <w:rPr>
          <w:sz w:val="20"/>
          <w:szCs w:val="20"/>
          <w:color w:val="auto"/>
        </w:rPr>
      </w:pPr>
    </w:p>
    <w:p>
      <w:pPr>
        <w:ind w:left="980" w:right="100" w:firstLine="609"/>
        <w:spacing w:after="0" w:line="276" w:lineRule="auto"/>
        <w:rPr>
          <w:sz w:val="20"/>
          <w:szCs w:val="20"/>
          <w:color w:val="auto"/>
        </w:rPr>
      </w:pPr>
      <w:r>
        <w:rPr>
          <w:rFonts w:ascii="Arial" w:cs="Arial" w:eastAsia="Arial" w:hAnsi="Arial"/>
          <w:sz w:val="18"/>
          <w:szCs w:val="18"/>
          <w:color w:val="auto"/>
        </w:rPr>
        <w:t>Ernst &amp; Young LLP served as the Corporation’s independent auditors for 2010 and audited the consolidated financial statements of the Corporation for the year ended December 31, 2010 and the effectiveness of the Corporation’s internal control over financial reporting as of December 31, 2010. In connection with the audit of the Corporation’s 2010 financial statements, the Corporation entered into an engagement letter with Ernst &amp; Young LLP that sets forth the terms by which Ernst &amp; Young LLP would perform audit services for the Corporation. Ernst &amp; Young LLP required that the audit engagement agreement be subject to alternative dispute resolution procedures and an exclusion of punitive damages.</w:t>
      </w:r>
    </w:p>
    <w:p>
      <w:pPr>
        <w:spacing w:after="0" w:line="71" w:lineRule="exact"/>
        <w:rPr>
          <w:sz w:val="20"/>
          <w:szCs w:val="20"/>
          <w:color w:val="auto"/>
        </w:rPr>
      </w:pPr>
    </w:p>
    <w:p>
      <w:pPr>
        <w:ind w:left="980" w:right="120" w:firstLine="609"/>
        <w:spacing w:after="0" w:line="291" w:lineRule="auto"/>
        <w:rPr>
          <w:sz w:val="20"/>
          <w:szCs w:val="20"/>
          <w:color w:val="auto"/>
        </w:rPr>
      </w:pPr>
      <w:r>
        <w:rPr>
          <w:rFonts w:ascii="Arial" w:cs="Arial" w:eastAsia="Arial" w:hAnsi="Arial"/>
          <w:sz w:val="18"/>
          <w:szCs w:val="18"/>
          <w:color w:val="auto"/>
        </w:rPr>
        <w:t>The Audit Committee is solely responsible for retaining or terminating the Corporation’s independent auditors in 2011. Representatives of Ernst &amp; Young LLP are expected to attend the Annual Meeting of Shareholders of the Corporation, will have the opportunity to make a statement if they so desire, and will be available to respond to questions from shareholders.</w:t>
      </w:r>
    </w:p>
    <w:p>
      <w:pPr>
        <w:spacing w:after="0" w:line="105"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u w:val="single" w:color="auto"/>
          <w:color w:val="auto"/>
        </w:rPr>
        <w:t>“FOR”</w:t>
      </w:r>
      <w:r>
        <w:rPr>
          <w:rFonts w:ascii="Arial" w:cs="Arial" w:eastAsia="Arial" w:hAnsi="Arial"/>
          <w:sz w:val="20"/>
          <w:szCs w:val="20"/>
          <w:b w:val="1"/>
          <w:bCs w:val="1"/>
          <w:color w:val="auto"/>
        </w:rPr>
        <w:t xml:space="preserve"> RATIFICATION</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OF THE SELECTION OF ERNST &amp; YOUNG LLP AS INDEPENDENT AUDITORS.</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Summary of Fees</w:t>
      </w:r>
    </w:p>
    <w:p>
      <w:pPr>
        <w:spacing w:after="0" w:line="121" w:lineRule="exact"/>
        <w:rPr>
          <w:sz w:val="20"/>
          <w:szCs w:val="20"/>
          <w:color w:val="auto"/>
        </w:rPr>
      </w:pPr>
    </w:p>
    <w:p>
      <w:pPr>
        <w:ind w:left="980" w:right="540" w:firstLine="609"/>
        <w:spacing w:after="0" w:line="316" w:lineRule="auto"/>
        <w:rPr>
          <w:sz w:val="20"/>
          <w:szCs w:val="20"/>
          <w:color w:val="auto"/>
        </w:rPr>
      </w:pPr>
      <w:r>
        <w:rPr>
          <w:rFonts w:ascii="Arial" w:cs="Arial" w:eastAsia="Arial" w:hAnsi="Arial"/>
          <w:sz w:val="18"/>
          <w:szCs w:val="18"/>
          <w:color w:val="auto"/>
        </w:rPr>
        <w:t>The following table summarizes the aggregate fees billed for professional services rendered to the Corporation by Ernst &amp; Young LLP in 2010 and 2009. A description of these various fees and services follows the table.</w:t>
      </w:r>
    </w:p>
    <w:p>
      <w:pPr>
        <w:spacing w:after="0" w:line="46" w:lineRule="exact"/>
        <w:rPr>
          <w:sz w:val="20"/>
          <w:szCs w:val="20"/>
          <w:color w:val="auto"/>
        </w:rPr>
      </w:pPr>
    </w:p>
    <w:tbl>
      <w:tblPr>
        <w:tblLayout w:type="fixed"/>
        <w:tblInd w:w="970" w:type="dxa"/>
        <w:tblCellMar>
          <w:top w:w="0" w:type="dxa"/>
          <w:left w:w="0" w:type="dxa"/>
          <w:bottom w:w="0" w:type="dxa"/>
          <w:right w:w="0" w:type="dxa"/>
        </w:tblCellMar>
      </w:tblPr>
      <w:tr>
        <w:trPr>
          <w:trHeight w:val="176"/>
        </w:trPr>
        <w:tc>
          <w:tcPr>
            <w:tcW w:w="7860" w:type="dxa"/>
            <w:vAlign w:val="bottom"/>
            <w:tcBorders>
              <w:top w:val="single" w:sz="8" w:color="auto"/>
              <w:left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bottom w:val="single" w:sz="8" w:color="auto"/>
            </w:tcBorders>
          </w:tcPr>
          <w:p>
            <w:pPr>
              <w:spacing w:after="0"/>
              <w:rPr>
                <w:sz w:val="15"/>
                <w:szCs w:val="15"/>
                <w:color w:val="auto"/>
              </w:rPr>
            </w:pPr>
          </w:p>
        </w:tc>
      </w:tr>
      <w:tr>
        <w:trPr>
          <w:trHeight w:val="223"/>
        </w:trPr>
        <w:tc>
          <w:tcPr>
            <w:tcW w:w="78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1,198,000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1,404,000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99,000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99,000</w:t>
            </w:r>
          </w:p>
        </w:tc>
      </w:tr>
      <w:tr>
        <w:trPr>
          <w:trHeight w:val="216"/>
        </w:trPr>
        <w:tc>
          <w:tcPr>
            <w:tcW w:w="786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134,000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36"/>
        </w:trPr>
        <w:tc>
          <w:tcPr>
            <w:tcW w:w="786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1,401,000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1,637,000</w:t>
            </w:r>
          </w:p>
        </w:tc>
      </w:tr>
      <w:tr>
        <w:trPr>
          <w:trHeight w:val="203"/>
        </w:trPr>
        <w:tc>
          <w:tcPr>
            <w:tcW w:w="78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Percentage of Audit &amp; Audit-Related Fees to Total Fees</w:t>
            </w: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w:t>
            </w:r>
          </w:p>
        </w:tc>
        <w:tc>
          <w:tcPr>
            <w:tcW w:w="3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91.8%</w:t>
            </w:r>
          </w:p>
        </w:tc>
        <w:tc>
          <w:tcPr>
            <w:tcW w:w="100" w:type="dxa"/>
            <w:vAlign w:val="bottom"/>
            <w:tcBorders>
              <w:bottom w:val="single" w:sz="8" w:color="auto"/>
            </w:tcBorders>
          </w:tcPr>
          <w:p>
            <w:pPr>
              <w:spacing w:after="0"/>
              <w:rPr>
                <w:sz w:val="17"/>
                <w:szCs w:val="17"/>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 Fees</w:t>
      </w:r>
    </w:p>
    <w:p>
      <w:pPr>
        <w:spacing w:after="0" w:line="121" w:lineRule="exact"/>
        <w:rPr>
          <w:sz w:val="20"/>
          <w:szCs w:val="20"/>
          <w:color w:val="auto"/>
        </w:rPr>
      </w:pPr>
    </w:p>
    <w:p>
      <w:pPr>
        <w:ind w:left="980" w:firstLine="609"/>
        <w:spacing w:after="0" w:line="260" w:lineRule="auto"/>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2010 and 2009 in connection with the annual financial statement audit, the annual internal controls audit, and reviews of the Corporation’s financial statements included in the quarterly reports on Form 10-Q were $1,198,000 and $1,210,000, respectively. During 2009, Ernst &amp; Young LLP also billed the Corporation $194,000 related to the filing of the shelf registration statement, the March 2009 equity issuance and the November 2009 equity issuance.</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Audit-Related Fees</w:t>
      </w:r>
    </w:p>
    <w:p>
      <w:pPr>
        <w:spacing w:after="0" w:line="121" w:lineRule="exact"/>
        <w:rPr>
          <w:sz w:val="20"/>
          <w:szCs w:val="20"/>
          <w:color w:val="auto"/>
        </w:rPr>
      </w:pPr>
    </w:p>
    <w:p>
      <w:pPr>
        <w:ind w:left="980" w:right="80" w:firstLine="609"/>
        <w:spacing w:after="0" w:line="316" w:lineRule="auto"/>
        <w:rPr>
          <w:sz w:val="20"/>
          <w:szCs w:val="20"/>
          <w:color w:val="auto"/>
        </w:rPr>
      </w:pPr>
      <w:r>
        <w:rPr>
          <w:rFonts w:ascii="Arial" w:cs="Arial" w:eastAsia="Arial" w:hAnsi="Arial"/>
          <w:sz w:val="18"/>
          <w:szCs w:val="18"/>
          <w:color w:val="auto"/>
        </w:rPr>
        <w:t>The aggregate fees billed for professional services rendered by Ernst &amp; Young LLP to the Corporation for each of 2010 and 2009 in connection with audit-related services, including subsidiary audits and continuing education, were $99,000.</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1711960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Tax Fees</w:t>
      </w:r>
    </w:p>
    <w:p>
      <w:pPr>
        <w:spacing w:after="0" w:line="121" w:lineRule="exact"/>
        <w:rPr>
          <w:sz w:val="20"/>
          <w:szCs w:val="20"/>
          <w:color w:val="auto"/>
        </w:rPr>
      </w:pPr>
    </w:p>
    <w:p>
      <w:pPr>
        <w:ind w:left="980" w:right="40" w:firstLine="609"/>
        <w:spacing w:after="0" w:line="250"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2010 and 2009 in connection with tax advice, including consultation on transfer pricing issues, and other tax-related activities were $104,000 and $134,000, respectively.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All Other Fees</w:t>
      </w:r>
    </w:p>
    <w:p>
      <w:pPr>
        <w:spacing w:after="0" w:line="121" w:lineRule="exact"/>
        <w:rPr>
          <w:sz w:val="20"/>
          <w:szCs w:val="20"/>
          <w:color w:val="auto"/>
        </w:rPr>
      </w:pPr>
    </w:p>
    <w:p>
      <w:pPr>
        <w:ind w:left="980" w:right="60" w:firstLine="609"/>
        <w:spacing w:after="0" w:line="260" w:lineRule="auto"/>
        <w:rPr>
          <w:sz w:val="20"/>
          <w:szCs w:val="20"/>
          <w:color w:val="auto"/>
        </w:rPr>
      </w:pPr>
      <w:r>
        <w:rPr>
          <w:rFonts w:ascii="Arial" w:cs="Arial" w:eastAsia="Arial" w:hAnsi="Arial"/>
          <w:sz w:val="20"/>
          <w:szCs w:val="20"/>
          <w:color w:val="auto"/>
        </w:rPr>
        <w:t>There were no other fees billed for other professional services rendered or products provided by Ernst &amp; Young LLP to the Corporation for 2010 and 2009.</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Pre-Approval Policies and Procedures</w:t>
      </w:r>
    </w:p>
    <w:p>
      <w:pPr>
        <w:spacing w:after="0" w:line="121" w:lineRule="exact"/>
        <w:rPr>
          <w:sz w:val="20"/>
          <w:szCs w:val="20"/>
          <w:color w:val="auto"/>
        </w:rPr>
      </w:pPr>
    </w:p>
    <w:p>
      <w:pPr>
        <w:ind w:left="980" w:right="20" w:firstLine="609"/>
        <w:spacing w:after="0" w:line="259" w:lineRule="auto"/>
        <w:rPr>
          <w:sz w:val="20"/>
          <w:szCs w:val="20"/>
          <w:color w:val="auto"/>
        </w:rPr>
      </w:pPr>
      <w:r>
        <w:rPr>
          <w:rFonts w:ascii="Arial" w:cs="Arial" w:eastAsia="Arial" w:hAnsi="Arial"/>
          <w:sz w:val="19"/>
          <w:szCs w:val="19"/>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Audit Committee Review</w:t>
      </w:r>
    </w:p>
    <w:p>
      <w:pPr>
        <w:spacing w:after="0" w:line="121" w:lineRule="exact"/>
        <w:rPr>
          <w:sz w:val="20"/>
          <w:szCs w:val="20"/>
          <w:color w:val="auto"/>
        </w:rPr>
      </w:pPr>
    </w:p>
    <w:p>
      <w:pPr>
        <w:ind w:left="980" w:right="20" w:firstLine="609"/>
        <w:spacing w:after="0" w:line="246" w:lineRule="auto"/>
        <w:rPr>
          <w:sz w:val="20"/>
          <w:szCs w:val="20"/>
          <w:color w:val="auto"/>
        </w:rPr>
      </w:pPr>
      <w:r>
        <w:rPr>
          <w:rFonts w:ascii="Arial" w:cs="Arial" w:eastAsia="Arial" w:hAnsi="Arial"/>
          <w:sz w:val="20"/>
          <w:szCs w:val="20"/>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375"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AUDIT COMMITTEE REPORT</w:t>
      </w:r>
    </w:p>
    <w:p>
      <w:pPr>
        <w:spacing w:after="0" w:line="127" w:lineRule="exact"/>
        <w:rPr>
          <w:sz w:val="20"/>
          <w:szCs w:val="20"/>
          <w:color w:val="auto"/>
        </w:rPr>
      </w:pPr>
    </w:p>
    <w:p>
      <w:pPr>
        <w:ind w:left="980" w:firstLine="609"/>
        <w:spacing w:after="0" w:line="273"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can be viewed on the Corporation’s website at </w:t>
      </w:r>
      <w:r>
        <w:rPr>
          <w:rFonts w:ascii="Arial" w:cs="Arial" w:eastAsia="Arial" w:hAnsi="Arial"/>
          <w:sz w:val="18"/>
          <w:szCs w:val="18"/>
          <w:i w:val="1"/>
          <w:iCs w:val="1"/>
          <w:color w:val="auto"/>
        </w:rPr>
        <w:t>www.martinmarietta.com.</w:t>
      </w:r>
    </w:p>
    <w:p>
      <w:pPr>
        <w:spacing w:after="0" w:line="75" w:lineRule="exact"/>
        <w:rPr>
          <w:sz w:val="20"/>
          <w:szCs w:val="20"/>
          <w:color w:val="auto"/>
        </w:rPr>
      </w:pPr>
    </w:p>
    <w:p>
      <w:pPr>
        <w:ind w:left="980" w:right="280" w:firstLine="609"/>
        <w:spacing w:after="0" w:line="246" w:lineRule="auto"/>
        <w:rPr>
          <w:sz w:val="20"/>
          <w:szCs w:val="20"/>
          <w:color w:val="auto"/>
        </w:rPr>
      </w:pPr>
      <w:r>
        <w:rPr>
          <w:rFonts w:ascii="Arial" w:cs="Arial" w:eastAsia="Arial" w:hAnsi="Arial"/>
          <w:sz w:val="20"/>
          <w:szCs w:val="20"/>
          <w:color w:val="auto"/>
        </w:rPr>
        <w:t>The Board of Directors has charged the Audit Committee with a number of responsibilities, including review of the adequacy of the Corporation’s financial reporting, accounting systems, and internal controls. The Corporation’s independent auditors and the vice president of the internal audit function report directly and are ultimately accountable to the Audit Committee.</w:t>
      </w:r>
    </w:p>
    <w:p>
      <w:pPr>
        <w:spacing w:after="0" w:line="97" w:lineRule="exact"/>
        <w:rPr>
          <w:sz w:val="20"/>
          <w:szCs w:val="20"/>
          <w:color w:val="auto"/>
        </w:rPr>
      </w:pPr>
    </w:p>
    <w:p>
      <w:pPr>
        <w:ind w:left="980" w:right="160" w:firstLine="609"/>
        <w:spacing w:after="0" w:line="243" w:lineRule="auto"/>
        <w:rPr>
          <w:sz w:val="20"/>
          <w:szCs w:val="20"/>
          <w:color w:val="auto"/>
        </w:rPr>
      </w:pPr>
      <w:r>
        <w:rPr>
          <w:rFonts w:ascii="Arial" w:cs="Arial" w:eastAsia="Arial" w:hAnsi="Arial"/>
          <w:sz w:val="20"/>
          <w:szCs w:val="20"/>
          <w:color w:val="auto"/>
        </w:rPr>
        <w:t xml:space="preserve">In the discharge of its responsibilities, the Audit Committee has reviewed and discussed with management and the independent auditors the Corporation’s audited financial statements for fiscal year 2010. In addition, the Committee has discussed with the independent auditors matters such as the quality (in addition to acceptability), clarity, consistency, and completeness of the Corporation’s financial reporting, as required by Statement on Auditing Standards No. 61, as amended (AICPA, </w:t>
      </w:r>
      <w:r>
        <w:rPr>
          <w:rFonts w:ascii="Arial" w:cs="Arial" w:eastAsia="Arial" w:hAnsi="Arial"/>
          <w:sz w:val="20"/>
          <w:szCs w:val="20"/>
          <w:i w:val="1"/>
          <w:iCs w:val="1"/>
          <w:color w:val="auto"/>
        </w:rPr>
        <w:t>Professional Standards,</w:t>
      </w:r>
      <w:r>
        <w:rPr>
          <w:rFonts w:ascii="Arial" w:cs="Arial" w:eastAsia="Arial" w:hAnsi="Arial"/>
          <w:sz w:val="20"/>
          <w:szCs w:val="20"/>
          <w:color w:val="auto"/>
        </w:rPr>
        <w:t xml:space="preserve"> Vol. 1, AU section 380), as adopted by the Public Company Accounting Oversight Board in Rule 3200T.</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579755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 xml:space="preserve">The Audit Committee has received from the independent auditors written disclosures and a letter concerning the independent auditors’ independence from the Corporation, as required by Independence Standards Board Standard No. 1, (Independence Standards Board Standard No. 1, </w:t>
      </w:r>
      <w:r>
        <w:rPr>
          <w:rFonts w:ascii="Arial" w:cs="Arial" w:eastAsia="Arial" w:hAnsi="Arial"/>
          <w:sz w:val="19"/>
          <w:szCs w:val="19"/>
          <w:i w:val="1"/>
          <w:iCs w:val="1"/>
          <w:color w:val="auto"/>
        </w:rPr>
        <w:t>Independence Discussions with Audit Committees)</w:t>
      </w:r>
      <w:r>
        <w:rPr>
          <w:rFonts w:ascii="Arial" w:cs="Arial" w:eastAsia="Arial" w:hAnsi="Arial"/>
          <w:sz w:val="19"/>
          <w:szCs w:val="19"/>
          <w:color w:val="auto"/>
        </w:rPr>
        <w:t>, as adopted by the Public Company Accounting Oversight Board in Rule 3600T, and has discussed with the independent auditors the independent auditors’ independence. The Audit Committee also 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87"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Based on these reviews and discussions, the Audit Committee has recommended to the Board that the audited financial statements be included in the Corporation’s 2010 Annual Report on Form 10-K for filing with the Securities and Exchange Commission.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February 15, 2011</w:t>
      </w:r>
    </w:p>
    <w:p>
      <w:pPr>
        <w:spacing w:after="0" w:line="7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Laree E. Perez</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Dennis L. Rediker</w:t>
      </w:r>
    </w:p>
    <w:p>
      <w:pPr>
        <w:spacing w:after="0" w:line="324"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Executive Summary</w:t>
      </w:r>
    </w:p>
    <w:p>
      <w:pPr>
        <w:spacing w:after="0" w:line="121" w:lineRule="exact"/>
        <w:rPr>
          <w:sz w:val="20"/>
          <w:szCs w:val="20"/>
          <w:color w:val="auto"/>
        </w:rPr>
      </w:pPr>
    </w:p>
    <w:p>
      <w:pPr>
        <w:ind w:left="980" w:right="80" w:firstLine="609"/>
        <w:spacing w:after="0" w:line="250" w:lineRule="auto"/>
        <w:rPr>
          <w:sz w:val="20"/>
          <w:szCs w:val="20"/>
          <w:color w:val="auto"/>
        </w:rPr>
      </w:pPr>
      <w:r>
        <w:rPr>
          <w:rFonts w:ascii="Arial" w:cs="Arial" w:eastAsia="Arial" w:hAnsi="Arial"/>
          <w:sz w:val="20"/>
          <w:szCs w:val="20"/>
          <w:color w:val="auto"/>
        </w:rPr>
        <w:t>This Executive Summary provides an overview of our performance in 2010, the factors influencing it, and how executive compensation in 2010 was tied to such performance. Our compensation philosophy and programs are set out in more detail below in this Compensation Discussion and Analysis.</w:t>
      </w:r>
    </w:p>
    <w:p>
      <w:pPr>
        <w:spacing w:after="0" w:line="92"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The economic recession that has impacted the construction materials industry for several years continued in 2010. Aggregates shipments in the United States experienced an unprecedented decline of almost 40% from their peak volume in 2006. Federal highway legislation funding, which expired in September 2009, sputtered along under a continuing resolution (currently extended to September 30, 2011), but without a long-term highway bill. States continued to balance their funding of construction spending against budget shortfalls caused by decreasing tax revenues and uncertainty related to long-term highway funding.</w:t>
      </w:r>
    </w:p>
    <w:p>
      <w:pPr>
        <w:spacing w:after="0" w:line="102"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Against this background, the Corporation delivered increased earnings for shareholders in 2010:</w:t>
      </w:r>
    </w:p>
    <w:p>
      <w:pPr>
        <w:spacing w:after="0" w:line="121" w:lineRule="exact"/>
        <w:rPr>
          <w:sz w:val="20"/>
          <w:szCs w:val="20"/>
          <w:color w:val="auto"/>
        </w:rPr>
      </w:pPr>
    </w:p>
    <w:p>
      <w:pPr>
        <w:ind w:left="1800" w:hanging="208"/>
        <w:spacing w:after="0"/>
        <w:tabs>
          <w:tab w:leader="none" w:pos="1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Earnings per diluted share of $2.10 in 2010 compared with $1.91 in 2009.</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Increase in annual aggregate volume for the first time in five years, up over 5% from 2009.</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Net sales increased to $1.551 billion in 2010 compared with $1.497 billion in 2009.</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Record earnings in Specialty Products of $50.6 million in 2010 as compared with $35.7 million in 2009.</w:t>
      </w:r>
    </w:p>
    <w:p>
      <w:pPr>
        <w:spacing w:after="0" w:line="121" w:lineRule="exact"/>
        <w:rPr>
          <w:sz w:val="20"/>
          <w:szCs w:val="20"/>
          <w:color w:val="auto"/>
        </w:rPr>
      </w:pPr>
    </w:p>
    <w:p>
      <w:pPr>
        <w:ind w:left="980" w:right="20" w:firstLine="609"/>
        <w:spacing w:after="0" w:line="244" w:lineRule="auto"/>
        <w:rPr>
          <w:sz w:val="20"/>
          <w:szCs w:val="20"/>
          <w:color w:val="auto"/>
        </w:rPr>
      </w:pPr>
      <w:r>
        <w:rPr>
          <w:rFonts w:ascii="Arial" w:cs="Arial" w:eastAsia="Arial" w:hAnsi="Arial"/>
          <w:sz w:val="20"/>
          <w:szCs w:val="20"/>
          <w:color w:val="auto"/>
        </w:rPr>
        <w:t>Management was able to achieve these performance results in 2010 by effectively improving the Corporation’s cost structure without jeopardizing the long-term value of the business, allowing us to realize more profitability when volumes began recovering. The number of employees has remained at a reduced level since 2009 and is nearly identical to the number of employees in 1997. However, we managed three times more assets and produced over 25% greater gross profit per ton in 2010 than in 1997, which reflects the greater</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740"/>
        <w:spacing w:after="0" w:line="260" w:lineRule="auto"/>
        <w:rPr>
          <w:sz w:val="20"/>
          <w:szCs w:val="20"/>
          <w:color w:val="auto"/>
        </w:rPr>
      </w:pPr>
      <w:r>
        <w:rPr>
          <w:rFonts w:ascii="Arial" w:cs="Arial" w:eastAsia="Arial" w:hAnsi="Arial"/>
          <w:sz w:val="20"/>
          <w:szCs w:val="20"/>
          <w:color w:val="auto"/>
        </w:rPr>
        <w:t>efficiencies we have been able to successfully achieve in the business in addition to reducing costs. These actions have contributed to the following results:</w:t>
      </w:r>
    </w:p>
    <w:p>
      <w:pPr>
        <w:spacing w:after="0" w:line="82" w:lineRule="exact"/>
        <w:rPr>
          <w:sz w:val="20"/>
          <w:szCs w:val="20"/>
          <w:color w:val="auto"/>
        </w:rPr>
      </w:pPr>
    </w:p>
    <w:p>
      <w:pPr>
        <w:ind w:left="1800" w:right="80" w:hanging="208"/>
        <w:spacing w:after="0" w:line="250" w:lineRule="auto"/>
        <w:tabs>
          <w:tab w:leader="none" w:pos="1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Selling, general and administrative costs in 2010 declined 70 basis points as a percentage of net sales from 2009, despite absorbing $3.5 million of expense related to required payments under certain retirement plans and diesel fuel costs increasing 19.6% from 2009.</w:t>
      </w:r>
    </w:p>
    <w:p>
      <w:pPr>
        <w:spacing w:after="0" w:line="78" w:lineRule="exact"/>
        <w:rPr>
          <w:rFonts w:ascii="Arial" w:cs="Arial" w:eastAsia="Arial" w:hAnsi="Arial"/>
          <w:sz w:val="20"/>
          <w:szCs w:val="20"/>
          <w:color w:val="auto"/>
        </w:rPr>
      </w:pPr>
    </w:p>
    <w:p>
      <w:pPr>
        <w:ind w:left="1800" w:hanging="208"/>
        <w:spacing w:after="0"/>
        <w:tabs>
          <w:tab w:leader="none" w:pos="1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Consolidated operating margin increased 20 basis points from 2009 to 12.7% in 2010.</w:t>
      </w:r>
    </w:p>
    <w:p>
      <w:pPr>
        <w:spacing w:after="0" w:line="107" w:lineRule="exact"/>
        <w:rPr>
          <w:rFonts w:ascii="Arial" w:cs="Arial" w:eastAsia="Arial" w:hAnsi="Arial"/>
          <w:sz w:val="20"/>
          <w:szCs w:val="20"/>
          <w:color w:val="auto"/>
        </w:rPr>
      </w:pPr>
    </w:p>
    <w:p>
      <w:pPr>
        <w:ind w:left="1800" w:right="80" w:hanging="208"/>
        <w:spacing w:after="0" w:line="260" w:lineRule="auto"/>
        <w:tabs>
          <w:tab w:leader="none" w:pos="1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Operating efficiencies improved as measured by tons produced per working man hour, which increased 16% in 2010 over 2009.</w:t>
      </w:r>
    </w:p>
    <w:p>
      <w:pPr>
        <w:spacing w:after="0" w:line="82" w:lineRule="exact"/>
        <w:rPr>
          <w:sz w:val="20"/>
          <w:szCs w:val="20"/>
          <w:color w:val="auto"/>
        </w:rPr>
      </w:pPr>
    </w:p>
    <w:p>
      <w:pPr>
        <w:ind w:left="980" w:right="20" w:firstLine="609"/>
        <w:spacing w:after="0" w:line="276" w:lineRule="auto"/>
        <w:rPr>
          <w:sz w:val="20"/>
          <w:szCs w:val="20"/>
          <w:color w:val="auto"/>
        </w:rPr>
      </w:pPr>
      <w:r>
        <w:rPr>
          <w:rFonts w:ascii="Arial" w:cs="Arial" w:eastAsia="Arial" w:hAnsi="Arial"/>
          <w:sz w:val="18"/>
          <w:szCs w:val="18"/>
          <w:color w:val="auto"/>
        </w:rPr>
        <w:t>The strong financial results for 2010 are accompanied by other achievements in 2010 that are reflective of the discipline of our executive management team. We completed our succession plan transition in the Chief Executive Officer position and other members of senior management. Mr. Nye and the other executive officers also demonstrated solid execution of our business plan and the promotion of our strategic objectives focusing on long-term growth, which was reflected by acquisitions in Florida and South Carolina, and their successful integration, among other things. Management was able to seize these growth opportunities because of its discipline in managing costs and maintaining a healthy balance sheet.</w:t>
      </w:r>
    </w:p>
    <w:p>
      <w:pPr>
        <w:spacing w:after="0" w:line="71" w:lineRule="exact"/>
        <w:rPr>
          <w:sz w:val="20"/>
          <w:szCs w:val="20"/>
          <w:color w:val="auto"/>
        </w:rPr>
      </w:pPr>
    </w:p>
    <w:p>
      <w:pPr>
        <w:ind w:left="980" w:right="80" w:firstLine="609"/>
        <w:spacing w:after="0" w:line="272" w:lineRule="auto"/>
        <w:rPr>
          <w:sz w:val="20"/>
          <w:szCs w:val="20"/>
          <w:color w:val="auto"/>
        </w:rPr>
      </w:pPr>
      <w:r>
        <w:rPr>
          <w:rFonts w:ascii="Arial" w:cs="Arial" w:eastAsia="Arial" w:hAnsi="Arial"/>
          <w:sz w:val="18"/>
          <w:szCs w:val="18"/>
          <w:color w:val="auto"/>
        </w:rPr>
        <w:t>The Management Development and Compensation Committee (the “Committee”) reviewed executive compensation in 2010 in light of these factors. The Committee used data from a variety of sources, including its independent compensation consultant, to achieve its goal of attracting and retaining qualified executives who will make decisions that achieve long-term success for the Corporation without sacrificing integrity, safety and other important principles. The Committee also was mindful of pay-for-performance objectives and sought to avoid practices that would encourage excessive risk-taking. In furtherance of these goals, the main elements of our compensation program are base salary, annual cash bonus, and long-term equity incentive awards. The Committee took into account a number of factors in determining compensation for 2010, including our financial results, individual performance, competitive data, and other factors, as detailed in the Compensation Discussion and Analysis. In light of these considerations, the Committee made the following compensation decisions for 2010:</w:t>
      </w:r>
    </w:p>
    <w:p>
      <w:pPr>
        <w:spacing w:after="0" w:line="77" w:lineRule="exact"/>
        <w:rPr>
          <w:sz w:val="20"/>
          <w:szCs w:val="20"/>
          <w:color w:val="auto"/>
        </w:rPr>
      </w:pPr>
    </w:p>
    <w:p>
      <w:pPr>
        <w:ind w:left="1800" w:hanging="208"/>
        <w:spacing w:after="0" w:line="246" w:lineRule="auto"/>
        <w:tabs>
          <w:tab w:leader="none" w:pos="1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Awarded </w:t>
      </w:r>
      <w:r>
        <w:rPr>
          <w:rFonts w:ascii="Arial" w:cs="Arial" w:eastAsia="Arial" w:hAnsi="Arial"/>
          <w:sz w:val="20"/>
          <w:szCs w:val="20"/>
          <w:i w:val="1"/>
          <w:iCs w:val="1"/>
          <w:color w:val="auto"/>
        </w:rPr>
        <w:t>merit pay increases of approximately 3%</w:t>
      </w:r>
      <w:r>
        <w:rPr>
          <w:rFonts w:ascii="Arial" w:cs="Arial" w:eastAsia="Arial" w:hAnsi="Arial"/>
          <w:sz w:val="20"/>
          <w:szCs w:val="20"/>
          <w:color w:val="auto"/>
        </w:rPr>
        <w:t xml:space="preserve"> to our named executive officers, other than Mr. Nye, in light of the recessionary economy, despite strong satisfaction of individual performance goals. This was the first base salary increase given to our named executive officers in 24 months as base salaries were frozen in 2009 in response to economic conditions.</w:t>
      </w:r>
    </w:p>
    <w:p>
      <w:pPr>
        <w:spacing w:after="0" w:line="83" w:lineRule="exact"/>
        <w:rPr>
          <w:rFonts w:ascii="Arial" w:cs="Arial" w:eastAsia="Arial" w:hAnsi="Arial"/>
          <w:sz w:val="20"/>
          <w:szCs w:val="20"/>
          <w:color w:val="auto"/>
        </w:rPr>
      </w:pPr>
    </w:p>
    <w:p>
      <w:pPr>
        <w:ind w:left="1800" w:right="200" w:hanging="208"/>
        <w:spacing w:after="0" w:line="263" w:lineRule="auto"/>
        <w:tabs>
          <w:tab w:leader="none" w:pos="1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Awarded Mr. Nye a pay increase to $800,000 in conjunction with his promotion to Chief Executive Officer in 2010 pursuant to our succession plan. The pay increase was reflective of Mr. Nye’s increased responsibilities and the Committee’s strong satisfaction with his performance. The Committee received data indicating that Mr. Nye’s base salary was at or below median for executives in comparable positions.</w:t>
      </w:r>
    </w:p>
    <w:p>
      <w:pPr>
        <w:spacing w:after="0" w:line="68" w:lineRule="exact"/>
        <w:rPr>
          <w:rFonts w:ascii="Arial" w:cs="Arial" w:eastAsia="Arial" w:hAnsi="Arial"/>
          <w:sz w:val="19"/>
          <w:szCs w:val="19"/>
          <w:color w:val="auto"/>
        </w:rPr>
      </w:pPr>
    </w:p>
    <w:p>
      <w:pPr>
        <w:ind w:left="1800" w:right="60" w:hanging="208"/>
        <w:spacing w:after="0" w:line="287" w:lineRule="auto"/>
        <w:tabs>
          <w:tab w:leader="none" w:pos="1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Approved </w:t>
      </w:r>
      <w:r>
        <w:rPr>
          <w:rFonts w:ascii="Arial" w:cs="Arial" w:eastAsia="Arial" w:hAnsi="Arial"/>
          <w:sz w:val="19"/>
          <w:szCs w:val="19"/>
          <w:i w:val="1"/>
          <w:iCs w:val="1"/>
          <w:color w:val="auto"/>
        </w:rPr>
        <w:t>cash bonus payouts at approximately 75% of target</w:t>
      </w:r>
      <w:r>
        <w:rPr>
          <w:rFonts w:ascii="Arial" w:cs="Arial" w:eastAsia="Arial" w:hAnsi="Arial"/>
          <w:sz w:val="19"/>
          <w:szCs w:val="19"/>
          <w:color w:val="auto"/>
        </w:rPr>
        <w:t xml:space="preserve"> to all the named executive officers for 2010, including Mr. Nye, consistent with the achievement of the performance metrics at or above that level.</w:t>
      </w:r>
    </w:p>
    <w:p>
      <w:pPr>
        <w:spacing w:after="0" w:line="44" w:lineRule="exact"/>
        <w:rPr>
          <w:rFonts w:ascii="Arial" w:cs="Arial" w:eastAsia="Arial" w:hAnsi="Arial"/>
          <w:sz w:val="19"/>
          <w:szCs w:val="19"/>
          <w:color w:val="auto"/>
        </w:rPr>
      </w:pPr>
    </w:p>
    <w:p>
      <w:pPr>
        <w:ind w:left="1800" w:right="200" w:hanging="208"/>
        <w:spacing w:after="0" w:line="250" w:lineRule="auto"/>
        <w:tabs>
          <w:tab w:leader="none" w:pos="1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Granted performance-based long-term equity incentives to our continuing named executive officers in 2010 at </w:t>
      </w:r>
      <w:r>
        <w:rPr>
          <w:rFonts w:ascii="Arial" w:cs="Arial" w:eastAsia="Arial" w:hAnsi="Arial"/>
          <w:sz w:val="20"/>
          <w:szCs w:val="20"/>
          <w:i w:val="1"/>
          <w:iCs w:val="1"/>
          <w:color w:val="auto"/>
        </w:rPr>
        <w:t>50%</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of target </w:t>
      </w:r>
      <w:r>
        <w:rPr>
          <w:rFonts w:ascii="Arial" w:cs="Arial" w:eastAsia="Arial" w:hAnsi="Arial"/>
          <w:sz w:val="20"/>
          <w:szCs w:val="20"/>
          <w:color w:val="auto"/>
        </w:rPr>
        <w:t>for the performance-based LTIP Awards (discussed on page 36) and</w:t>
      </w:r>
      <w:r>
        <w:rPr>
          <w:rFonts w:ascii="Arial" w:cs="Arial" w:eastAsia="Arial" w:hAnsi="Arial"/>
          <w:sz w:val="20"/>
          <w:szCs w:val="20"/>
          <w:i w:val="1"/>
          <w:iCs w:val="1"/>
          <w:color w:val="auto"/>
        </w:rPr>
        <w:t xml:space="preserve"> 79% of target </w:t>
      </w:r>
      <w:r>
        <w:rPr>
          <w:rFonts w:ascii="Arial" w:cs="Arial" w:eastAsia="Arial" w:hAnsi="Arial"/>
          <w:sz w:val="20"/>
          <w:szCs w:val="20"/>
          <w:color w:val="auto"/>
        </w:rPr>
        <w:t>for the performance-based restricted stock unit awards (discussed on page 37).</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1463040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980" w:firstLine="609"/>
        <w:spacing w:after="0" w:line="250" w:lineRule="auto"/>
        <w:rPr>
          <w:sz w:val="20"/>
          <w:szCs w:val="20"/>
          <w:color w:val="auto"/>
        </w:rPr>
      </w:pPr>
      <w:r>
        <w:rPr>
          <w:rFonts w:ascii="Arial" w:cs="Arial" w:eastAsia="Arial" w:hAnsi="Arial"/>
          <w:sz w:val="20"/>
          <w:szCs w:val="20"/>
          <w:color w:val="auto"/>
        </w:rPr>
        <w:t>The pay-for-performance component of compensation in 2010 consisting of annual and long-term compensation, which comprises most of the compensation in 2010 for the named executive officers, are shown below with respect to (1) Mr. Nye and (2) all the named executive officers other than Mr. Nye.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80" w:right="20" w:firstLine="609"/>
        <w:spacing w:after="0" w:line="272" w:lineRule="auto"/>
        <w:rPr>
          <w:sz w:val="20"/>
          <w:szCs w:val="20"/>
          <w:color w:val="auto"/>
        </w:rPr>
      </w:pPr>
      <w:r>
        <w:rPr>
          <w:rFonts w:ascii="Arial" w:cs="Arial" w:eastAsia="Arial" w:hAnsi="Arial"/>
          <w:sz w:val="18"/>
          <w:szCs w:val="18"/>
          <w:color w:val="auto"/>
        </w:rPr>
        <w:t>We believe that our executive compensation program is reasonable, competitive, and strongly focused on pay-for-performance. The compensation of our named executive officers varies depending upon the achievement of pre-established performance goals, both corporate and individual. The majority of the target compensation opportunities for our named executive officers in 2010 was performance-based. Through equity incentives and mandatory investment of a portion of the annual bonus award in common stock units through the Incentive Stock Plan (discussed on page 35), we also align the interests of our executives with those of our shareholders and the Corporation’s long-term interests, and also help retain executives over time. Our executive compensation policies have enabled us to attract and retain talented and experienced senior executives. We believe that the compensation of our named executive officers in 2010 was consistent with the Corporation’s performance in 2010 and appropriate to align it with the Corporation’s growth in future years.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Philosophy and Objectives</w:t>
      </w:r>
    </w:p>
    <w:p>
      <w:pPr>
        <w:spacing w:after="0" w:line="121"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We believe that our employees are the Corporation’s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2010,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1025525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Executive Compensation Policies</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The Committee considers the following objectives in setting executive compensation:</w:t>
      </w:r>
    </w:p>
    <w:p>
      <w:pPr>
        <w:spacing w:after="0" w:line="121" w:lineRule="exact"/>
        <w:rPr>
          <w:sz w:val="20"/>
          <w:szCs w:val="20"/>
          <w:color w:val="auto"/>
        </w:rPr>
      </w:pPr>
    </w:p>
    <w:p>
      <w:pPr>
        <w:ind w:left="1800" w:hanging="208"/>
        <w:spacing w:after="0"/>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Attract and retain knowledgeable and experienced senior executives.</w:t>
      </w:r>
    </w:p>
    <w:p>
      <w:pPr>
        <w:spacing w:after="0" w:line="107" w:lineRule="exact"/>
        <w:rPr>
          <w:rFonts w:ascii="Arial" w:cs="Arial" w:eastAsia="Arial" w:hAnsi="Arial"/>
          <w:sz w:val="20"/>
          <w:szCs w:val="20"/>
          <w:color w:val="auto"/>
        </w:rPr>
      </w:pPr>
    </w:p>
    <w:p>
      <w:pPr>
        <w:ind w:left="1800" w:right="180" w:hanging="208"/>
        <w:spacing w:after="0" w:line="260" w:lineRule="auto"/>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Motivate our executives to achieve superior results on both annual and long-term bases to build long-term value for shareholders.</w:t>
      </w:r>
    </w:p>
    <w:p>
      <w:pPr>
        <w:spacing w:after="0" w:line="68" w:lineRule="exact"/>
        <w:rPr>
          <w:rFonts w:ascii="Arial" w:cs="Arial" w:eastAsia="Arial" w:hAnsi="Arial"/>
          <w:sz w:val="20"/>
          <w:szCs w:val="20"/>
          <w:color w:val="auto"/>
        </w:rPr>
      </w:pPr>
    </w:p>
    <w:p>
      <w:pPr>
        <w:ind w:left="1800" w:right="260" w:hanging="208"/>
        <w:spacing w:after="0" w:line="260" w:lineRule="auto"/>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Reward performance that exceeds established performance goals consistent with our strategic goals and upholding integrity.</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Align individual objectives with company objectives without encouraging excessive risk-taking.</w:t>
      </w:r>
    </w:p>
    <w:p>
      <w:pPr>
        <w:spacing w:after="0" w:line="107" w:lineRule="exact"/>
        <w:rPr>
          <w:rFonts w:ascii="Arial" w:cs="Arial" w:eastAsia="Arial" w:hAnsi="Arial"/>
          <w:sz w:val="20"/>
          <w:szCs w:val="20"/>
          <w:color w:val="auto"/>
        </w:rPr>
      </w:pPr>
    </w:p>
    <w:p>
      <w:pPr>
        <w:ind w:left="1800" w:right="720" w:hanging="208"/>
        <w:spacing w:after="0" w:line="260" w:lineRule="auto"/>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Encourage ownership mentality and align the long-term financial interest of our executives with those of our shareholders.</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Be competitive with our peers.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Provide reward systems that are measurable and easily understood by our managers and shareholders.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The Role of the Management Development and Compensation Committee</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the Corporation. The Committee has the authority to determine compensation and benefits for the Corporation’s executive officers. The Committee members are each non-employee, independent Board members pursuant to the New York Stock Exchange rules, and the Committee operates pursuant to a written charter, a copy of which can be viewed on the Corporation’s website at </w:t>
      </w:r>
      <w:r>
        <w:rPr>
          <w:rFonts w:ascii="Arial" w:cs="Arial" w:eastAsia="Arial" w:hAnsi="Arial"/>
          <w:sz w:val="20"/>
          <w:szCs w:val="20"/>
          <w:i w:val="1"/>
          <w:iCs w:val="1"/>
          <w:u w:val="single" w:color="auto"/>
          <w:color w:val="auto"/>
        </w:rPr>
        <w:t>www.martinmarietta.com</w:t>
      </w:r>
      <w:r>
        <w:rPr>
          <w:rFonts w:ascii="Arial" w:cs="Arial" w:eastAsia="Arial" w:hAnsi="Arial"/>
          <w:sz w:val="20"/>
          <w:szCs w:val="20"/>
          <w:color w:val="auto"/>
        </w:rPr>
        <w:t>.</w:t>
      </w:r>
    </w:p>
    <w:p>
      <w:pPr>
        <w:spacing w:after="0" w:line="102" w:lineRule="exact"/>
        <w:rPr>
          <w:sz w:val="20"/>
          <w:szCs w:val="20"/>
          <w:color w:val="auto"/>
        </w:rPr>
      </w:pPr>
    </w:p>
    <w:p>
      <w:pPr>
        <w:ind w:left="980" w:right="140" w:firstLine="609"/>
        <w:spacing w:after="0" w:line="273" w:lineRule="auto"/>
        <w:rPr>
          <w:sz w:val="20"/>
          <w:szCs w:val="20"/>
          <w:color w:val="auto"/>
        </w:rPr>
      </w:pPr>
      <w:r>
        <w:rPr>
          <w:rFonts w:ascii="Arial" w:cs="Arial" w:eastAsia="Arial" w:hAnsi="Arial"/>
          <w:sz w:val="18"/>
          <w:szCs w:val="18"/>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 — Human Resources,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the Corporation and any executive officer of the Corporation, including the Chief Executive Officer.</w:t>
      </w:r>
    </w:p>
    <w:p>
      <w:pPr>
        <w:spacing w:after="0" w:line="75" w:lineRule="exact"/>
        <w:rPr>
          <w:sz w:val="20"/>
          <w:szCs w:val="20"/>
          <w:color w:val="auto"/>
        </w:rPr>
      </w:pPr>
    </w:p>
    <w:p>
      <w:pPr>
        <w:ind w:left="980" w:firstLine="609"/>
        <w:spacing w:after="0" w:line="273" w:lineRule="auto"/>
        <w:rPr>
          <w:sz w:val="20"/>
          <w:szCs w:val="20"/>
          <w:color w:val="auto"/>
        </w:rPr>
      </w:pPr>
      <w:r>
        <w:rPr>
          <w:rFonts w:ascii="Arial" w:cs="Arial" w:eastAsia="Arial" w:hAnsi="Arial"/>
          <w:sz w:val="18"/>
          <w:szCs w:val="18"/>
          <w:color w:val="auto"/>
        </w:rPr>
        <w:t>The Committee uses a mix of annual and long-term compensation to provide a total compensation structure that is designed to motivate executives to achieve the business goals set by the Corporation and reward the Corporation’s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 consultants.</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The Committee in 2010 was advised by Towers Watson &amp; Co. pursuant to an engagement as the Committee’s independent compensation consultant to assist it in reviewing the Corporation’s executive compensation program to ensure that the program is consistent with the Board’s philosophy and to provide valuable information and insight as to market pay practices. Towers Watson conducted an extensive review and benchmarking study of the Corporation’s compensation program in 2007. In addition, it reviews and provides comments on management’s annual competitive analysis of each component of compensation and total compensation for the Chief Executive Officer and executive officers of the Corporation. Towers Watson provides the Committee with relevant market data and alternatives to consider when making compensation decisions for the Chief Executive Officer. Towers Watson also provides feedback to management on proxy information and published compensation surveys, which are then used by the Chief Executive Officer in making recommendations to the Committee with respect to compensation for executive officers other than the Chief Executive Officer. For 2010, recommendations were made by both Mr. Nye, who became our Chief Executive Officer on January 1, 2010, and Mr. Zelnak who served as Executive Chairman through May 2010. The Committee and/or the Committee Chairman from time to time in 2010 met with Towers Watson in private sessions without management present.</w:t>
      </w:r>
    </w:p>
    <w:p>
      <w:pPr>
        <w:spacing w:after="0" w:line="79"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Committee assessed and discussed the performance and independence of its executive compensation consultant in 2010. As part of this assessment, the Committee considered the extent of other business that Towers Watson performed for the Corporation and reviewed the safeguards that were in place to ensure the independence of the advice they received. A different office of Towers Watson performed actuarial, retirement plan, welfare plan and benefits consulting services for the Corporation, for which we paid $784,000 in 2010. Management reported to the Committee the amount and nature of such other business provided to the Corporation. Towers Watson’s fees for executive compensation services in 2010 were $60,000. The Committee reviewed various factors regarding Towers Watson’s independence, including the cost of the work Towers Watson performed for the Corporation, and concluded that adequate barriers and safeguards were in place to ensure that Towers Watson’s executive compensation recommendations were not in any way influenced by this other business. The Committee further concluded that Towers Watson was not unduly influenced by management and was providing objective and independent executive compensation advice.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and Risk-Taking</w:t>
      </w:r>
    </w:p>
    <w:p>
      <w:pPr>
        <w:spacing w:after="0" w:line="121" w:lineRule="exact"/>
        <w:rPr>
          <w:sz w:val="20"/>
          <w:szCs w:val="20"/>
          <w:color w:val="auto"/>
        </w:rPr>
      </w:pPr>
    </w:p>
    <w:p>
      <w:pPr>
        <w:jc w:val="both"/>
        <w:ind w:left="980" w:right="600" w:firstLine="609"/>
        <w:spacing w:after="0" w:line="250" w:lineRule="auto"/>
        <w:rPr>
          <w:sz w:val="20"/>
          <w:szCs w:val="20"/>
          <w:color w:val="auto"/>
        </w:rPr>
      </w:pPr>
      <w:r>
        <w:rPr>
          <w:rFonts w:ascii="Arial" w:cs="Arial" w:eastAsia="Arial" w:hAnsi="Arial"/>
          <w:sz w:val="20"/>
          <w:szCs w:val="20"/>
          <w:color w:val="auto"/>
        </w:rPr>
        <w:t>We believe our executive pay is reasonable and provides appropriate incentives to our executives to achieve our financial and strategic goals without encouraging them to take excessive risks in their business decisions. Compensation program features that mitigate against risks include the following:</w:t>
      </w:r>
    </w:p>
    <w:p>
      <w:pPr>
        <w:spacing w:after="0" w:line="92" w:lineRule="exact"/>
        <w:rPr>
          <w:sz w:val="20"/>
          <w:szCs w:val="20"/>
          <w:color w:val="auto"/>
        </w:rPr>
      </w:pPr>
    </w:p>
    <w:p>
      <w:pPr>
        <w:ind w:left="1800" w:hanging="208"/>
        <w:spacing w:after="0" w:line="260" w:lineRule="auto"/>
        <w:tabs>
          <w:tab w:leader="none" w:pos="1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annual bonus plan does not provide payment for poor individual or corporate performance, regardless of whether the failure to achieve target was outside management’s control.</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There is a cap on the annual bonus, even for spectacular performance.</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caps on the long-term equity awards, even if the required performance-related criteria are exceeded.</w:t>
      </w:r>
    </w:p>
    <w:p>
      <w:pPr>
        <w:spacing w:after="0" w:line="130" w:lineRule="exact"/>
        <w:rPr>
          <w:rFonts w:ascii="Arial" w:cs="Arial" w:eastAsia="Arial" w:hAnsi="Arial"/>
          <w:sz w:val="18"/>
          <w:szCs w:val="18"/>
          <w:color w:val="auto"/>
        </w:rPr>
      </w:pPr>
    </w:p>
    <w:p>
      <w:pPr>
        <w:ind w:left="1800" w:right="120" w:hanging="208"/>
        <w:spacing w:after="0" w:line="260" w:lineRule="auto"/>
        <w:tabs>
          <w:tab w:leader="none" w:pos="1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majority of the named executive officers’ compensation is long-term, with equity grants vesting over three to five years, depending on the plan.</w:t>
      </w:r>
    </w:p>
    <w:p>
      <w:pPr>
        <w:spacing w:after="0" w:line="68" w:lineRule="exact"/>
        <w:rPr>
          <w:rFonts w:ascii="Arial" w:cs="Arial" w:eastAsia="Arial" w:hAnsi="Arial"/>
          <w:sz w:val="20"/>
          <w:szCs w:val="20"/>
          <w:color w:val="auto"/>
        </w:rPr>
      </w:pPr>
    </w:p>
    <w:p>
      <w:pPr>
        <w:ind w:left="1800" w:right="60" w:hanging="208"/>
        <w:spacing w:after="0" w:line="260" w:lineRule="auto"/>
        <w:tabs>
          <w:tab w:leader="none" w:pos="1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compensation is not based on highly-leveraged short-term incentives that encourage high risk investments at the expense of long-term value.</w:t>
      </w:r>
    </w:p>
    <w:p>
      <w:pPr>
        <w:spacing w:after="0" w:line="68" w:lineRule="exact"/>
        <w:rPr>
          <w:rFonts w:ascii="Arial" w:cs="Arial" w:eastAsia="Arial" w:hAnsi="Arial"/>
          <w:sz w:val="20"/>
          <w:szCs w:val="20"/>
          <w:color w:val="auto"/>
        </w:rPr>
      </w:pPr>
    </w:p>
    <w:p>
      <w:pPr>
        <w:ind w:left="1800" w:right="380" w:hanging="208"/>
        <w:spacing w:after="0" w:line="260" w:lineRule="auto"/>
        <w:tabs>
          <w:tab w:leader="none" w:pos="1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Long-term compensation to executive officers is based on specific performance measures that balance long-term growth and returns.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1094740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0" w:right="840" w:hanging="208"/>
        <w:spacing w:after="0" w:line="316"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uses benchmarking data and the advice of its independent compensation consultant to keep compensation in line with typical market practices and appropriate to the Corporation’s needs.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The Use of Benchmarking Information</w:t>
      </w:r>
    </w:p>
    <w:p>
      <w:pPr>
        <w:spacing w:after="0" w:line="121" w:lineRule="exact"/>
        <w:rPr>
          <w:sz w:val="20"/>
          <w:szCs w:val="20"/>
          <w:color w:val="auto"/>
        </w:rPr>
      </w:pPr>
    </w:p>
    <w:p>
      <w:pPr>
        <w:ind w:left="980" w:right="20" w:firstLine="609"/>
        <w:spacing w:after="0" w:line="268" w:lineRule="auto"/>
        <w:rPr>
          <w:sz w:val="20"/>
          <w:szCs w:val="20"/>
          <w:color w:val="auto"/>
        </w:rPr>
      </w:pPr>
      <w:r>
        <w:rPr>
          <w:rFonts w:ascii="Arial" w:cs="Arial" w:eastAsia="Arial" w:hAnsi="Arial"/>
          <w:sz w:val="18"/>
          <w:szCs w:val="18"/>
          <w:color w:val="auto"/>
        </w:rPr>
        <w:t>The Committee reviews compensation information drawn from various sources, including proxy statements of a peer group of the following companies that we selected primarily from the Standard and Poor’s 1500 Basic Materials Index with other companies added to the group, that are in the aggregates, cement, natural resources and specialty chemical industries based on similarities in revenue and business characteristics: Albermarle Corporation, Arch Coal Inc., Cabot Corporation, Cytec Industries Inc., FMC Corporation, Granite Construction Inc., Headwaters Inc., Louisiana Pacific Corp., Lubrizol Corp., Mosaic Company, Packaging Corp of America, RPM International, Inc., Sigma Aldrich Corp., Sonoco Products Co., Universal Forest Products Inc., Valspar Corporation and Vulcan Materials Company. Because the information in the proxy statements of these companies generally does not provide precise comparisons by position to our executive officers, the Committee also takes into consideration published independent compensation surveys of companies with revenue in the range of $2 billion to</w:t>
      </w:r>
    </w:p>
    <w:p>
      <w:pPr>
        <w:spacing w:after="0" w:line="2" w:lineRule="exact"/>
        <w:rPr>
          <w:sz w:val="20"/>
          <w:szCs w:val="20"/>
          <w:color w:val="auto"/>
        </w:rPr>
      </w:pPr>
    </w:p>
    <w:p>
      <w:pPr>
        <w:ind w:left="980"/>
        <w:spacing w:after="0" w:line="256" w:lineRule="auto"/>
        <w:rPr>
          <w:sz w:val="20"/>
          <w:szCs w:val="20"/>
          <w:color w:val="auto"/>
        </w:rPr>
      </w:pPr>
      <w:r>
        <w:rPr>
          <w:rFonts w:ascii="Arial" w:cs="Arial" w:eastAsia="Arial" w:hAnsi="Arial"/>
          <w:sz w:val="19"/>
          <w:szCs w:val="19"/>
          <w:color w:val="auto"/>
        </w:rPr>
        <w:t>$2.5 billion as to median levels for each executive officer. As to the Chief Executive Officer’s compensation, the Committee reviews compensation information derived from both the peer group described above and the published surveys described in the preceding sentence, as well as the advice of Towers Watson. The Committee considered this benchmarking information in November 2009 in setting Mr. Nye’s base salary in connection with his election as Chief Executive Officer effective January 1, 2010 and for the other components of his 2010 compensation.</w:t>
      </w:r>
    </w:p>
    <w:p>
      <w:pPr>
        <w:spacing w:after="0" w:line="88" w:lineRule="exact"/>
        <w:rPr>
          <w:sz w:val="20"/>
          <w:szCs w:val="20"/>
          <w:color w:val="auto"/>
        </w:rPr>
      </w:pPr>
    </w:p>
    <w:p>
      <w:pPr>
        <w:ind w:left="980" w:right="80" w:firstLine="609"/>
        <w:spacing w:after="0" w:line="270" w:lineRule="auto"/>
        <w:rPr>
          <w:sz w:val="20"/>
          <w:szCs w:val="20"/>
          <w:color w:val="auto"/>
        </w:rPr>
      </w:pPr>
      <w:r>
        <w:rPr>
          <w:rFonts w:ascii="Arial" w:cs="Arial" w:eastAsia="Arial" w:hAnsi="Arial"/>
          <w:sz w:val="18"/>
          <w:szCs w:val="18"/>
          <w:color w:val="auto"/>
        </w:rPr>
        <w:t>In general, the Committee compares annual base salaries to the median compensation levels or the 50</w:t>
      </w:r>
      <w:r>
        <w:rPr>
          <w:rFonts w:ascii="Arial" w:cs="Arial" w:eastAsia="Arial" w:hAnsi="Arial"/>
          <w:sz w:val="14"/>
          <w:szCs w:val="14"/>
          <w:color w:val="auto"/>
        </w:rPr>
        <w:t>th</w:t>
      </w:r>
      <w:r>
        <w:rPr>
          <w:rFonts w:ascii="Arial" w:cs="Arial" w:eastAsia="Arial" w:hAnsi="Arial"/>
          <w:sz w:val="18"/>
          <w:szCs w:val="18"/>
          <w:color w:val="auto"/>
        </w:rPr>
        <w:t xml:space="preserve"> percentile and 75</w:t>
      </w:r>
      <w:r>
        <w:rPr>
          <w:rFonts w:ascii="Arial" w:cs="Arial" w:eastAsia="Arial" w:hAnsi="Arial"/>
          <w:sz w:val="14"/>
          <w:szCs w:val="14"/>
          <w:color w:val="auto"/>
        </w:rPr>
        <w:t>th</w:t>
      </w:r>
      <w:r>
        <w:rPr>
          <w:rFonts w:ascii="Arial" w:cs="Arial" w:eastAsia="Arial" w:hAnsi="Arial"/>
          <w:sz w:val="18"/>
          <w:szCs w:val="18"/>
          <w:color w:val="auto"/>
        </w:rPr>
        <w:t xml:space="preserve"> percentile of executive officers performing similar job functions at the companies in both the peer group survey and the published surveys described above that were reviewed. The same peer group survey was used to consider compensation for the Chief Executive Officer and the executive officers responsible for operations. The published surveys described above are used to consider compensation for the Chief Executive Officer and all the named executive officers. The Committee also reviews a range of market pay for similarly-situated executive officers. It also compares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seeks to give each executive officer the opportunity to earn more than the median of the total compensation paid to executive officers performing similar job functions at the peer companies for outstanding performance, which can be difficult to achieve. The Committee uses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76" w:lineRule="exact"/>
        <w:rPr>
          <w:sz w:val="20"/>
          <w:szCs w:val="20"/>
          <w:color w:val="auto"/>
        </w:rPr>
      </w:pPr>
    </w:p>
    <w:p>
      <w:pPr>
        <w:ind w:left="980" w:right="40" w:firstLine="609"/>
        <w:spacing w:after="0" w:line="273" w:lineRule="auto"/>
        <w:rPr>
          <w:sz w:val="20"/>
          <w:szCs w:val="20"/>
          <w:color w:val="auto"/>
        </w:rPr>
      </w:pPr>
      <w:r>
        <w:rPr>
          <w:rFonts w:ascii="Arial" w:cs="Arial" w:eastAsia="Arial" w:hAnsi="Arial"/>
          <w:sz w:val="18"/>
          <w:szCs w:val="18"/>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the Corporation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1291590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60"/>
        <w:spacing w:after="0" w:line="260" w:lineRule="auto"/>
        <w:rPr>
          <w:sz w:val="20"/>
          <w:szCs w:val="20"/>
          <w:color w:val="auto"/>
        </w:rPr>
      </w:pPr>
      <w:r>
        <w:rPr>
          <w:rFonts w:ascii="Arial" w:cs="Arial" w:eastAsia="Arial" w:hAnsi="Arial"/>
          <w:sz w:val="20"/>
          <w:szCs w:val="20"/>
          <w:color w:val="auto"/>
        </w:rPr>
        <w:t>median. Long-term compensation to executive officers is based on specific performance measurements as discussed below for each component of compensation.</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Compensation Structure and Awards for 2010</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The Committee periodically reviews the components of the Corporation’s executive compensation program to ensure that pay levels are competitive and that incentive opportunities are effective in attracting and retaining talented employees. Consistent with the Committee’s approach in prior years, the 2010 executive compensation program was based on the following principles:</w:t>
      </w:r>
    </w:p>
    <w:p>
      <w:pPr>
        <w:spacing w:after="0" w:line="97" w:lineRule="exact"/>
        <w:rPr>
          <w:sz w:val="20"/>
          <w:szCs w:val="20"/>
          <w:color w:val="auto"/>
        </w:rPr>
      </w:pPr>
    </w:p>
    <w:p>
      <w:pPr>
        <w:ind w:left="1800" w:right="120" w:hanging="208"/>
        <w:spacing w:after="0" w:line="250" w:lineRule="auto"/>
        <w:tabs>
          <w:tab w:leader="none" w:pos="1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 salaries that provide a base level of compensation targeted to the median level of salaries paid to officers in comparable companies with perceived comparable responsibilities, adjusted for each individual to reflect the factors discussed above.</w:t>
      </w:r>
    </w:p>
    <w:p>
      <w:pPr>
        <w:spacing w:after="0" w:line="78" w:lineRule="exact"/>
        <w:rPr>
          <w:rFonts w:ascii="Arial" w:cs="Arial" w:eastAsia="Arial" w:hAnsi="Arial"/>
          <w:sz w:val="20"/>
          <w:szCs w:val="20"/>
          <w:color w:val="auto"/>
        </w:rPr>
      </w:pPr>
    </w:p>
    <w:p>
      <w:pPr>
        <w:ind w:left="1800" w:right="100" w:hanging="208"/>
        <w:spacing w:after="0" w:line="260" w:lineRule="auto"/>
        <w:tabs>
          <w:tab w:leader="none" w:pos="1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Annual cash bonuses that award recipients if they achieve or exceed performance results against established targeted corporate and personal goals.</w:t>
      </w:r>
    </w:p>
    <w:p>
      <w:pPr>
        <w:spacing w:after="0" w:line="68" w:lineRule="exact"/>
        <w:rPr>
          <w:rFonts w:ascii="Arial" w:cs="Arial" w:eastAsia="Arial" w:hAnsi="Arial"/>
          <w:sz w:val="20"/>
          <w:szCs w:val="20"/>
          <w:color w:val="auto"/>
        </w:rPr>
      </w:pPr>
    </w:p>
    <w:p>
      <w:pPr>
        <w:ind w:left="1800" w:right="160" w:hanging="208"/>
        <w:spacing w:after="0" w:line="260" w:lineRule="auto"/>
        <w:tabs>
          <w:tab w:leader="none" w:pos="1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Stock purchase awards that encourage stock ownership and reward future stock price appreciation by permitting the recipients to purchase stock at a discount with cash from bonus awards.</w:t>
      </w:r>
    </w:p>
    <w:p>
      <w:pPr>
        <w:spacing w:after="0" w:line="68" w:lineRule="exact"/>
        <w:rPr>
          <w:rFonts w:ascii="Arial" w:cs="Arial" w:eastAsia="Arial" w:hAnsi="Arial"/>
          <w:sz w:val="20"/>
          <w:szCs w:val="20"/>
          <w:color w:val="auto"/>
        </w:rPr>
      </w:pPr>
    </w:p>
    <w:p>
      <w:pPr>
        <w:ind w:left="1800" w:hanging="208"/>
        <w:spacing w:after="0" w:line="250" w:lineRule="auto"/>
        <w:tabs>
          <w:tab w:leader="none" w:pos="1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Long-term equity compensation that links officers’ rewards directly to the return realized by the Corporation’s shareholders. This component includes both stock options and restricted stock awards, both of which are based on the Corporation’s performance.</w:t>
      </w:r>
    </w:p>
    <w:p>
      <w:pPr>
        <w:spacing w:after="0" w:line="78" w:lineRule="exact"/>
        <w:rPr>
          <w:rFonts w:ascii="Arial" w:cs="Arial" w:eastAsia="Arial" w:hAnsi="Arial"/>
          <w:sz w:val="20"/>
          <w:szCs w:val="20"/>
          <w:color w:val="auto"/>
        </w:rPr>
      </w:pPr>
    </w:p>
    <w:p>
      <w:pPr>
        <w:ind w:left="1800" w:right="380" w:hanging="208"/>
        <w:spacing w:after="0" w:line="287" w:lineRule="auto"/>
        <w:tabs>
          <w:tab w:leader="none" w:pos="18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Retirement and other benefits that are designed to attract and retain employees. The level of retirement payments reward employees who remain with the Corporation for longer periods of employment.</w:t>
      </w:r>
    </w:p>
    <w:p>
      <w:pPr>
        <w:spacing w:after="0" w:line="58"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When setting total compensation for each of the named executive officers, the Committee reviewed in 2010 tally sheets that showed the executive’s total current compensation, including equity and non-equity based compensation. In establishing specific award levels in 2010,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Base Salary</w:t>
      </w:r>
    </w:p>
    <w:p>
      <w:pPr>
        <w:spacing w:after="0" w:line="121"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The Corporation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the Corporation,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2009, no increase in base salary was given to any of the Corporation’s executive officers, including the Chief Executive Officer, as part of the Corporation’s initiative to control costs in response to the severe economic recession. In 2010, an increase of 3% from 2008 base salaries was awarded to each executive officer in furtherance of executive management’s efforts to manage costs. The 2010 increase was lower than previous base salary increases given to the executive officers. Base salary in 2010 for executive officers other than Mr. Nye was at approximately the median range of the compensation peer group in 2010.</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802640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160" w:firstLine="609"/>
        <w:spacing w:after="0" w:line="258" w:lineRule="auto"/>
        <w:rPr>
          <w:sz w:val="20"/>
          <w:szCs w:val="20"/>
          <w:color w:val="auto"/>
        </w:rPr>
      </w:pPr>
      <w:r>
        <w:rPr>
          <w:rFonts w:ascii="Arial" w:cs="Arial" w:eastAsia="Arial" w:hAnsi="Arial"/>
          <w:sz w:val="19"/>
          <w:szCs w:val="19"/>
          <w:color w:val="auto"/>
        </w:rPr>
        <w:t>In assessing the Chief Executive Officer’s base salary for 2010, the Committee approved a base salary of $800,000 for Mr. Nye in conjunction with his promotion to Chief Executive Officer. This 19.4% increase was awarded based on the significant increase in responsibilities Mr. Nye was given as well as his excellent achievements acting as Chief Operating Officer since 2006 in a challenging economic environment. The Committee reviewed base salary data and total compensation data for chief executive officers in the compensation studies described above. It also considered the advice of Towers Watson. Mr. Nye’s base salary and annual incentive bonus compensation for 2010 were below the median range of peers indicated by the compensation studies.</w:t>
      </w:r>
    </w:p>
    <w:p>
      <w:pPr>
        <w:spacing w:after="0" w:line="95"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5000" w:type="dxa"/>
            <w:vAlign w:val="bottom"/>
            <w:tcBorders>
              <w:top w:val="single" w:sz="8" w:color="auto"/>
              <w:left w:val="single" w:sz="8" w:color="auto"/>
            </w:tcBorders>
          </w:tcPr>
          <w:p>
            <w:pPr>
              <w:ind w:left="60"/>
              <w:spacing w:after="0" w:line="139" w:lineRule="exact"/>
              <w:rPr>
                <w:sz w:val="20"/>
                <w:szCs w:val="20"/>
                <w:color w:val="auto"/>
              </w:rPr>
            </w:pPr>
            <w:r>
              <w:rPr>
                <w:rFonts w:ascii="Arial" w:cs="Arial" w:eastAsia="Arial" w:hAnsi="Arial"/>
                <w:sz w:val="14"/>
                <w:szCs w:val="14"/>
                <w:b w:val="1"/>
                <w:bCs w:val="1"/>
                <w:color w:val="auto"/>
              </w:rPr>
              <w:t>Named</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615"/>
              <w:spacing w:after="0" w:line="139" w:lineRule="exact"/>
              <w:rPr>
                <w:sz w:val="20"/>
                <w:szCs w:val="20"/>
                <w:color w:val="auto"/>
              </w:rPr>
            </w:pPr>
            <w:r>
              <w:rPr>
                <w:rFonts w:ascii="Arial" w:cs="Arial" w:eastAsia="Arial" w:hAnsi="Arial"/>
                <w:sz w:val="14"/>
                <w:szCs w:val="14"/>
                <w:b w:val="1"/>
                <w:bCs w:val="1"/>
                <w:color w:val="auto"/>
              </w:rPr>
              <w:t>2010</w:t>
            </w:r>
          </w:p>
        </w:tc>
        <w:tc>
          <w:tcPr>
            <w:tcW w:w="1560" w:type="dxa"/>
            <w:vAlign w:val="bottom"/>
            <w:tcBorders>
              <w:top w:val="single" w:sz="8" w:color="auto"/>
            </w:tcBorders>
          </w:tcPr>
          <w:p>
            <w:pPr>
              <w:jc w:val="right"/>
              <w:ind w:right="775"/>
              <w:spacing w:after="0" w:line="139"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615"/>
              <w:spacing w:after="0" w:line="139"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15"/>
              <w:spacing w:after="0" w:line="139" w:lineRule="exact"/>
              <w:rPr>
                <w:sz w:val="20"/>
                <w:szCs w:val="20"/>
                <w:color w:val="auto"/>
              </w:rPr>
            </w:pPr>
            <w:r>
              <w:rPr>
                <w:rFonts w:ascii="Arial" w:cs="Arial" w:eastAsia="Arial" w:hAnsi="Arial"/>
                <w:sz w:val="14"/>
                <w:szCs w:val="14"/>
                <w:b w:val="1"/>
                <w:bCs w:val="1"/>
                <w:color w:val="auto"/>
              </w:rPr>
              <w:t>2008</w:t>
            </w:r>
          </w:p>
        </w:tc>
      </w:tr>
      <w:tr>
        <w:trPr>
          <w:trHeight w:val="199"/>
        </w:trPr>
        <w:tc>
          <w:tcPr>
            <w:tcW w:w="500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Executive Officer</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8"/>
              </w:rPr>
              <w:t>Base Salary</w:t>
            </w: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Salary Increase</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8"/>
              </w:rPr>
              <w:t>Base Salary</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8"/>
              </w:rPr>
              <w:t>Base Salary</w:t>
            </w:r>
          </w:p>
        </w:tc>
      </w:tr>
      <w:tr>
        <w:trPr>
          <w:trHeight w:val="223"/>
        </w:trPr>
        <w:tc>
          <w:tcPr>
            <w:tcW w:w="5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 Howard Nye</w:t>
            </w:r>
            <w:r>
              <w:rPr>
                <w:rFonts w:ascii="Arial" w:cs="Arial" w:eastAsia="Arial" w:hAnsi="Arial"/>
                <w:sz w:val="15"/>
                <w:szCs w:val="15"/>
                <w:b w:val="1"/>
                <w:bCs w:val="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800,000</w:t>
            </w:r>
          </w:p>
        </w:tc>
        <w:tc>
          <w:tcPr>
            <w:tcW w:w="15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670,000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Anne H. Lloyd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5"/>
              <w:spacing w:after="0"/>
              <w:rPr>
                <w:sz w:val="20"/>
                <w:szCs w:val="20"/>
                <w:color w:val="auto"/>
              </w:rPr>
            </w:pPr>
            <w:r>
              <w:rPr>
                <w:rFonts w:ascii="Arial" w:cs="Arial" w:eastAsia="Arial" w:hAnsi="Arial"/>
                <w:sz w:val="18"/>
                <w:szCs w:val="18"/>
                <w:color w:val="auto"/>
              </w:rPr>
              <w:t>463,500</w:t>
            </w:r>
          </w:p>
        </w:tc>
        <w:tc>
          <w:tcPr>
            <w:tcW w:w="1560" w:type="dxa"/>
            <w:vAlign w:val="bottom"/>
          </w:tcPr>
          <w:p>
            <w:pPr>
              <w:jc w:val="right"/>
              <w:ind w:right="215"/>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5"/>
              <w:spacing w:after="0"/>
              <w:rPr>
                <w:sz w:val="20"/>
                <w:szCs w:val="20"/>
                <w:color w:val="auto"/>
              </w:rPr>
            </w:pPr>
            <w:r>
              <w:rPr>
                <w:rFonts w:ascii="Arial" w:cs="Arial" w:eastAsia="Arial" w:hAnsi="Arial"/>
                <w:sz w:val="18"/>
                <w:szCs w:val="18"/>
                <w:color w:val="auto"/>
              </w:rPr>
              <w:t>450,000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450,000</w:t>
            </w:r>
          </w:p>
        </w:tc>
      </w:tr>
      <w:tr>
        <w:trPr>
          <w:trHeight w:val="216"/>
        </w:trPr>
        <w:tc>
          <w:tcPr>
            <w:tcW w:w="5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Bruce A. Vaio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453,200</w:t>
            </w:r>
          </w:p>
        </w:tc>
        <w:tc>
          <w:tcPr>
            <w:tcW w:w="15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440,000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Daniel G. Shephard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5"/>
              <w:spacing w:after="0"/>
              <w:rPr>
                <w:sz w:val="20"/>
                <w:szCs w:val="20"/>
                <w:color w:val="auto"/>
              </w:rPr>
            </w:pPr>
            <w:r>
              <w:rPr>
                <w:rFonts w:ascii="Arial" w:cs="Arial" w:eastAsia="Arial" w:hAnsi="Arial"/>
                <w:sz w:val="18"/>
                <w:szCs w:val="18"/>
                <w:color w:val="auto"/>
              </w:rPr>
              <w:t>453,200</w:t>
            </w:r>
          </w:p>
        </w:tc>
        <w:tc>
          <w:tcPr>
            <w:tcW w:w="1560" w:type="dxa"/>
            <w:vAlign w:val="bottom"/>
          </w:tcPr>
          <w:p>
            <w:pPr>
              <w:jc w:val="right"/>
              <w:ind w:right="215"/>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95"/>
              <w:spacing w:after="0"/>
              <w:rPr>
                <w:sz w:val="20"/>
                <w:szCs w:val="20"/>
                <w:color w:val="auto"/>
              </w:rPr>
            </w:pPr>
            <w:r>
              <w:rPr>
                <w:rFonts w:ascii="Arial" w:cs="Arial" w:eastAsia="Arial" w:hAnsi="Arial"/>
                <w:sz w:val="18"/>
                <w:szCs w:val="18"/>
                <w:color w:val="auto"/>
              </w:rPr>
              <w:t>440,000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440,000</w:t>
            </w:r>
          </w:p>
        </w:tc>
      </w:tr>
      <w:tr>
        <w:trPr>
          <w:trHeight w:val="216"/>
        </w:trPr>
        <w:tc>
          <w:tcPr>
            <w:tcW w:w="500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Stephen P. Zelnak, Jr.</w:t>
            </w:r>
            <w:r>
              <w:rPr>
                <w:rFonts w:ascii="Arial" w:cs="Arial" w:eastAsia="Arial" w:hAnsi="Arial"/>
                <w:sz w:val="15"/>
                <w:szCs w:val="15"/>
                <w:b w:val="1"/>
                <w:bCs w:val="1"/>
                <w:color w:val="auto"/>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1,125,000</w:t>
            </w:r>
          </w:p>
        </w:tc>
        <w:tc>
          <w:tcPr>
            <w:tcW w:w="15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1,125,000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1,125,000</w:t>
            </w:r>
          </w:p>
        </w:tc>
      </w:tr>
    </w:tbl>
    <w:p>
      <w:pPr>
        <w:spacing w:after="0" w:line="143" w:lineRule="exact"/>
        <w:rPr>
          <w:sz w:val="20"/>
          <w:szCs w:val="20"/>
          <w:color w:val="auto"/>
        </w:rPr>
      </w:pPr>
    </w:p>
    <w:p>
      <w:pPr>
        <w:ind w:left="1220" w:hanging="242"/>
        <w:spacing w:after="0"/>
        <w:tabs>
          <w:tab w:leader="none" w:pos="1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Nye was promoted to Chief Executive Officer on January 1, 2010.</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Zelnak retired as Executive Chairman on May 27, 2010. He was paid $468,750 in base salary in 2010.</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Annual Bonus Compensation</w:t>
      </w:r>
    </w:p>
    <w:p>
      <w:pPr>
        <w:spacing w:after="0" w:line="121"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We award annual cash bonuses based on corporate performance objectives and the achievement of individualized targeted goals. This furthers the Corporation’s compensation philosophy in that it encourages superior performance and rewards the achievement of the Corporation’s annual goals. In 2010, under the Corporation’s Executive Incentive Plan, the amount of bonus that an executive could receive was based upon a percentage of that executive’s base salary. In 2010, all of the executive officers participated in the plan, except for Mr. Nye and Mr. Zelnak, for whom bonus compensation was awarded outside of the plan.</w:t>
      </w:r>
    </w:p>
    <w:p>
      <w:pPr>
        <w:spacing w:after="0" w:line="102" w:lineRule="exact"/>
        <w:rPr>
          <w:sz w:val="20"/>
          <w:szCs w:val="20"/>
          <w:color w:val="auto"/>
        </w:rPr>
      </w:pPr>
    </w:p>
    <w:p>
      <w:pPr>
        <w:ind w:left="980" w:right="140" w:firstLine="609"/>
        <w:spacing w:after="0" w:line="321" w:lineRule="auto"/>
        <w:rPr>
          <w:sz w:val="20"/>
          <w:szCs w:val="20"/>
          <w:color w:val="auto"/>
        </w:rPr>
      </w:pPr>
      <w:r>
        <w:rPr>
          <w:rFonts w:ascii="Arial" w:cs="Arial" w:eastAsia="Arial" w:hAnsi="Arial"/>
          <w:sz w:val="16"/>
          <w:szCs w:val="16"/>
          <w:color w:val="auto"/>
        </w:rPr>
        <w:t xml:space="preserve">In determining awards granted under the plan, the Committee first reviews the achievements of the Corporation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safety, customer satisfaction, and product quality.</w:t>
      </w:r>
    </w:p>
    <w:p>
      <w:pPr>
        <w:spacing w:after="0" w:line="39" w:lineRule="exact"/>
        <w:rPr>
          <w:sz w:val="20"/>
          <w:szCs w:val="20"/>
          <w:color w:val="auto"/>
        </w:rPr>
      </w:pPr>
    </w:p>
    <w:p>
      <w:pPr>
        <w:ind w:left="980" w:right="60" w:firstLine="609"/>
        <w:spacing w:after="0" w:line="310" w:lineRule="auto"/>
        <w:rPr>
          <w:sz w:val="20"/>
          <w:szCs w:val="20"/>
          <w:color w:val="auto"/>
        </w:rPr>
      </w:pPr>
      <w:r>
        <w:rPr>
          <w:rFonts w:ascii="Arial" w:cs="Arial" w:eastAsia="Arial" w:hAnsi="Arial"/>
          <w:sz w:val="16"/>
          <w:szCs w:val="16"/>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the Corporation as a whole and for individual business units, and subjective measures, such as the individual’s overall contribution to the Corporation,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2010, the target bonus level set for each of the named executive officers was a percentage of such officer’s base salary: 80% for Ms. Lloyd, Mr. Shephard and Mr. Vaio. The maximum is 150% of target commensurate with performance at that “stretch” level. There is no threshold since there is no guaranteed bonus if the performance goals are not met.</w:t>
      </w:r>
    </w:p>
    <w:p>
      <w:pPr>
        <w:spacing w:after="0" w:line="49" w:lineRule="exact"/>
        <w:rPr>
          <w:sz w:val="20"/>
          <w:szCs w:val="20"/>
          <w:color w:val="auto"/>
        </w:rPr>
      </w:pPr>
    </w:p>
    <w:p>
      <w:pPr>
        <w:jc w:val="both"/>
        <w:ind w:left="980" w:firstLine="609"/>
        <w:spacing w:after="0" w:line="250" w:lineRule="auto"/>
        <w:rPr>
          <w:sz w:val="20"/>
          <w:szCs w:val="20"/>
          <w:color w:val="auto"/>
        </w:rPr>
      </w:pPr>
      <w:r>
        <w:rPr>
          <w:rFonts w:ascii="Arial" w:cs="Arial" w:eastAsia="Arial" w:hAnsi="Arial"/>
          <w:sz w:val="20"/>
          <w:szCs w:val="20"/>
          <w:color w:val="auto"/>
        </w:rPr>
        <w:t>The objective goals vary by the position of the executive officer. They are established at the beginning of each plan year and are based upon the Corporation’s Long Range Operating Plan, which is set at the end of the previous year. For executives in corporate staff positions, 50% of the determination is made with respect to</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1042670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60"/>
        <w:spacing w:after="0" w:line="342" w:lineRule="auto"/>
        <w:rPr>
          <w:sz w:val="20"/>
          <w:szCs w:val="20"/>
          <w:color w:val="auto"/>
        </w:rPr>
      </w:pPr>
      <w:r>
        <w:rPr>
          <w:rFonts w:ascii="Arial" w:cs="Arial" w:eastAsia="Arial" w:hAnsi="Arial"/>
          <w:sz w:val="16"/>
          <w:szCs w:val="16"/>
          <w:color w:val="auto"/>
        </w:rPr>
        <w:t>the Corporation’s performance and 50% is based on the individual’s performance against established objectives. For executives with operating unit responsibility, 40% of the determination is made with respect to the operating unit’s performance, 25% is based on the Corporation’s performance and 35% is based on the individual’s performance against established objectives.</w:t>
      </w:r>
    </w:p>
    <w:p>
      <w:pPr>
        <w:spacing w:after="0" w:line="24" w:lineRule="exact"/>
        <w:rPr>
          <w:sz w:val="20"/>
          <w:szCs w:val="20"/>
          <w:color w:val="auto"/>
        </w:rPr>
      </w:pPr>
    </w:p>
    <w:p>
      <w:pPr>
        <w:ind w:left="980" w:right="120" w:firstLine="609"/>
        <w:spacing w:after="0" w:line="276" w:lineRule="auto"/>
        <w:rPr>
          <w:sz w:val="20"/>
          <w:szCs w:val="20"/>
          <w:color w:val="auto"/>
        </w:rPr>
      </w:pPr>
      <w:r>
        <w:rPr>
          <w:rFonts w:ascii="Arial" w:cs="Arial" w:eastAsia="Arial" w:hAnsi="Arial"/>
          <w:sz w:val="18"/>
          <w:szCs w:val="18"/>
          <w:color w:val="auto"/>
        </w:rPr>
        <w:t>The individualized target goals are tailored for each executive, his or her specific areas of responsibility and the then-current and longer term goals of the Corporation. In addition, achievement of the goals typically is in part dependent on conditions outside the control of each of the named executive officer. For example, we have a strong focus on safety in our business. Regardless of the achievement of other targets, incentive awards are reduced for all employees in the event of any workplace fatality in the Corporation. Similarly, our business may be adversely affected by hurricanes or other weather-related conditions, which could have the result of impeding the achievement of certain performance-based goals.</w:t>
      </w:r>
    </w:p>
    <w:p>
      <w:pPr>
        <w:spacing w:after="0" w:line="71" w:lineRule="exact"/>
        <w:rPr>
          <w:sz w:val="20"/>
          <w:szCs w:val="20"/>
          <w:color w:val="auto"/>
        </w:rPr>
      </w:pPr>
    </w:p>
    <w:p>
      <w:pPr>
        <w:ind w:left="980" w:right="20" w:firstLine="609"/>
        <w:spacing w:after="0" w:line="246" w:lineRule="auto"/>
        <w:rPr>
          <w:sz w:val="20"/>
          <w:szCs w:val="20"/>
          <w:color w:val="auto"/>
        </w:rPr>
      </w:pPr>
      <w:r>
        <w:rPr>
          <w:rFonts w:ascii="Arial" w:cs="Arial" w:eastAsia="Arial" w:hAnsi="Arial"/>
          <w:sz w:val="20"/>
          <w:szCs w:val="20"/>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97" w:lineRule="exact"/>
        <w:rPr>
          <w:sz w:val="20"/>
          <w:szCs w:val="20"/>
          <w:color w:val="auto"/>
        </w:rPr>
      </w:pPr>
    </w:p>
    <w:p>
      <w:pPr>
        <w:ind w:left="980" w:right="140" w:firstLine="609"/>
        <w:spacing w:after="0" w:line="257" w:lineRule="auto"/>
        <w:rPr>
          <w:sz w:val="20"/>
          <w:szCs w:val="20"/>
          <w:color w:val="auto"/>
        </w:rPr>
      </w:pPr>
      <w:r>
        <w:rPr>
          <w:rFonts w:ascii="Arial" w:cs="Arial" w:eastAsia="Arial" w:hAnsi="Arial"/>
          <w:sz w:val="19"/>
          <w:szCs w:val="19"/>
          <w:color w:val="auto"/>
        </w:rPr>
        <w:t>The bonus level for 2010 for the named executive officers was in the range of 72-75% of target as a result of the Corporation’s lower financial performance in 2010 even though the named executive officers achieved near their target levels on the individualized personal goals. The factors that the Committee took into account in determining the Corporation’s performance in 2010 included a detailed assessment of the Corporation’s overall financial performance and each segment’s financial performance, the Corporation’s continuing successful cost management and automation initiatives in a challenging economic environment, record safety results with the Corporation’s best safety performance and an improvement of 14% in total case incident rate over the prior year’s record low rate, outstanding environmental and regulatory compliance results, and continuing achievement of excellent management of working capital.</w:t>
      </w:r>
    </w:p>
    <w:p>
      <w:pPr>
        <w:spacing w:after="0" w:line="87" w:lineRule="exact"/>
        <w:rPr>
          <w:sz w:val="20"/>
          <w:szCs w:val="20"/>
          <w:color w:val="auto"/>
        </w:rPr>
      </w:pPr>
    </w:p>
    <w:p>
      <w:pPr>
        <w:ind w:left="980" w:right="40" w:firstLine="609"/>
        <w:spacing w:after="0" w:line="271" w:lineRule="auto"/>
        <w:rPr>
          <w:sz w:val="20"/>
          <w:szCs w:val="20"/>
          <w:color w:val="auto"/>
        </w:rPr>
      </w:pPr>
      <w:r>
        <w:rPr>
          <w:rFonts w:ascii="Arial" w:cs="Arial" w:eastAsia="Arial" w:hAnsi="Arial"/>
          <w:sz w:val="18"/>
          <w:szCs w:val="18"/>
          <w:color w:val="auto"/>
        </w:rPr>
        <w:t>The Chief Executive Officer does not participate in the Corporation’s Executive Incentive Plan and his bonus, if any, is determined at the discretion of the Committee. Generally, his bonus level is approximately 100% of his base salary although there is no specific target for the Chief Executive Officer’s bonus. The Committee did not attempt to set Mr. Nye’s 2010 bonus in any particular relationship to peer compensation survey data. The Committee awarded him an annual incentive bonus of $600,000 for 2010, which was 75% of his base salary, after considering many diverse factors, including the advice of Towers Watson.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2010, the Committee took into account the same type of objective performance measures and qualitative measures, such as the effectiveness and quality of Mr. Nye’s leadership of the Corporation, as it would typically consider for executive officers who receive awards under the plan.</w:t>
      </w:r>
    </w:p>
    <w:p>
      <w:pPr>
        <w:spacing w:after="0" w:line="76"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The following achievements were considered by the Committee in determining Mr. Nye’s 2010 bonus:</w:t>
      </w:r>
    </w:p>
    <w:p>
      <w:pPr>
        <w:spacing w:after="0" w:line="121" w:lineRule="exact"/>
        <w:rPr>
          <w:sz w:val="20"/>
          <w:szCs w:val="20"/>
          <w:color w:val="auto"/>
        </w:rPr>
      </w:pPr>
    </w:p>
    <w:p>
      <w:pPr>
        <w:ind w:left="1800" w:hanging="208"/>
        <w:spacing w:after="0" w:line="260" w:lineRule="auto"/>
        <w:tabs>
          <w:tab w:leader="none" w:pos="1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Earnings per share of $2.10 compared with $1.91 in 2009, despite a volume increase of only 5% over prior year and a volume decline of 40% since the peak of the cycle in 2006.</w:t>
      </w:r>
    </w:p>
    <w:p>
      <w:pPr>
        <w:spacing w:after="0" w:line="68" w:lineRule="exact"/>
        <w:rPr>
          <w:rFonts w:ascii="Arial" w:cs="Arial" w:eastAsia="Arial" w:hAnsi="Arial"/>
          <w:sz w:val="20"/>
          <w:szCs w:val="20"/>
          <w:color w:val="auto"/>
        </w:rPr>
      </w:pPr>
    </w:p>
    <w:p>
      <w:pPr>
        <w:ind w:left="1800" w:hanging="208"/>
        <w:spacing w:after="0"/>
        <w:tabs>
          <w:tab w:leader="none" w:pos="18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Specialty Products earnings from operations of a record $50.6 million compared with $35.7 million in 2009.</w:t>
      </w:r>
    </w:p>
    <w:p>
      <w:pPr>
        <w:spacing w:after="0" w:line="119" w:lineRule="exact"/>
        <w:rPr>
          <w:rFonts w:ascii="Arial" w:cs="Arial" w:eastAsia="Arial" w:hAnsi="Arial"/>
          <w:sz w:val="19"/>
          <w:szCs w:val="19"/>
          <w:color w:val="auto"/>
        </w:rPr>
      </w:pPr>
    </w:p>
    <w:p>
      <w:pPr>
        <w:ind w:left="1800" w:right="360" w:hanging="208"/>
        <w:spacing w:after="0" w:line="260" w:lineRule="auto"/>
        <w:tabs>
          <w:tab w:leader="none" w:pos="1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Consolidated operating margin (excluding freight and delivery revenues) of 12.7%, an increase of 20 basis points from 2009.</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1223010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0" w:hanging="208"/>
        <w:spacing w:after="0"/>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stringent focus on reducing costs, including overtime, SG&amp;A, and discretionary expenses.</w:t>
      </w:r>
    </w:p>
    <w:p>
      <w:pPr>
        <w:spacing w:after="0" w:line="107" w:lineRule="exact"/>
        <w:rPr>
          <w:rFonts w:ascii="Arial" w:cs="Arial" w:eastAsia="Arial" w:hAnsi="Arial"/>
          <w:sz w:val="20"/>
          <w:szCs w:val="20"/>
          <w:color w:val="auto"/>
        </w:rPr>
      </w:pPr>
    </w:p>
    <w:p>
      <w:pPr>
        <w:ind w:left="1800" w:hanging="208"/>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record employee safety performance, including further improvement in total injury incidence rates.</w:t>
      </w:r>
    </w:p>
    <w:p>
      <w:pPr>
        <w:spacing w:after="0" w:line="130" w:lineRule="exact"/>
        <w:rPr>
          <w:rFonts w:ascii="Arial" w:cs="Arial" w:eastAsia="Arial" w:hAnsi="Arial"/>
          <w:sz w:val="18"/>
          <w:szCs w:val="18"/>
          <w:color w:val="auto"/>
        </w:rPr>
      </w:pPr>
    </w:p>
    <w:p>
      <w:pPr>
        <w:ind w:left="1800" w:right="20" w:hanging="208"/>
        <w:spacing w:after="0" w:line="260" w:lineRule="auto"/>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successful completion of transition of leadership in the Corporation as reflected by Mr. Nye’s promotion to Chief Executive Officer.</w:t>
      </w:r>
    </w:p>
    <w:p>
      <w:pPr>
        <w:spacing w:after="0" w:line="68" w:lineRule="exact"/>
        <w:rPr>
          <w:rFonts w:ascii="Arial" w:cs="Arial" w:eastAsia="Arial" w:hAnsi="Arial"/>
          <w:sz w:val="20"/>
          <w:szCs w:val="20"/>
          <w:color w:val="auto"/>
        </w:rPr>
      </w:pPr>
    </w:p>
    <w:p>
      <w:pPr>
        <w:ind w:left="1800" w:right="280" w:hanging="208"/>
        <w:spacing w:after="0" w:line="260" w:lineRule="auto"/>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Excellent balance sheet management that allowed the Corporation to respond to marketplace opportunities, pay its debt obligations as they matured and retain its investment grade rating.</w:t>
      </w:r>
    </w:p>
    <w:p>
      <w:pPr>
        <w:spacing w:after="0" w:line="68" w:lineRule="exact"/>
        <w:rPr>
          <w:rFonts w:ascii="Arial" w:cs="Arial" w:eastAsia="Arial" w:hAnsi="Arial"/>
          <w:sz w:val="20"/>
          <w:szCs w:val="20"/>
          <w:color w:val="auto"/>
        </w:rPr>
      </w:pPr>
    </w:p>
    <w:p>
      <w:pPr>
        <w:ind w:left="1800" w:right="220" w:hanging="208"/>
        <w:spacing w:after="0" w:line="260" w:lineRule="auto"/>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innovative use of the Corporation’s information systems to achieve new and improved applications to enhance customer service and management’s ability to analyze and manage the business.</w:t>
      </w:r>
    </w:p>
    <w:p>
      <w:pPr>
        <w:spacing w:after="0" w:line="68" w:lineRule="exact"/>
        <w:rPr>
          <w:rFonts w:ascii="Arial" w:cs="Arial" w:eastAsia="Arial" w:hAnsi="Arial"/>
          <w:sz w:val="20"/>
          <w:szCs w:val="20"/>
          <w:color w:val="auto"/>
        </w:rPr>
      </w:pPr>
    </w:p>
    <w:p>
      <w:pPr>
        <w:ind w:left="1800" w:right="340" w:hanging="208"/>
        <w:spacing w:after="0" w:line="260" w:lineRule="auto"/>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 significant deficiencies or material weaknesses in the design or operation of the Corporation’s internal control over financial reporting.</w:t>
      </w:r>
    </w:p>
    <w:p>
      <w:pPr>
        <w:spacing w:after="0" w:line="68" w:lineRule="exact"/>
        <w:rPr>
          <w:rFonts w:ascii="Arial" w:cs="Arial" w:eastAsia="Arial" w:hAnsi="Arial"/>
          <w:sz w:val="20"/>
          <w:szCs w:val="20"/>
          <w:color w:val="auto"/>
        </w:rPr>
      </w:pPr>
    </w:p>
    <w:p>
      <w:pPr>
        <w:ind w:left="1800" w:right="200" w:hanging="208"/>
        <w:spacing w:after="0" w:line="250" w:lineRule="auto"/>
        <w:tabs>
          <w:tab w:leader="none" w:pos="1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continued successful implementation of the Corporation’s focus on long-haul transportation to build a competitive advantage, on assembling assets in growth areas and on continuing its disciplined growth strategy with the completion and integration of acquisitions in Florida and South Carolina.</w:t>
      </w:r>
    </w:p>
    <w:p>
      <w:pPr>
        <w:spacing w:after="0" w:line="92" w:lineRule="exact"/>
        <w:rPr>
          <w:sz w:val="20"/>
          <w:szCs w:val="20"/>
          <w:color w:val="auto"/>
        </w:rPr>
      </w:pPr>
    </w:p>
    <w:p>
      <w:pPr>
        <w:jc w:val="both"/>
        <w:ind w:left="980" w:right="280" w:firstLine="609"/>
        <w:spacing w:after="0" w:line="250" w:lineRule="auto"/>
        <w:rPr>
          <w:sz w:val="20"/>
          <w:szCs w:val="20"/>
          <w:color w:val="auto"/>
        </w:rPr>
      </w:pPr>
      <w:r>
        <w:rPr>
          <w:rFonts w:ascii="Arial" w:cs="Arial" w:eastAsia="Arial" w:hAnsi="Arial"/>
          <w:sz w:val="20"/>
          <w:szCs w:val="20"/>
          <w:color w:val="auto"/>
        </w:rPr>
        <w:t>The Committee also considered the performance of the Corporation as compared to its peers and bonuses awarded to executives in comparable positions in the compensation studies discussed above, as well as the bonuses awarded to the other named executives in 2010.</w:t>
      </w:r>
    </w:p>
    <w:p>
      <w:pPr>
        <w:spacing w:after="0" w:line="92" w:lineRule="exact"/>
        <w:rPr>
          <w:sz w:val="20"/>
          <w:szCs w:val="20"/>
          <w:color w:val="auto"/>
        </w:rPr>
      </w:pPr>
    </w:p>
    <w:p>
      <w:pPr>
        <w:ind w:left="980" w:right="80" w:firstLine="609"/>
        <w:spacing w:after="0" w:line="259" w:lineRule="auto"/>
        <w:rPr>
          <w:sz w:val="20"/>
          <w:szCs w:val="20"/>
          <w:color w:val="auto"/>
        </w:rPr>
      </w:pPr>
      <w:r>
        <w:rPr>
          <w:rFonts w:ascii="Arial" w:cs="Arial" w:eastAsia="Arial" w:hAnsi="Arial"/>
          <w:sz w:val="19"/>
          <w:szCs w:val="19"/>
          <w:color w:val="auto"/>
        </w:rPr>
        <w:t>The Committee also awarded an annual bonus to Mr. Zelnak for his contributions to the Corporation’s achievements in 2010 during his tenure as Executive Chairman from January to May, 2010. The Committee took into account the compensation studies discussed above and the advice of Towers Watson in making this award. The bonus amount to Mr. Zelnak for 2010 of $335,000 represented a pro rata portion of an annual bonus reflecting the number of months he served as an executive officer, and was based on approximately 72% of his base salary in 2010. This was in the range of annual incentive bonuses paid to the other named executive officers in 2010.</w:t>
      </w:r>
    </w:p>
    <w:p>
      <w:pPr>
        <w:spacing w:after="0" w:line="84" w:lineRule="exact"/>
        <w:rPr>
          <w:sz w:val="20"/>
          <w:szCs w:val="20"/>
          <w:color w:val="auto"/>
        </w:rPr>
      </w:pPr>
    </w:p>
    <w:p>
      <w:pPr>
        <w:ind w:left="980" w:right="200" w:firstLine="609"/>
        <w:spacing w:after="0" w:line="246" w:lineRule="auto"/>
        <w:rPr>
          <w:sz w:val="20"/>
          <w:szCs w:val="20"/>
          <w:color w:val="auto"/>
        </w:rPr>
      </w:pPr>
      <w:r>
        <w:rPr>
          <w:rFonts w:ascii="Arial" w:cs="Arial" w:eastAsia="Arial" w:hAnsi="Arial"/>
          <w:sz w:val="20"/>
          <w:szCs w:val="20"/>
          <w:color w:val="auto"/>
        </w:rPr>
        <w:t>Because a subjective analysis of performance criteria was used in determining the bonus compensation paid under the Executive Incentive Plan and the bonus compensation paid to Mr. Nye and Mr. Zelnak, the bonus compensation does not qualify for the performance-based exception to the $1,000,000 limit on deductibility of executive officer compensation under Section 162(m) of the Internal Revenue Code of 1986.</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Performance-Based Stock Purchase Awards</w:t>
      </w:r>
    </w:p>
    <w:p>
      <w:pPr>
        <w:spacing w:after="0" w:line="12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the Corporation’s common stock on the date the amount of the bonus is determined. Participation in the plan is elective, except that all senior officers of the Corporation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 If an executive officer voluntarily terminates employment before the units vest in three years, the stock units are forfeited and the executive officer receives a cash payment equal to the lower of the cash that was invested or the fair value of the share units on the day of termination.</w:t>
      </w:r>
    </w:p>
    <w:p>
      <w:pPr>
        <w:spacing w:after="0" w:line="87" w:lineRule="exact"/>
        <w:rPr>
          <w:sz w:val="20"/>
          <w:szCs w:val="20"/>
          <w:color w:val="auto"/>
        </w:rPr>
      </w:pPr>
    </w:p>
    <w:p>
      <w:pPr>
        <w:ind w:left="980" w:right="540" w:firstLine="609"/>
        <w:spacing w:after="0" w:line="260" w:lineRule="auto"/>
        <w:rPr>
          <w:sz w:val="20"/>
          <w:szCs w:val="20"/>
          <w:color w:val="auto"/>
        </w:rPr>
      </w:pPr>
      <w:r>
        <w:rPr>
          <w:rFonts w:ascii="Arial" w:cs="Arial" w:eastAsia="Arial" w:hAnsi="Arial"/>
          <w:sz w:val="20"/>
          <w:szCs w:val="20"/>
          <w:color w:val="auto"/>
        </w:rPr>
        <w:t>The mandatory contribution requirement directly links a portion of executive officer compensation to shareholder returns. The vesting aspect combined with the yearly stock purchase requirement creates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80" w:right="460"/>
        <w:spacing w:after="0" w:line="250" w:lineRule="auto"/>
        <w:rPr>
          <w:sz w:val="20"/>
          <w:szCs w:val="20"/>
          <w:color w:val="auto"/>
        </w:rPr>
      </w:pPr>
      <w:r>
        <w:rPr>
          <w:rFonts w:ascii="Arial" w:cs="Arial" w:eastAsia="Arial" w:hAnsi="Arial"/>
          <w:sz w:val="20"/>
          <w:szCs w:val="20"/>
          <w:color w:val="auto"/>
        </w:rPr>
        <w:t>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92" w:lineRule="exact"/>
        <w:rPr>
          <w:sz w:val="20"/>
          <w:szCs w:val="20"/>
          <w:color w:val="auto"/>
        </w:rPr>
      </w:pPr>
    </w:p>
    <w:p>
      <w:pPr>
        <w:ind w:left="980" w:right="80" w:firstLine="609"/>
        <w:spacing w:after="0" w:line="282" w:lineRule="auto"/>
        <w:rPr>
          <w:sz w:val="20"/>
          <w:szCs w:val="20"/>
          <w:color w:val="auto"/>
        </w:rPr>
      </w:pPr>
      <w:r>
        <w:rPr>
          <w:rFonts w:ascii="Arial" w:cs="Arial" w:eastAsia="Arial" w:hAnsi="Arial"/>
          <w:sz w:val="18"/>
          <w:szCs w:val="18"/>
          <w:color w:val="auto"/>
        </w:rPr>
        <w:t>The Incentive Stock Plan provides that the awards vest immediately upon a participant’s reaching full retirement age. It is currently the Corporation’s practice to not allow officers to participate in this plan in the year that they plan to retire. Accordingly, Mr. Zelnak, who retired on May 27, 2010 as Executive Chairman, did not participate in this plan in connection with the bonuses paid for 2010, for which Incentive Stock Plan share units would have been granted in January 2011.</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Long Term Incentive Compensation</w:t>
      </w:r>
    </w:p>
    <w:p>
      <w:pPr>
        <w:spacing w:after="0" w:line="121" w:lineRule="exact"/>
        <w:rPr>
          <w:sz w:val="20"/>
          <w:szCs w:val="20"/>
          <w:color w:val="auto"/>
        </w:rPr>
      </w:pPr>
    </w:p>
    <w:p>
      <w:pPr>
        <w:ind w:left="980" w:firstLine="609"/>
        <w:spacing w:after="0" w:line="272" w:lineRule="auto"/>
        <w:rPr>
          <w:sz w:val="20"/>
          <w:szCs w:val="20"/>
          <w:color w:val="auto"/>
        </w:rPr>
      </w:pPr>
      <w:r>
        <w:rPr>
          <w:rFonts w:ascii="Arial" w:cs="Arial" w:eastAsia="Arial" w:hAnsi="Arial"/>
          <w:sz w:val="18"/>
          <w:szCs w:val="18"/>
          <w:color w:val="auto"/>
        </w:rPr>
        <w:t>The Corporation’s long-term compensation in 2010 was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and the Committee has designed the awards to give the participants an opportunity to exceed the median level with high performance. Accordingly, these components of the executive compensation program encourage participants to focus on the long-term performance of the Corporation and provide an opportunity for executive officers to increase their stake in the Corporation. The long-term incentive compensation program delivers more value to executive officers if the value of the Corporation’s stock increases.</w:t>
      </w:r>
    </w:p>
    <w:p>
      <w:pPr>
        <w:spacing w:after="0" w:line="77" w:lineRule="exact"/>
        <w:rPr>
          <w:sz w:val="20"/>
          <w:szCs w:val="20"/>
          <w:color w:val="auto"/>
        </w:rPr>
      </w:pPr>
    </w:p>
    <w:p>
      <w:pPr>
        <w:ind w:left="980" w:right="120" w:firstLine="609"/>
        <w:spacing w:after="0" w:line="270" w:lineRule="auto"/>
        <w:rPr>
          <w:sz w:val="20"/>
          <w:szCs w:val="20"/>
          <w:color w:val="auto"/>
        </w:rPr>
      </w:pPr>
      <w:r>
        <w:rPr>
          <w:rFonts w:ascii="Arial" w:cs="Arial" w:eastAsia="Arial" w:hAnsi="Arial"/>
          <w:sz w:val="18"/>
          <w:szCs w:val="18"/>
          <w:i w:val="1"/>
          <w:iCs w:val="1"/>
          <w:u w:val="single" w:color="auto"/>
          <w:color w:val="auto"/>
        </w:rPr>
        <w:t>LTIP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Corporation’s long-term incentive program (LTIP Awards) consists of (1) granting a mix of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restricted stock units and (2) basing the amount of the award on the performance of the Corporation. The Committee believes that the mix provides better incentives to executive officers than either options or restricted stock units alone. In addition, a change in the accounting rules beginning in 2006 made stock options less attractive because of their impact on our financial statements. Stock options link the compensation provided to the named executive officers with gains realized by the shareholders and therefore serve to confer on recipients an ownership interest in the Corporation. These awards also assist the Corporation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82" w:lineRule="exact"/>
        <w:rPr>
          <w:sz w:val="20"/>
          <w:szCs w:val="20"/>
          <w:color w:val="auto"/>
        </w:rPr>
      </w:pPr>
    </w:p>
    <w:p>
      <w:pPr>
        <w:ind w:left="980" w:firstLine="609"/>
        <w:spacing w:after="0" w:line="258" w:lineRule="auto"/>
        <w:rPr>
          <w:sz w:val="20"/>
          <w:szCs w:val="20"/>
          <w:color w:val="auto"/>
        </w:rPr>
      </w:pPr>
      <w:r>
        <w:rPr>
          <w:rFonts w:ascii="Arial" w:cs="Arial" w:eastAsia="Arial" w:hAnsi="Arial"/>
          <w:sz w:val="19"/>
          <w:szCs w:val="19"/>
          <w:color w:val="auto"/>
        </w:rPr>
        <w:t>For each named executive officer, other than the Chief Executive Officer, the Committee derived a target dollar value for this component of compensation based on a review of equity award data in the compensation studies described above and input from Towers Watson. The target is increased each year by an amount equal to the average percentage increase in base pay for each level of officer and relevant subjective considerations, such as a promotion or expanded responsibilities. The maximum award (200%) is a stretch goal based on the Committee’s subjective determination that such level of shareholder value created by the Corporation is outstanding, and for 2010 is achieved when the Corporation’s return on invested capital is at least 6% higher than the weighted average cost of capital.</w:t>
      </w:r>
    </w:p>
    <w:p>
      <w:pPr>
        <w:spacing w:after="0" w:line="85" w:lineRule="exact"/>
        <w:rPr>
          <w:sz w:val="20"/>
          <w:szCs w:val="20"/>
          <w:color w:val="auto"/>
        </w:rPr>
      </w:pPr>
    </w:p>
    <w:p>
      <w:pPr>
        <w:ind w:left="980" w:right="500" w:firstLine="609"/>
        <w:spacing w:after="0" w:line="269" w:lineRule="auto"/>
        <w:rPr>
          <w:sz w:val="20"/>
          <w:szCs w:val="20"/>
          <w:color w:val="auto"/>
        </w:rPr>
      </w:pPr>
      <w:r>
        <w:rPr>
          <w:rFonts w:ascii="Arial" w:cs="Arial" w:eastAsia="Arial" w:hAnsi="Arial"/>
          <w:sz w:val="19"/>
          <w:szCs w:val="19"/>
          <w:color w:val="auto"/>
        </w:rPr>
        <w:t>In 2010, the Committee considered the Corporation’s performance in light of the severe nature and duration of the recession. The Committee considered the Corporation’s returns, other financial data and other factors relating to the performance of the Corporation and its competitors, including share price performance,</w:t>
      </w:r>
    </w:p>
    <w:p>
      <w:pPr>
        <w:spacing w:after="0" w:line="179"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1146175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0"/>
        <w:spacing w:after="0" w:line="258" w:lineRule="auto"/>
        <w:rPr>
          <w:sz w:val="20"/>
          <w:szCs w:val="20"/>
          <w:color w:val="auto"/>
        </w:rPr>
      </w:pPr>
      <w:r>
        <w:rPr>
          <w:rFonts w:ascii="Arial" w:cs="Arial" w:eastAsia="Arial" w:hAnsi="Arial"/>
          <w:sz w:val="19"/>
          <w:szCs w:val="19"/>
          <w:color w:val="auto"/>
        </w:rPr>
        <w:t>operating performance, margin performance, the continued unreduced payment of dividends to shareholders, outstanding cost management, strong capital structure, excellent cash flow results, achievement of a world class safety record, and other factors. It reaffirmed its compensation philosophy of utilizing long-term awards to incentivize executive officers, recognize superior job performance under the extenuating circumstances of the current recession, and retain talented managers. It also considered the significantly lower level of annual bonuses paid in 2009 and the freezing of base salaries in 2009. The Committee considered advice from Towers Watson that an award based on these metrics was appropriate to reward performance that the Committee viewed as extraordinary during the harsh economic climate.</w:t>
      </w:r>
    </w:p>
    <w:p>
      <w:pPr>
        <w:spacing w:after="0" w:line="85" w:lineRule="exact"/>
        <w:rPr>
          <w:sz w:val="20"/>
          <w:szCs w:val="20"/>
          <w:color w:val="auto"/>
        </w:rPr>
      </w:pPr>
    </w:p>
    <w:p>
      <w:pPr>
        <w:ind w:left="980" w:right="300" w:firstLine="609"/>
        <w:spacing w:after="0" w:line="243" w:lineRule="auto"/>
        <w:rPr>
          <w:sz w:val="20"/>
          <w:szCs w:val="20"/>
          <w:color w:val="auto"/>
        </w:rPr>
      </w:pPr>
      <w:r>
        <w:rPr>
          <w:rFonts w:ascii="Arial" w:cs="Arial" w:eastAsia="Arial" w:hAnsi="Arial"/>
          <w:sz w:val="20"/>
          <w:szCs w:val="20"/>
          <w:color w:val="auto"/>
        </w:rPr>
        <w:t>In light of these considerations, awards were granted in 2010 at 50% of each officer’s target. One-third of the dollar value was then converted to stock options and two-thirds of the dollar value was converted to restricted stock units using the closing price on the date of grant.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102" w:lineRule="exact"/>
        <w:rPr>
          <w:sz w:val="20"/>
          <w:szCs w:val="20"/>
          <w:color w:val="auto"/>
        </w:rPr>
      </w:pPr>
    </w:p>
    <w:p>
      <w:pPr>
        <w:ind w:left="980" w:right="40" w:firstLine="609"/>
        <w:spacing w:after="0" w:line="272" w:lineRule="auto"/>
        <w:rPr>
          <w:sz w:val="20"/>
          <w:szCs w:val="20"/>
          <w:color w:val="auto"/>
        </w:rPr>
      </w:pPr>
      <w:r>
        <w:rPr>
          <w:rFonts w:ascii="Arial" w:cs="Arial" w:eastAsia="Arial" w:hAnsi="Arial"/>
          <w:sz w:val="18"/>
          <w:szCs w:val="18"/>
          <w:color w:val="auto"/>
        </w:rPr>
        <w:t>In 2010, the Committee awarded Mr. Nye 11,196 options and 5,598 shares of restricted stock units that are subject to vesting, which the Committee believes will align this portion of Mr. Nye’s compensation directly with the Corporation’s performance over the long term. In exercising its discretion for Mr. Nye, the Committee generally follows the same procedures as are followed in determining the amount of annual bonus compensation discussed above. The Committee determined the dollar value for this component of Mr. Nye’s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 The award granted was 50% of the target for Mr. Nye.</w:t>
      </w:r>
    </w:p>
    <w:p>
      <w:pPr>
        <w:spacing w:after="0" w:line="77" w:lineRule="exact"/>
        <w:rPr>
          <w:sz w:val="20"/>
          <w:szCs w:val="20"/>
          <w:color w:val="auto"/>
        </w:rPr>
      </w:pPr>
    </w:p>
    <w:p>
      <w:pPr>
        <w:ind w:left="980" w:right="40" w:firstLine="609"/>
        <w:spacing w:after="0" w:line="272" w:lineRule="auto"/>
        <w:rPr>
          <w:sz w:val="20"/>
          <w:szCs w:val="20"/>
          <w:color w:val="auto"/>
        </w:rPr>
      </w:pPr>
      <w:r>
        <w:rPr>
          <w:rFonts w:ascii="Arial" w:cs="Arial" w:eastAsia="Arial" w:hAnsi="Arial"/>
          <w:sz w:val="18"/>
          <w:szCs w:val="18"/>
          <w:color w:val="auto"/>
        </w:rPr>
        <w:t>The stock options granted in 2010 vest ratably over 4 years and the restricted stock units vest on the fourth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the Corporation.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77" w:lineRule="exact"/>
        <w:rPr>
          <w:sz w:val="20"/>
          <w:szCs w:val="20"/>
          <w:color w:val="auto"/>
        </w:rPr>
      </w:pPr>
    </w:p>
    <w:p>
      <w:pPr>
        <w:ind w:left="980" w:firstLine="609"/>
        <w:spacing w:after="0" w:line="260" w:lineRule="auto"/>
        <w:rPr>
          <w:sz w:val="20"/>
          <w:szCs w:val="20"/>
          <w:color w:val="auto"/>
        </w:rPr>
      </w:pPr>
      <w:r>
        <w:rPr>
          <w:rFonts w:ascii="Arial" w:cs="Arial" w:eastAsia="Arial" w:hAnsi="Arial"/>
          <w:sz w:val="20"/>
          <w:szCs w:val="20"/>
          <w:color w:val="auto"/>
        </w:rPr>
        <w:t>It is currently the Corporation’s practice to not grant LTIP Awards to officers in the year they plan to retire. Accordingly, Mr. Zelnak was not granted any LTIP Awards in 2010.</w:t>
      </w:r>
    </w:p>
    <w:p>
      <w:pPr>
        <w:spacing w:after="0" w:line="82" w:lineRule="exact"/>
        <w:rPr>
          <w:sz w:val="20"/>
          <w:szCs w:val="20"/>
          <w:color w:val="auto"/>
        </w:rPr>
      </w:pPr>
    </w:p>
    <w:p>
      <w:pPr>
        <w:ind w:left="980" w:firstLine="609"/>
        <w:spacing w:after="0" w:line="273" w:lineRule="auto"/>
        <w:rPr>
          <w:sz w:val="20"/>
          <w:szCs w:val="20"/>
          <w:color w:val="auto"/>
        </w:rPr>
      </w:pPr>
      <w:r>
        <w:rPr>
          <w:rFonts w:ascii="Arial" w:cs="Arial" w:eastAsia="Arial" w:hAnsi="Arial"/>
          <w:sz w:val="18"/>
          <w:szCs w:val="18"/>
          <w:i w:val="1"/>
          <w:iCs w:val="1"/>
          <w:u w:val="single" w:color="auto"/>
          <w:color w:val="auto"/>
        </w:rPr>
        <w:t>Performance-Based Restricted Stock Unit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 2010, the Committee granted restricted stock unit awards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under the Amended and Restated Stock-Based Award Plan. These awards were in addition to the LTIP awards described in the preceding paragraphs. The Committee makes these awards in addition to the awards described above because these awards incentivize performance related to total return to shareholders relative to other public companies with which the Committee believes the Corporation competes for investors. By contrast, the awards described under the heading LTIP Awards reward the Corporation’s performance with respect to a variety of financial and other metrics, in addition to the comparable performance of other companies. These awards vest three years from the date of grant and require the executives to remain employed for the three-year period for vesting to occur. This approach offers the</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1000125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320"/>
        <w:spacing w:after="0" w:line="260" w:lineRule="auto"/>
        <w:rPr>
          <w:sz w:val="20"/>
          <w:szCs w:val="20"/>
          <w:color w:val="auto"/>
        </w:rPr>
      </w:pPr>
      <w:r>
        <w:rPr>
          <w:rFonts w:ascii="Arial" w:cs="Arial" w:eastAsia="Arial" w:hAnsi="Arial"/>
          <w:sz w:val="20"/>
          <w:szCs w:val="20"/>
          <w:color w:val="auto"/>
        </w:rPr>
        <w:t>opportunity for the value of the awards to increase if the value of the Corporation’s common stock increases, thereby further aligning the executive’s interests with those of our shareholders.</w:t>
      </w:r>
    </w:p>
    <w:p>
      <w:pPr>
        <w:spacing w:after="0" w:line="82"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color w:val="auto"/>
        </w:rPr>
        <w:t>The number of restricted stock unit awards granted in 2010 was based on the Corporation’s performance as measured by its total return on shareholders’ investment that is equally weighted and determined by a total return to shareholders ranking that has a target level of at least the 60th percentile as compared to the Standard and Poor’s index of 400 MidCap companies and to the Standard and Poor’s 1500 Basic Materials Index over the three year period ending on December 31, 2009. The target award was based on 40% of each executive officer’s base salary. The executives would have received awards at 50% of their targeted award if the Corporation achieved the threshold 30th percentile as compared to each of the comparison groups, 100% of their targeted award if the Corporation had achieved the 60th percentile level, and 200% of the targeted award if the Corporation had achieved the 75th percentile level. These percentages were selected because, at the target level, it rewards executives for performance that surpasses the comparison groups of companies. The threshold and stretch goals were determined based on the Committee’s subjective determination that these were appropriate.</w:t>
      </w:r>
    </w:p>
    <w:p>
      <w:pPr>
        <w:spacing w:after="0" w:line="80" w:lineRule="exact"/>
        <w:rPr>
          <w:sz w:val="20"/>
          <w:szCs w:val="20"/>
          <w:color w:val="auto"/>
        </w:rPr>
      </w:pPr>
    </w:p>
    <w:p>
      <w:pPr>
        <w:ind w:left="980" w:right="20" w:firstLine="609"/>
        <w:spacing w:after="0" w:line="270" w:lineRule="auto"/>
        <w:rPr>
          <w:sz w:val="20"/>
          <w:szCs w:val="20"/>
          <w:color w:val="auto"/>
        </w:rPr>
      </w:pPr>
      <w:r>
        <w:rPr>
          <w:rFonts w:ascii="Arial" w:cs="Arial" w:eastAsia="Arial" w:hAnsi="Arial"/>
          <w:sz w:val="18"/>
          <w:szCs w:val="18"/>
          <w:color w:val="auto"/>
        </w:rPr>
        <w:t>For determining the awards made with respect to 2010, the Committee noted that the Corporation performed at the 51st percentile of the companies in the Standard and Poor’s index of 400 MidCap companies and the 43rd percentile as compared to the Standard and Poor’s 1500 Basic Materials Index. Although the Corporation’s total return to shareholders was -8.2% for the three-year period, the Committee considered other factors in determining whether a performance award was appropriate. It reviewed comparative returns of the Corporation as compared to its competitors, the S&amp;P 400 index, S&amp;P 1500 Materials index, the S&amp;P 500 index, and the S&amp;P 500 Materials index for 1-year, 3-year, 5-year and 10-year periods, and recognized the Corporation’s substantial outperformance. The Committee also considered management’s excellent performance in managing costs and sustaining profitability in a severe economic environment. The Committee also took into account the lower cash and long-term awards being paid in 2009 and 2010, the importance of the long-term aspect of the Corporation’s executive compensation program, and the Committee’s desire to reward and retain its performing senior managers for good performance and to incentivize them to continue to outperform the Corporation’s peers. In evaluating the level of awards to grant for 2010, the Committee also sought the advice of Towers Watson. The Committee granted a total award in 2010 based on the Corporation’s performance at 79% of the target.</w:t>
      </w:r>
    </w:p>
    <w:p>
      <w:pPr>
        <w:spacing w:after="0" w:line="79" w:lineRule="exact"/>
        <w:rPr>
          <w:sz w:val="20"/>
          <w:szCs w:val="20"/>
          <w:color w:val="auto"/>
        </w:rPr>
      </w:pPr>
    </w:p>
    <w:p>
      <w:pPr>
        <w:ind w:left="980" w:firstLine="609"/>
        <w:spacing w:after="0" w:line="271" w:lineRule="auto"/>
        <w:rPr>
          <w:sz w:val="20"/>
          <w:szCs w:val="20"/>
          <w:color w:val="auto"/>
        </w:rPr>
      </w:pPr>
      <w:r>
        <w:rPr>
          <w:rFonts w:ascii="Arial" w:cs="Arial" w:eastAsia="Arial" w:hAnsi="Arial"/>
          <w:sz w:val="18"/>
          <w:szCs w:val="18"/>
          <w:i w:val="1"/>
          <w:iCs w:val="1"/>
          <w:u w:val="single" w:color="auto"/>
          <w:color w:val="auto"/>
        </w:rPr>
        <w:t>Stock-Based Awards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stock purchase awards under our Incentive Stock Plan and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awards are granted at the Committee’s regularly scheduled meetings in January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and restricted stock units are awarded at the New York Stock Exchange closing price of the Corporation’s common stock on the date of the grant. The Committee has never granted stock options with an exercise price that is less than the closing price of the Corporation’s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80"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All of the Corporation’s equity-based award plans have been approved by shareholders.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Ownership Guidelines</w:t>
      </w:r>
    </w:p>
    <w:p>
      <w:pPr>
        <w:spacing w:after="0" w:line="121" w:lineRule="exact"/>
        <w:rPr>
          <w:sz w:val="20"/>
          <w:szCs w:val="20"/>
          <w:color w:val="auto"/>
        </w:rPr>
      </w:pPr>
    </w:p>
    <w:p>
      <w:pPr>
        <w:ind w:left="980" w:right="300" w:firstLine="609"/>
        <w:spacing w:after="0" w:line="260" w:lineRule="auto"/>
        <w:rPr>
          <w:sz w:val="20"/>
          <w:szCs w:val="20"/>
          <w:color w:val="auto"/>
        </w:rPr>
      </w:pPr>
      <w:r>
        <w:rPr>
          <w:rFonts w:ascii="Arial" w:cs="Arial" w:eastAsia="Arial" w:hAnsi="Arial"/>
          <w:sz w:val="20"/>
          <w:szCs w:val="20"/>
          <w:color w:val="auto"/>
        </w:rPr>
        <w:t>The Corporation does not have formal minimum ownership guidelines for the named executive officers but, as noted above, it does generally require that executive officers, other than the Chief Executive Officer,</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1146175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40"/>
        <w:spacing w:after="0" w:line="243" w:lineRule="auto"/>
        <w:rPr>
          <w:sz w:val="20"/>
          <w:szCs w:val="20"/>
          <w:color w:val="auto"/>
        </w:rPr>
      </w:pPr>
      <w:r>
        <w:rPr>
          <w:rFonts w:ascii="Arial" w:cs="Arial" w:eastAsia="Arial" w:hAnsi="Arial"/>
          <w:sz w:val="20"/>
          <w:szCs w:val="20"/>
          <w:color w:val="auto"/>
        </w:rPr>
        <w:t>invest a minimum of 20%, and that the Chief Executive Officer invest a minimum of 35%, of each year’s cash bonus award in common stock units of the Corporation that are purchased at a 20% discount to the price on the date of grant through the Incentive Stock Plan, which awards vest generally after three years of additional employment with the Corporation. In addition, a significant portion of the executive compensation program is in the form of equity awards that vest over various periods. There is no required holding period beyond the vesting period. The Committee believes that the equity components of the compensation program appropriately align the interests of executive officers with the interests of our shareholders, as more fully described above.</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Perquisites</w:t>
      </w:r>
    </w:p>
    <w:p>
      <w:pPr>
        <w:spacing w:after="0" w:line="121" w:lineRule="exact"/>
        <w:rPr>
          <w:sz w:val="20"/>
          <w:szCs w:val="20"/>
          <w:color w:val="auto"/>
        </w:rPr>
      </w:pPr>
    </w:p>
    <w:p>
      <w:pPr>
        <w:ind w:left="980" w:right="180" w:firstLine="609"/>
        <w:spacing w:after="0" w:line="244" w:lineRule="auto"/>
        <w:rPr>
          <w:sz w:val="20"/>
          <w:szCs w:val="20"/>
          <w:color w:val="auto"/>
        </w:rPr>
      </w:pPr>
      <w:r>
        <w:rPr>
          <w:rFonts w:ascii="Arial" w:cs="Arial" w:eastAsia="Arial" w:hAnsi="Arial"/>
          <w:sz w:val="20"/>
          <w:szCs w:val="20"/>
          <w:color w:val="auto"/>
        </w:rPr>
        <w:t>The Corporation provides named executive officers with perquisites that the Committee believes are appropriate, reasonable and consistent with its overall compensation program to better enable the Corporation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00"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color w:val="auto"/>
        </w:rPr>
        <w:t>The perquisites provided in 2010 to the named executive officers included personal use of leased automobiles and, for some executive officers, personal use of the Corporation’s plane. The Corporation also provides to executive officers and other employees certain other fringe benefits such as tuition reimbursement, airline club dues, professional society dues, and food and recreational fees incidental to official company functions. The Corporation did not provide country club or dinner club memberships to its executive officers in 2010.</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Retirement and Other Benefits</w:t>
      </w:r>
    </w:p>
    <w:p>
      <w:pPr>
        <w:spacing w:after="0" w:line="121" w:lineRule="exact"/>
        <w:rPr>
          <w:sz w:val="20"/>
          <w:szCs w:val="20"/>
          <w:color w:val="auto"/>
        </w:rPr>
      </w:pPr>
    </w:p>
    <w:p>
      <w:pPr>
        <w:ind w:left="980" w:firstLine="609"/>
        <w:spacing w:after="0" w:line="257" w:lineRule="auto"/>
        <w:rPr>
          <w:sz w:val="20"/>
          <w:szCs w:val="20"/>
          <w:color w:val="auto"/>
        </w:rPr>
      </w:pPr>
      <w:r>
        <w:rPr>
          <w:rFonts w:ascii="Arial" w:cs="Arial" w:eastAsia="Arial" w:hAnsi="Arial"/>
          <w:sz w:val="19"/>
          <w:szCs w:val="19"/>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the Corporation for longer periods, thereby furthering the Corporation’s objectives of retaining individuals with more expertise in relevant areas and who can participate in management development for purposes of executive succession planning. All of the Corporation’s salaried employees are eligible to participate in the following retirement and other plans. The named executive officers participate in the plans on the same terms as the Corporation’s other salaried employees. Additional information regarding these benefits is under the heading Pension Benefit Table below and the accompanying narrative.</w:t>
      </w:r>
    </w:p>
    <w:p>
      <w:pPr>
        <w:spacing w:after="0" w:line="87" w:lineRule="exact"/>
        <w:rPr>
          <w:sz w:val="20"/>
          <w:szCs w:val="20"/>
          <w:color w:val="auto"/>
        </w:rPr>
      </w:pPr>
    </w:p>
    <w:p>
      <w:pPr>
        <w:ind w:left="980" w:right="200" w:firstLine="609"/>
        <w:spacing w:after="0" w:line="259" w:lineRule="auto"/>
        <w:rPr>
          <w:sz w:val="20"/>
          <w:szCs w:val="20"/>
          <w:color w:val="auto"/>
        </w:rPr>
      </w:pPr>
      <w:r>
        <w:rPr>
          <w:rFonts w:ascii="Arial" w:cs="Arial" w:eastAsia="Arial" w:hAnsi="Arial"/>
          <w:sz w:val="19"/>
          <w:szCs w:val="19"/>
          <w:i w:val="1"/>
          <w:iCs w:val="1"/>
          <w:u w:val="single" w:color="auto"/>
          <w:color w:val="auto"/>
        </w:rPr>
        <w:t>Pension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We have a defined benefit pension plan under which full-time salaried employees of the 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who have completed five continuous years of employment with the Corporation,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84" w:lineRule="exact"/>
        <w:rPr>
          <w:sz w:val="20"/>
          <w:szCs w:val="20"/>
          <w:color w:val="auto"/>
        </w:rPr>
      </w:pPr>
    </w:p>
    <w:p>
      <w:pPr>
        <w:ind w:left="2100" w:right="200" w:hanging="508"/>
        <w:spacing w:after="0" w:line="260" w:lineRule="auto"/>
        <w:tabs>
          <w:tab w:leader="none" w:pos="21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1.165% of the participant’s final average eligible pay up to social security covered compensation, multiplied by the participant’s credited years of service up to 35 years;</w:t>
      </w:r>
    </w:p>
    <w:p>
      <w:pPr>
        <w:spacing w:after="0" w:line="82" w:lineRule="exact"/>
        <w:rPr>
          <w:rFonts w:ascii="Arial" w:cs="Arial" w:eastAsia="Arial" w:hAnsi="Arial"/>
          <w:sz w:val="20"/>
          <w:szCs w:val="20"/>
          <w:color w:val="auto"/>
        </w:rPr>
      </w:pPr>
    </w:p>
    <w:p>
      <w:pPr>
        <w:ind w:left="2100" w:right="20" w:hanging="508"/>
        <w:spacing w:after="0" w:line="260" w:lineRule="auto"/>
        <w:tabs>
          <w:tab w:leader="none" w:pos="21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1.50% of the participant’s final average eligible pay in excess of social security covered compensation, multiplied by the participant’s credited years of service up to 35 years;</w:t>
      </w:r>
    </w:p>
    <w:p>
      <w:pPr>
        <w:spacing w:after="0" w:line="68" w:lineRule="exact"/>
        <w:rPr>
          <w:rFonts w:ascii="Arial" w:cs="Arial" w:eastAsia="Arial" w:hAnsi="Arial"/>
          <w:sz w:val="20"/>
          <w:szCs w:val="20"/>
          <w:color w:val="auto"/>
        </w:rPr>
      </w:pPr>
    </w:p>
    <w:p>
      <w:pPr>
        <w:ind w:left="2100" w:right="320" w:hanging="508"/>
        <w:spacing w:after="0" w:line="260" w:lineRule="auto"/>
        <w:tabs>
          <w:tab w:leader="none" w:pos="21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1.50% of the participant’s final average eligible pay multiplied by the participant’s credited years of service in excess of 35 years.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854075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right="80" w:firstLine="609"/>
        <w:spacing w:after="0" w:line="244" w:lineRule="auto"/>
        <w:rPr>
          <w:sz w:val="20"/>
          <w:szCs w:val="20"/>
          <w:color w:val="auto"/>
        </w:rPr>
      </w:pPr>
      <w:r>
        <w:rPr>
          <w:rFonts w:ascii="Arial" w:cs="Arial" w:eastAsia="Arial" w:hAnsi="Arial"/>
          <w:sz w:val="20"/>
          <w:szCs w:val="20"/>
          <w:i w:val="1"/>
          <w:iCs w:val="1"/>
          <w:u w:val="single" w:color="auto"/>
          <w:color w:val="auto"/>
        </w:rPr>
        <w:t>Supplemental Excess Retirement Plan</w:t>
      </w:r>
      <w:r>
        <w:rPr>
          <w:rFonts w:ascii="Arial" w:cs="Arial" w:eastAsia="Arial" w:hAnsi="Arial"/>
          <w:sz w:val="20"/>
          <w:szCs w:val="20"/>
          <w:i w:val="1"/>
          <w:iCs w:val="1"/>
          <w:color w:val="auto"/>
        </w:rPr>
        <w:t xml:space="preserve">. </w:t>
      </w:r>
      <w:r>
        <w:rPr>
          <w:rFonts w:ascii="Arial" w:cs="Arial" w:eastAsia="Arial" w:hAnsi="Arial"/>
          <w:sz w:val="20"/>
          <w:szCs w:val="20"/>
          <w:color w:val="auto"/>
        </w:rPr>
        <w:t>We also have a nonqualified restoration plan that covers any employee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defined benefit pension plan, including the named executive officers, who are highly compensated and whose qualified plan benefit is reduced by Internal Revenue Code benefit and pay limits in Sections 415(b) and 401(a)(17). The plan is based on the same formula as the qualified Pension Plan described above. Benefits under our nonqualified plan are paid from our general assets.</w:t>
      </w:r>
    </w:p>
    <w:p>
      <w:pPr>
        <w:spacing w:after="0" w:line="100"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i w:val="1"/>
          <w:iCs w:val="1"/>
          <w:u w:val="single" w:color="auto"/>
          <w:color w:val="auto"/>
        </w:rPr>
        <w:t>Performance Sharing Plan</w:t>
      </w:r>
      <w:r>
        <w:rPr>
          <w:rFonts w:ascii="Arial" w:cs="Arial" w:eastAsia="Arial" w:hAnsi="Arial"/>
          <w:sz w:val="20"/>
          <w:szCs w:val="20"/>
          <w:i w:val="1"/>
          <w:iCs w:val="1"/>
          <w:color w:val="auto"/>
        </w:rPr>
        <w:t xml:space="preserve">. </w:t>
      </w:r>
      <w:r>
        <w:rPr>
          <w:rFonts w:ascii="Arial" w:cs="Arial" w:eastAsia="Arial" w:hAnsi="Arial"/>
          <w:sz w:val="20"/>
          <w:szCs w:val="20"/>
          <w:color w:val="auto"/>
        </w:rPr>
        <w:t>The Performance Sharing Plan is a tax-qualified defined contribution retirement savings</w:t>
      </w:r>
      <w:r>
        <w:rPr>
          <w:rFonts w:ascii="Arial" w:cs="Arial" w:eastAsia="Arial" w:hAnsi="Arial"/>
          <w:sz w:val="20"/>
          <w:szCs w:val="20"/>
          <w:i w:val="1"/>
          <w:iCs w:val="1"/>
          <w:color w:val="auto"/>
        </w:rPr>
        <w:t xml:space="preserve"> </w:t>
      </w:r>
      <w:r>
        <w:rPr>
          <w:rFonts w:ascii="Arial" w:cs="Arial" w:eastAsia="Arial" w:hAnsi="Arial"/>
          <w:sz w:val="20"/>
          <w:szCs w:val="20"/>
          <w:color w:val="auto"/>
        </w:rPr>
        <w:t>plan pursuant to which all salaried employees, including the named executive officers, are eligible to contribute up to the limit prescribed by the Internal Revenue Service on a before-tax basis and up to an additional 17% on an after-tax basis not to exceed a total of 25%. We match 50% of the first 7% of pay that is contributed by employees to the Performance Sharing Plan up to Internal Revenue Service limitations. All contributions as well as any matching contributions are fully vested upon contribution.</w:t>
      </w:r>
    </w:p>
    <w:p>
      <w:pPr>
        <w:spacing w:after="0" w:line="102"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i w:val="1"/>
          <w:iCs w:val="1"/>
          <w:u w:val="single" w:color="auto"/>
          <w:color w:val="auto"/>
        </w:rPr>
        <w:t>Retiree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who commenced employment with the Corporation prior to December 1, 1999 and who</w:t>
      </w:r>
      <w:r>
        <w:rPr>
          <w:rFonts w:ascii="Arial" w:cs="Arial" w:eastAsia="Arial" w:hAnsi="Arial"/>
          <w:sz w:val="18"/>
          <w:szCs w:val="18"/>
          <w:i w:val="1"/>
          <w:iCs w:val="1"/>
          <w:color w:val="auto"/>
        </w:rPr>
        <w:t xml:space="preserve"> </w:t>
      </w:r>
      <w:r>
        <w:rPr>
          <w:rFonts w:ascii="Arial" w:cs="Arial" w:eastAsia="Arial" w:hAnsi="Arial"/>
          <w:sz w:val="18"/>
          <w:szCs w:val="18"/>
          <w:color w:val="auto"/>
        </w:rPr>
        <w:t>retire with at least 5 years of service are currently eligible for retiree medical benefits for life. Employees who commenced employment with the Corporation between December 1, 1999 and December 31, 2001 and who retire with at least 15 years of service are currently eligible for retiree medical benefits until age 65. Employees share the cost of retiree medical based on their years of service and a predetermined cap on total payments by the Corporation. Employees who commenced employment with the Corporation on or after January 1, 2002 are not eligible for retiree medical benefits. Mr. Nye is not eligible for retiree medical benefits as he commenced employment with the Corporation in 2006.</w:t>
      </w:r>
    </w:p>
    <w:p>
      <w:pPr>
        <w:spacing w:after="0" w:line="75" w:lineRule="exact"/>
        <w:rPr>
          <w:sz w:val="20"/>
          <w:szCs w:val="20"/>
          <w:color w:val="auto"/>
        </w:rPr>
      </w:pPr>
    </w:p>
    <w:p>
      <w:pPr>
        <w:ind w:left="980" w:right="260" w:firstLine="609"/>
        <w:spacing w:after="0" w:line="246" w:lineRule="auto"/>
        <w:rPr>
          <w:sz w:val="20"/>
          <w:szCs w:val="20"/>
          <w:color w:val="auto"/>
        </w:rPr>
      </w:pPr>
      <w:r>
        <w:rPr>
          <w:rFonts w:ascii="Arial" w:cs="Arial" w:eastAsia="Arial" w:hAnsi="Arial"/>
          <w:sz w:val="20"/>
          <w:szCs w:val="20"/>
          <w:i w:val="1"/>
          <w:iCs w:val="1"/>
          <w:u w:val="single" w:color="auto"/>
          <w:color w:val="auto"/>
        </w:rPr>
        <w:t>Medical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an opportunity to all of its salaried employees and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immediate family to select health, dental and vision insurance coverage. The Corporation pays a portion of the premiums for this insurance for all employees. All employees, including the named executive officers, pay a portion of the premiums depending on the coverage they choose.</w:t>
      </w:r>
    </w:p>
    <w:p>
      <w:pPr>
        <w:spacing w:after="0" w:line="97" w:lineRule="exact"/>
        <w:rPr>
          <w:sz w:val="20"/>
          <w:szCs w:val="20"/>
          <w:color w:val="auto"/>
        </w:rPr>
      </w:pPr>
    </w:p>
    <w:p>
      <w:pPr>
        <w:ind w:left="980" w:right="20" w:firstLine="609"/>
        <w:spacing w:after="0" w:line="246" w:lineRule="auto"/>
        <w:rPr>
          <w:sz w:val="20"/>
          <w:szCs w:val="20"/>
          <w:color w:val="auto"/>
        </w:rPr>
      </w:pPr>
      <w:r>
        <w:rPr>
          <w:rFonts w:ascii="Arial" w:cs="Arial" w:eastAsia="Arial" w:hAnsi="Arial"/>
          <w:sz w:val="20"/>
          <w:szCs w:val="20"/>
          <w:i w:val="1"/>
          <w:iCs w:val="1"/>
          <w:u w:val="single" w:color="auto"/>
          <w:color w:val="auto"/>
        </w:rPr>
        <w:t>Life and Disability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to all of its salaried employees, including the named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long-term disability and life insurance that provides up to 1.5 times base salary at no cost to the employee. All employees, including the named executive officers, can choose additional coverage and pay a portion of the premiums depending on the coverage they choose.</w:t>
      </w:r>
    </w:p>
    <w:p>
      <w:pPr>
        <w:spacing w:after="0" w:line="97" w:lineRule="exact"/>
        <w:rPr>
          <w:sz w:val="20"/>
          <w:szCs w:val="20"/>
          <w:color w:val="auto"/>
        </w:rPr>
      </w:pPr>
    </w:p>
    <w:p>
      <w:pPr>
        <w:ind w:left="980" w:right="700" w:firstLine="609"/>
        <w:spacing w:after="0" w:line="250" w:lineRule="auto"/>
        <w:rPr>
          <w:sz w:val="20"/>
          <w:szCs w:val="20"/>
          <w:color w:val="auto"/>
        </w:rPr>
      </w:pPr>
      <w:r>
        <w:rPr>
          <w:rFonts w:ascii="Arial" w:cs="Arial" w:eastAsia="Arial" w:hAnsi="Arial"/>
          <w:sz w:val="20"/>
          <w:szCs w:val="20"/>
          <w:i w:val="1"/>
          <w:iCs w:val="1"/>
          <w:u w:val="single" w:color="auto"/>
          <w:color w:val="auto"/>
        </w:rPr>
        <w:t>Housing Allowance and Relocation Costs</w:t>
      </w:r>
      <w:r>
        <w:rPr>
          <w:rFonts w:ascii="Arial" w:cs="Arial" w:eastAsia="Arial" w:hAnsi="Arial"/>
          <w:sz w:val="20"/>
          <w:szCs w:val="20"/>
          <w:i w:val="1"/>
          <w:iCs w:val="1"/>
          <w:color w:val="auto"/>
        </w:rPr>
        <w:t xml:space="preserve">. </w:t>
      </w:r>
      <w:r>
        <w:rPr>
          <w:rFonts w:ascii="Arial" w:cs="Arial" w:eastAsia="Arial" w:hAnsi="Arial"/>
          <w:sz w:val="20"/>
          <w:szCs w:val="20"/>
          <w:color w:val="auto"/>
        </w:rPr>
        <w:t>The Corporation provides relocation benefits, including a housing</w:t>
      </w:r>
      <w:r>
        <w:rPr>
          <w:rFonts w:ascii="Arial" w:cs="Arial" w:eastAsia="Arial" w:hAnsi="Arial"/>
          <w:sz w:val="20"/>
          <w:szCs w:val="20"/>
          <w:i w:val="1"/>
          <w:iCs w:val="1"/>
          <w:color w:val="auto"/>
        </w:rPr>
        <w:t xml:space="preserve"> </w:t>
      </w:r>
      <w:r>
        <w:rPr>
          <w:rFonts w:ascii="Arial" w:cs="Arial" w:eastAsia="Arial" w:hAnsi="Arial"/>
          <w:sz w:val="20"/>
          <w:szCs w:val="20"/>
          <w:color w:val="auto"/>
        </w:rPr>
        <w:t>allowance, to certain employees upon their employment with the Corporation or in conjunction with a job relocation or promotion.</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left="980" w:right="20" w:firstLine="609"/>
        <w:spacing w:after="0" w:line="257" w:lineRule="auto"/>
        <w:rPr>
          <w:sz w:val="20"/>
          <w:szCs w:val="20"/>
          <w:color w:val="auto"/>
        </w:rPr>
      </w:pPr>
      <w:r>
        <w:rPr>
          <w:rFonts w:ascii="Arial" w:cs="Arial" w:eastAsia="Arial" w:hAnsi="Arial"/>
          <w:sz w:val="19"/>
          <w:szCs w:val="19"/>
          <w:color w:val="auto"/>
        </w:rPr>
        <w:t>The Corporation has entered into an Employment Protection Agreement with each of the named executive officers that provides for certain payments and benefits upon a change of control. The Corporation’s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the Corporation, including the named executive officers. The Employment Protection Agreement is described on pages 50 of this Proxy Statement.</w:t>
      </w:r>
    </w:p>
    <w:p>
      <w:pPr>
        <w:spacing w:after="0" w:line="87" w:lineRule="exact"/>
        <w:rPr>
          <w:sz w:val="20"/>
          <w:szCs w:val="20"/>
          <w:color w:val="auto"/>
        </w:rPr>
      </w:pPr>
    </w:p>
    <w:p>
      <w:pPr>
        <w:ind w:left="980" w:right="80" w:firstLine="609"/>
        <w:spacing w:after="0" w:line="250" w:lineRule="auto"/>
        <w:rPr>
          <w:sz w:val="20"/>
          <w:szCs w:val="20"/>
          <w:color w:val="auto"/>
        </w:rPr>
      </w:pPr>
      <w:r>
        <w:rPr>
          <w:rFonts w:ascii="Arial" w:cs="Arial" w:eastAsia="Arial" w:hAnsi="Arial"/>
          <w:sz w:val="20"/>
          <w:szCs w:val="20"/>
          <w:color w:val="auto"/>
        </w:rPr>
        <w:t>In addition, the Corporation’s Amended and Restated Stock-Based Award Plan, pursuant to which equity-based awards are made to the executive officers, provides that upon the occurrence of a change of control of the Corporation as provided in the Employment Protection Agreements, all time periods for</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rPr>
          <w:sz w:val="20"/>
          <w:szCs w:val="20"/>
          <w:color w:val="auto"/>
        </w:rPr>
      </w:pPr>
      <w:r>
        <w:rPr>
          <w:rFonts w:ascii="Arial" w:cs="Arial" w:eastAsia="Arial" w:hAnsi="Arial"/>
          <w:sz w:val="20"/>
          <w:szCs w:val="20"/>
          <w:color w:val="auto"/>
        </w:rPr>
        <w:t>purposes of vesting in, or realizing gain from, any outstanding award under the plan will automatically accelerate.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Tax and Accounting Implications</w:t>
      </w:r>
    </w:p>
    <w:p>
      <w:pPr>
        <w:spacing w:after="0" w:line="121" w:lineRule="exact"/>
        <w:rPr>
          <w:sz w:val="20"/>
          <w:szCs w:val="20"/>
          <w:color w:val="auto"/>
        </w:rPr>
      </w:pPr>
    </w:p>
    <w:p>
      <w:pPr>
        <w:ind w:left="980" w:firstLine="609"/>
        <w:spacing w:after="0" w:line="246" w:lineRule="auto"/>
        <w:rPr>
          <w:sz w:val="20"/>
          <w:szCs w:val="20"/>
          <w:color w:val="auto"/>
        </w:rPr>
      </w:pPr>
      <w:r>
        <w:rPr>
          <w:rFonts w:ascii="Arial" w:cs="Arial" w:eastAsia="Arial" w:hAnsi="Arial"/>
          <w:sz w:val="20"/>
          <w:szCs w:val="20"/>
          <w:color w:val="auto"/>
        </w:rPr>
        <w:t>Section 162(m) of the Internal Revenue Code of 1986 makes certain compensation to the named executives in excess of $1 million non-deductible to the Corporation unless it is based on objectively determined performance criteria pursuant to a plan approved by shareholders. Two of the named executive officers received annual compensation exceeding $1 million in 2010 that is not deductible pursuant to Section 162(m).</w:t>
      </w:r>
    </w:p>
    <w:p>
      <w:pPr>
        <w:spacing w:after="0" w:line="97" w:lineRule="exact"/>
        <w:rPr>
          <w:sz w:val="20"/>
          <w:szCs w:val="20"/>
          <w:color w:val="auto"/>
        </w:rPr>
      </w:pPr>
    </w:p>
    <w:p>
      <w:pPr>
        <w:ind w:left="980" w:right="80" w:firstLine="609"/>
        <w:spacing w:after="0" w:line="316"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46" w:lineRule="exact"/>
        <w:rPr>
          <w:sz w:val="20"/>
          <w:szCs w:val="20"/>
          <w:color w:val="auto"/>
        </w:rPr>
      </w:pPr>
    </w:p>
    <w:p>
      <w:pPr>
        <w:ind w:left="980" w:right="360" w:firstLine="609"/>
        <w:spacing w:after="0" w:line="282" w:lineRule="auto"/>
        <w:rPr>
          <w:sz w:val="20"/>
          <w:szCs w:val="20"/>
          <w:color w:val="auto"/>
        </w:rPr>
      </w:pPr>
      <w:r>
        <w:rPr>
          <w:rFonts w:ascii="Arial" w:cs="Arial" w:eastAsia="Arial" w:hAnsi="Arial"/>
          <w:sz w:val="18"/>
          <w:szCs w:val="18"/>
          <w:color w:val="auto"/>
        </w:rPr>
        <w:t>As noted above, the Corporation has moved from using only stock options as its long-term equity compensation component to a mix of options and restricted stock units. This was in part due to a change in generally accepted accounting procedures beginning in 2006 that provided options would be accounted for on an equal footing with restricted stock units. Accordingly, restricted stock units became a more viable component of compensation.</w:t>
      </w:r>
    </w:p>
    <w:p>
      <w:pPr>
        <w:spacing w:after="0" w:line="277"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MANAGEMENT DEVELOPMENT AND COMPENSATION COMMITTEE REPORT</w:t>
      </w:r>
    </w:p>
    <w:p>
      <w:pPr>
        <w:spacing w:after="0" w:line="127" w:lineRule="exact"/>
        <w:rPr>
          <w:sz w:val="20"/>
          <w:szCs w:val="20"/>
          <w:color w:val="auto"/>
        </w:rPr>
      </w:pPr>
    </w:p>
    <w:p>
      <w:pPr>
        <w:ind w:left="980" w:right="40" w:firstLine="609"/>
        <w:spacing w:after="0" w:line="282"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26 of this proxy statement. Based on this review and discussion, the Management Development and Compensation Committee recommended to the Board of Directors that the Compensation Discussion and Analysis be included in the Corporation’s Annual Report on Form 10-K and this Proxy Statement.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February 16, 2011</w:t>
      </w:r>
    </w:p>
    <w:p>
      <w:pPr>
        <w:spacing w:after="0" w:line="1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MANAGEMENT DEVELOPMENT AND</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COMPENSATION COMMITTEE</w:t>
      </w:r>
    </w:p>
    <w:p>
      <w:pPr>
        <w:spacing w:after="0" w:line="1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xml:space="preserve">Sue W. Cole, </w:t>
      </w:r>
      <w:r>
        <w:rPr>
          <w:rFonts w:ascii="Arial" w:cs="Arial" w:eastAsia="Arial" w:hAnsi="Arial"/>
          <w:sz w:val="18"/>
          <w:szCs w:val="18"/>
          <w:i w:val="1"/>
          <w:iCs w:val="1"/>
          <w:color w:val="auto"/>
        </w:rPr>
        <w:t>Chair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E. McDonald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Michael J. Quillen</w:t>
      </w:r>
    </w:p>
    <w:p>
      <w:pPr>
        <w:spacing w:after="0" w:line="324"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COMPENSATION COMMITTEE INTERLOCKS AND INSIDER</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PARTICIPATION IN COMPENSATION DECISIONS</w:t>
      </w:r>
    </w:p>
    <w:p>
      <w:pPr>
        <w:spacing w:after="0" w:line="105" w:lineRule="exact"/>
        <w:rPr>
          <w:sz w:val="20"/>
          <w:szCs w:val="20"/>
          <w:color w:val="auto"/>
        </w:rPr>
      </w:pPr>
    </w:p>
    <w:p>
      <w:pPr>
        <w:ind w:left="980" w:right="140" w:firstLine="609"/>
        <w:spacing w:after="0" w:line="282" w:lineRule="auto"/>
        <w:rPr>
          <w:sz w:val="20"/>
          <w:szCs w:val="20"/>
          <w:color w:val="auto"/>
        </w:rPr>
      </w:pPr>
      <w:r>
        <w:rPr>
          <w:rFonts w:ascii="Arial" w:cs="Arial" w:eastAsia="Arial" w:hAnsi="Arial"/>
          <w:sz w:val="18"/>
          <w:szCs w:val="18"/>
          <w:color w:val="auto"/>
        </w:rPr>
        <w:t>The members of the Corporation’s Management Development and Compensation Committee are Directors Cole, McDonald, Menaker and Quillen,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1205865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Executive Officer Compensation</w:t>
      </w:r>
    </w:p>
    <w:p>
      <w:pPr>
        <w:spacing w:after="0" w:line="121"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 xml:space="preserve">The following tables show annual and long-term compensation earned by the Chief Executive Officer, the Chief Financial Officer and the next three most highly compensated executive officers for the year ended December 31, 2010 for services in all capacities to the Corporation, including Mr. Zelnak, who retired as Executive Chairman in 2010. These tables and the accompanying narratives should be read in conjunction with the </w:t>
      </w:r>
      <w:r>
        <w:rPr>
          <w:rFonts w:ascii="Arial" w:cs="Arial" w:eastAsia="Arial" w:hAnsi="Arial"/>
          <w:sz w:val="20"/>
          <w:szCs w:val="20"/>
          <w:i w:val="1"/>
          <w:iCs w:val="1"/>
          <w:color w:val="auto"/>
        </w:rPr>
        <w:t>Compensation Discussion and Analysis</w:t>
      </w:r>
      <w:r>
        <w:rPr>
          <w:rFonts w:ascii="Arial" w:cs="Arial" w:eastAsia="Arial" w:hAnsi="Arial"/>
          <w:sz w:val="20"/>
          <w:szCs w:val="20"/>
          <w:color w:val="auto"/>
        </w:rPr>
        <w:t xml:space="preserve"> section of this proxy statement, which provides a detailed overview of the methods used by the Corporation to compensate its officers, including the named executive officers.</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Summary Compensation Table</w:t>
      </w:r>
    </w:p>
    <w:p>
      <w:pPr>
        <w:spacing w:after="0" w:line="121" w:lineRule="exact"/>
        <w:rPr>
          <w:sz w:val="20"/>
          <w:szCs w:val="20"/>
          <w:color w:val="auto"/>
        </w:rPr>
      </w:pPr>
    </w:p>
    <w:p>
      <w:pPr>
        <w:ind w:left="980" w:firstLine="609"/>
        <w:spacing w:after="0" w:line="250" w:lineRule="auto"/>
        <w:rPr>
          <w:sz w:val="20"/>
          <w:szCs w:val="20"/>
          <w:color w:val="auto"/>
        </w:rPr>
      </w:pPr>
      <w:r>
        <w:rPr>
          <w:rFonts w:ascii="Arial" w:cs="Arial" w:eastAsia="Arial" w:hAnsi="Arial"/>
          <w:sz w:val="20"/>
          <w:szCs w:val="20"/>
          <w:color w:val="auto"/>
        </w:rPr>
        <w:t>The table below summarizes the total compensation paid or earned by each of the named executive officers for the fiscal year ended December 31, 2010. The Corporation has not entered into any employment agreements with any of the named executive officers.</w:t>
      </w:r>
    </w:p>
    <w:p>
      <w:pPr>
        <w:spacing w:after="0" w:line="302"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SUMMARY COMPENSATION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21"/>
        </w:trPr>
        <w:tc>
          <w:tcPr>
            <w:tcW w:w="1880" w:type="dxa"/>
            <w:vAlign w:val="bottom"/>
            <w:tcBorders>
              <w:top w:val="single" w:sz="8" w:color="auto"/>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left="14"/>
              <w:spacing w:after="0" w:line="122" w:lineRule="exact"/>
              <w:rPr>
                <w:sz w:val="20"/>
                <w:szCs w:val="20"/>
                <w:color w:val="auto"/>
              </w:rPr>
            </w:pPr>
            <w:r>
              <w:rPr>
                <w:rFonts w:ascii="Arial" w:cs="Arial" w:eastAsia="Arial" w:hAnsi="Arial"/>
                <w:sz w:val="11"/>
                <w:szCs w:val="11"/>
                <w:b w:val="1"/>
                <w:bCs w:val="1"/>
                <w:color w:val="auto"/>
                <w:w w:val="90"/>
              </w:rPr>
              <w:t>Change in</w:t>
            </w:r>
          </w:p>
        </w:tc>
        <w:tc>
          <w:tcPr>
            <w:tcW w:w="1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22"/>
        </w:trPr>
        <w:tc>
          <w:tcPr>
            <w:tcW w:w="18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85"/>
              </w:rPr>
              <w:t>Pension Value</w:t>
            </w: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8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92"/>
              </w:rPr>
              <w:t>and Non-</w:t>
            </w: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8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93"/>
              </w:rPr>
              <w:t>Qualified</w:t>
            </w: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8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900" w:type="dxa"/>
            <w:vAlign w:val="bottom"/>
          </w:tcPr>
          <w:p>
            <w:pPr>
              <w:spacing w:after="0"/>
              <w:rPr>
                <w:sz w:val="10"/>
                <w:szCs w:val="10"/>
                <w:color w:val="auto"/>
              </w:rPr>
            </w:pPr>
          </w:p>
        </w:tc>
        <w:tc>
          <w:tcPr>
            <w:tcW w:w="9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1"/>
              </w:rPr>
              <w:t>Non-Equity</w:t>
            </w:r>
          </w:p>
        </w:tc>
        <w:tc>
          <w:tcPr>
            <w:tcW w:w="120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88"/>
              </w:rPr>
              <w:t>Deferred</w:t>
            </w: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18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jc w:val="center"/>
              <w:ind w:left="12"/>
              <w:spacing w:after="0" w:line="122" w:lineRule="exact"/>
              <w:rPr>
                <w:sz w:val="20"/>
                <w:szCs w:val="20"/>
                <w:color w:val="auto"/>
              </w:rPr>
            </w:pPr>
            <w:r>
              <w:rPr>
                <w:rFonts w:ascii="Arial" w:cs="Arial" w:eastAsia="Arial" w:hAnsi="Arial"/>
                <w:sz w:val="11"/>
                <w:szCs w:val="11"/>
                <w:b w:val="1"/>
                <w:bCs w:val="1"/>
                <w:color w:val="auto"/>
                <w:w w:val="90"/>
              </w:rPr>
              <w:t>Awards</w:t>
            </w:r>
          </w:p>
        </w:tc>
        <w:tc>
          <w:tcPr>
            <w:tcW w:w="900" w:type="dxa"/>
            <w:vAlign w:val="bottom"/>
          </w:tcPr>
          <w:p>
            <w:pPr>
              <w:jc w:val="center"/>
              <w:ind w:left="31"/>
              <w:spacing w:after="0" w:line="122" w:lineRule="exact"/>
              <w:rPr>
                <w:sz w:val="20"/>
                <w:szCs w:val="20"/>
                <w:color w:val="auto"/>
              </w:rPr>
            </w:pPr>
            <w:r>
              <w:rPr>
                <w:rFonts w:ascii="Arial" w:cs="Arial" w:eastAsia="Arial" w:hAnsi="Arial"/>
                <w:sz w:val="11"/>
                <w:szCs w:val="11"/>
                <w:b w:val="1"/>
                <w:bCs w:val="1"/>
                <w:color w:val="auto"/>
                <w:w w:val="90"/>
              </w:rPr>
              <w:t>Option</w:t>
            </w:r>
          </w:p>
        </w:tc>
        <w:tc>
          <w:tcPr>
            <w:tcW w:w="92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89"/>
              </w:rPr>
              <w:t>Incentive Plan</w:t>
            </w:r>
          </w:p>
        </w:tc>
        <w:tc>
          <w:tcPr>
            <w:tcW w:w="120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920" w:type="dxa"/>
            <w:vAlign w:val="bottom"/>
          </w:tcPr>
          <w:p>
            <w:pPr>
              <w:spacing w:after="0"/>
              <w:rPr>
                <w:sz w:val="10"/>
                <w:szCs w:val="10"/>
                <w:color w:val="auto"/>
              </w:rPr>
            </w:pPr>
          </w:p>
        </w:tc>
      </w:tr>
      <w:tr>
        <w:trPr>
          <w:trHeight w:val="122"/>
        </w:trPr>
        <w:tc>
          <w:tcPr>
            <w:tcW w:w="1880" w:type="dxa"/>
            <w:vAlign w:val="bottom"/>
            <w:tcBorders>
              <w:left w:val="single" w:sz="8" w:color="auto"/>
            </w:tcBorders>
          </w:tcPr>
          <w:p>
            <w:pPr>
              <w:ind w:left="60"/>
              <w:spacing w:after="0" w:line="122" w:lineRule="exact"/>
              <w:rPr>
                <w:sz w:val="20"/>
                <w:szCs w:val="20"/>
                <w:color w:val="auto"/>
              </w:rPr>
            </w:pPr>
            <w:r>
              <w:rPr>
                <w:rFonts w:ascii="Arial" w:cs="Arial" w:eastAsia="Arial" w:hAnsi="Arial"/>
                <w:sz w:val="11"/>
                <w:szCs w:val="11"/>
                <w:b w:val="1"/>
                <w:bCs w:val="1"/>
                <w:color w:val="auto"/>
              </w:rPr>
              <w:t>Name and Principal Position</w:t>
            </w:r>
          </w:p>
        </w:tc>
        <w:tc>
          <w:tcPr>
            <w:tcW w:w="120" w:type="dxa"/>
            <w:vAlign w:val="bottom"/>
          </w:tcPr>
          <w:p>
            <w:pPr>
              <w:spacing w:after="0"/>
              <w:rPr>
                <w:sz w:val="10"/>
                <w:szCs w:val="10"/>
                <w:color w:val="auto"/>
              </w:rPr>
            </w:pPr>
          </w:p>
        </w:tc>
        <w:tc>
          <w:tcPr>
            <w:tcW w:w="380" w:type="dxa"/>
            <w:vAlign w:val="bottom"/>
          </w:tcPr>
          <w:p>
            <w:pPr>
              <w:jc w:val="center"/>
              <w:ind w:right="14"/>
              <w:spacing w:after="0" w:line="122" w:lineRule="exact"/>
              <w:rPr>
                <w:sz w:val="20"/>
                <w:szCs w:val="20"/>
                <w:color w:val="auto"/>
              </w:rPr>
            </w:pPr>
            <w:r>
              <w:rPr>
                <w:rFonts w:ascii="Arial" w:cs="Arial" w:eastAsia="Arial" w:hAnsi="Arial"/>
                <w:sz w:val="11"/>
                <w:szCs w:val="11"/>
                <w:b w:val="1"/>
                <w:bCs w:val="1"/>
                <w:color w:val="auto"/>
                <w:w w:val="92"/>
              </w:rPr>
              <w:t>Year</w:t>
            </w:r>
          </w:p>
        </w:tc>
        <w:tc>
          <w:tcPr>
            <w:tcW w:w="880" w:type="dxa"/>
            <w:vAlign w:val="bottom"/>
          </w:tcPr>
          <w:p>
            <w:pPr>
              <w:jc w:val="right"/>
              <w:ind w:right="130"/>
              <w:spacing w:after="0" w:line="122" w:lineRule="exact"/>
              <w:rPr>
                <w:sz w:val="20"/>
                <w:szCs w:val="20"/>
                <w:color w:val="auto"/>
              </w:rPr>
            </w:pPr>
            <w:r>
              <w:rPr>
                <w:rFonts w:ascii="Arial" w:cs="Arial" w:eastAsia="Arial" w:hAnsi="Arial"/>
                <w:sz w:val="11"/>
                <w:szCs w:val="11"/>
                <w:b w:val="1"/>
                <w:bCs w:val="1"/>
                <w:color w:val="auto"/>
              </w:rPr>
              <w:t>Salary($)</w:t>
            </w: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Bonus ($)</w:t>
            </w:r>
            <w:r>
              <w:rPr>
                <w:rFonts w:ascii="Arial" w:cs="Arial" w:eastAsia="Arial" w:hAnsi="Arial"/>
                <w:sz w:val="9"/>
                <w:szCs w:val="9"/>
                <w:b w:val="1"/>
                <w:bCs w:val="1"/>
                <w:color w:val="auto"/>
              </w:rPr>
              <w:t>(1)</w:t>
            </w:r>
          </w:p>
        </w:tc>
        <w:tc>
          <w:tcPr>
            <w:tcW w:w="880" w:type="dxa"/>
            <w:vAlign w:val="bottom"/>
          </w:tcPr>
          <w:p>
            <w:pPr>
              <w:jc w:val="center"/>
              <w:ind w:left="12"/>
              <w:spacing w:after="0" w:line="122" w:lineRule="exact"/>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(2)</w:t>
            </w:r>
          </w:p>
        </w:tc>
        <w:tc>
          <w:tcPr>
            <w:tcW w:w="900" w:type="dxa"/>
            <w:vAlign w:val="bottom"/>
          </w:tcPr>
          <w:p>
            <w:pPr>
              <w:jc w:val="center"/>
              <w:ind w:left="11"/>
              <w:spacing w:after="0" w:line="122" w:lineRule="exact"/>
              <w:rPr>
                <w:sz w:val="20"/>
                <w:szCs w:val="20"/>
                <w:color w:val="auto"/>
              </w:rPr>
            </w:pPr>
            <w:r>
              <w:rPr>
                <w:rFonts w:ascii="Arial" w:cs="Arial" w:eastAsia="Arial" w:hAnsi="Arial"/>
                <w:sz w:val="11"/>
                <w:szCs w:val="11"/>
                <w:b w:val="1"/>
                <w:bCs w:val="1"/>
                <w:color w:val="auto"/>
                <w:w w:val="90"/>
              </w:rPr>
              <w:t>Awards($)</w:t>
            </w:r>
            <w:r>
              <w:rPr>
                <w:rFonts w:ascii="Arial" w:cs="Arial" w:eastAsia="Arial" w:hAnsi="Arial"/>
                <w:sz w:val="9"/>
                <w:szCs w:val="9"/>
                <w:b w:val="1"/>
                <w:bCs w:val="1"/>
                <w:color w:val="auto"/>
                <w:w w:val="90"/>
              </w:rPr>
              <w:t>(3)</w:t>
            </w:r>
          </w:p>
        </w:tc>
        <w:tc>
          <w:tcPr>
            <w:tcW w:w="92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1200" w:type="dxa"/>
            <w:vAlign w:val="bottom"/>
          </w:tcPr>
          <w:p>
            <w:pPr>
              <w:jc w:val="center"/>
              <w:ind w:left="14"/>
              <w:spacing w:after="0" w:line="122" w:lineRule="exact"/>
              <w:rPr>
                <w:sz w:val="20"/>
                <w:szCs w:val="20"/>
                <w:color w:val="auto"/>
              </w:rPr>
            </w:pPr>
            <w:r>
              <w:rPr>
                <w:rFonts w:ascii="Arial" w:cs="Arial" w:eastAsia="Arial" w:hAnsi="Arial"/>
                <w:sz w:val="11"/>
                <w:szCs w:val="11"/>
                <w:b w:val="1"/>
                <w:bCs w:val="1"/>
                <w:color w:val="auto"/>
                <w:w w:val="89"/>
              </w:rPr>
              <w:t>Earnings($)</w:t>
            </w:r>
            <w:r>
              <w:rPr>
                <w:rFonts w:ascii="Arial" w:cs="Arial" w:eastAsia="Arial" w:hAnsi="Arial"/>
                <w:sz w:val="9"/>
                <w:szCs w:val="9"/>
                <w:b w:val="1"/>
                <w:bCs w:val="1"/>
                <w:color w:val="auto"/>
                <w:w w:val="89"/>
              </w:rPr>
              <w:t>(4)</w:t>
            </w:r>
          </w:p>
        </w:tc>
        <w:tc>
          <w:tcPr>
            <w:tcW w:w="1340" w:type="dxa"/>
            <w:vAlign w:val="bottom"/>
          </w:tcPr>
          <w:p>
            <w:pPr>
              <w:jc w:val="center"/>
              <w:ind w:left="11"/>
              <w:spacing w:after="0" w:line="122" w:lineRule="exact"/>
              <w:rPr>
                <w:sz w:val="20"/>
                <w:szCs w:val="20"/>
                <w:color w:val="auto"/>
              </w:rPr>
            </w:pPr>
            <w:r>
              <w:rPr>
                <w:rFonts w:ascii="Arial" w:cs="Arial" w:eastAsia="Arial" w:hAnsi="Arial"/>
                <w:sz w:val="11"/>
                <w:szCs w:val="11"/>
                <w:b w:val="1"/>
                <w:bCs w:val="1"/>
                <w:color w:val="auto"/>
                <w:w w:val="89"/>
              </w:rPr>
              <w:t>Compensation($)</w:t>
            </w:r>
            <w:r>
              <w:rPr>
                <w:rFonts w:ascii="Arial" w:cs="Arial" w:eastAsia="Arial" w:hAnsi="Arial"/>
                <w:sz w:val="9"/>
                <w:szCs w:val="9"/>
                <w:b w:val="1"/>
                <w:bCs w:val="1"/>
                <w:color w:val="auto"/>
                <w:w w:val="89"/>
              </w:rPr>
              <w:t>(5)</w:t>
            </w:r>
          </w:p>
        </w:tc>
        <w:tc>
          <w:tcPr>
            <w:tcW w:w="920" w:type="dxa"/>
            <w:vAlign w:val="bottom"/>
          </w:tcPr>
          <w:p>
            <w:pPr>
              <w:jc w:val="right"/>
              <w:ind w:right="170"/>
              <w:spacing w:after="0" w:line="122" w:lineRule="exact"/>
              <w:rPr>
                <w:sz w:val="20"/>
                <w:szCs w:val="20"/>
                <w:color w:val="auto"/>
              </w:rPr>
            </w:pPr>
            <w:r>
              <w:rPr>
                <w:rFonts w:ascii="Arial" w:cs="Arial" w:eastAsia="Arial" w:hAnsi="Arial"/>
                <w:sz w:val="11"/>
                <w:szCs w:val="11"/>
                <w:b w:val="1"/>
                <w:bCs w:val="1"/>
                <w:color w:val="auto"/>
              </w:rPr>
              <w:t>Total($)</w:t>
            </w:r>
          </w:p>
        </w:tc>
      </w:tr>
      <w:tr>
        <w:trPr>
          <w:trHeight w:val="181"/>
        </w:trPr>
        <w:tc>
          <w:tcPr>
            <w:tcW w:w="188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1"/>
                <w:szCs w:val="11"/>
                <w:b w:val="1"/>
                <w:bCs w:val="1"/>
                <w:color w:val="auto"/>
              </w:rPr>
              <w:t>(a)</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(b)</w:t>
            </w: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(c)</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(d)</w:t>
            </w:r>
          </w:p>
        </w:tc>
        <w:tc>
          <w:tcPr>
            <w:tcW w:w="880" w:type="dxa"/>
            <w:vAlign w:val="bottom"/>
            <w:tcBorders>
              <w:bottom w:val="single" w:sz="8" w:color="auto"/>
            </w:tcBorders>
          </w:tcPr>
          <w:p>
            <w:pPr>
              <w:jc w:val="center"/>
              <w:ind w:left="12"/>
              <w:spacing w:after="0"/>
              <w:rPr>
                <w:sz w:val="20"/>
                <w:szCs w:val="20"/>
                <w:color w:val="auto"/>
              </w:rPr>
            </w:pPr>
            <w:r>
              <w:rPr>
                <w:rFonts w:ascii="Arial" w:cs="Arial" w:eastAsia="Arial" w:hAnsi="Arial"/>
                <w:sz w:val="11"/>
                <w:szCs w:val="11"/>
                <w:b w:val="1"/>
                <w:bCs w:val="1"/>
                <w:color w:val="auto"/>
                <w:w w:val="88"/>
              </w:rPr>
              <w:t>(e)</w:t>
            </w:r>
          </w:p>
        </w:tc>
        <w:tc>
          <w:tcPr>
            <w:tcW w:w="900" w:type="dxa"/>
            <w:vAlign w:val="bottom"/>
            <w:tcBorders>
              <w:bottom w:val="single" w:sz="8" w:color="auto"/>
            </w:tcBorders>
          </w:tcPr>
          <w:p>
            <w:pPr>
              <w:jc w:val="center"/>
              <w:ind w:left="11"/>
              <w:spacing w:after="0"/>
              <w:rPr>
                <w:sz w:val="20"/>
                <w:szCs w:val="20"/>
                <w:color w:val="auto"/>
              </w:rPr>
            </w:pPr>
            <w:r>
              <w:rPr>
                <w:rFonts w:ascii="Arial" w:cs="Arial" w:eastAsia="Arial" w:hAnsi="Arial"/>
                <w:sz w:val="11"/>
                <w:szCs w:val="11"/>
                <w:b w:val="1"/>
                <w:bCs w:val="1"/>
                <w:color w:val="auto"/>
                <w:w w:val="90"/>
              </w:rPr>
              <w:t>(f)</w:t>
            </w:r>
          </w:p>
        </w:tc>
        <w:tc>
          <w:tcPr>
            <w:tcW w:w="92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85"/>
              </w:rPr>
              <w:t>(g)</w:t>
            </w:r>
          </w:p>
        </w:tc>
        <w:tc>
          <w:tcPr>
            <w:tcW w:w="1200" w:type="dxa"/>
            <w:vAlign w:val="bottom"/>
            <w:tcBorders>
              <w:bottom w:val="single" w:sz="8" w:color="auto"/>
            </w:tcBorders>
          </w:tcPr>
          <w:p>
            <w:pPr>
              <w:jc w:val="center"/>
              <w:ind w:left="14"/>
              <w:spacing w:after="0"/>
              <w:rPr>
                <w:sz w:val="20"/>
                <w:szCs w:val="20"/>
                <w:color w:val="auto"/>
              </w:rPr>
            </w:pPr>
            <w:r>
              <w:rPr>
                <w:rFonts w:ascii="Arial" w:cs="Arial" w:eastAsia="Arial" w:hAnsi="Arial"/>
                <w:sz w:val="11"/>
                <w:szCs w:val="11"/>
                <w:b w:val="1"/>
                <w:bCs w:val="1"/>
                <w:color w:val="auto"/>
                <w:w w:val="85"/>
              </w:rPr>
              <w:t>(h)</w:t>
            </w:r>
          </w:p>
        </w:tc>
        <w:tc>
          <w:tcPr>
            <w:tcW w:w="1340" w:type="dxa"/>
            <w:vAlign w:val="bottom"/>
            <w:tcBorders>
              <w:bottom w:val="single" w:sz="8" w:color="auto"/>
            </w:tcBorders>
          </w:tcPr>
          <w:p>
            <w:pPr>
              <w:jc w:val="center"/>
              <w:ind w:left="11"/>
              <w:spacing w:after="0"/>
              <w:rPr>
                <w:sz w:val="20"/>
                <w:szCs w:val="20"/>
                <w:color w:val="auto"/>
              </w:rPr>
            </w:pPr>
            <w:r>
              <w:rPr>
                <w:rFonts w:ascii="Arial" w:cs="Arial" w:eastAsia="Arial" w:hAnsi="Arial"/>
                <w:sz w:val="11"/>
                <w:szCs w:val="11"/>
                <w:b w:val="1"/>
                <w:bCs w:val="1"/>
                <w:color w:val="auto"/>
                <w:w w:val="95"/>
              </w:rPr>
              <w:t>(i)</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(j)</w:t>
            </w:r>
          </w:p>
        </w:tc>
      </w:tr>
      <w:tr>
        <w:trPr>
          <w:trHeight w:val="272"/>
        </w:trPr>
        <w:tc>
          <w:tcPr>
            <w:tcW w:w="1880" w:type="dxa"/>
            <w:vAlign w:val="bottom"/>
            <w:tcBorders>
              <w:top w:val="single" w:sz="8" w:color="CCEEFF"/>
              <w:left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C. Howard Nye</w:t>
            </w:r>
            <w:r>
              <w:rPr>
                <w:rFonts w:ascii="Arial" w:cs="Arial" w:eastAsia="Arial" w:hAnsi="Arial"/>
                <w:sz w:val="12"/>
                <w:szCs w:val="12"/>
                <w:b w:val="1"/>
                <w:bCs w:val="1"/>
                <w:color w:val="auto"/>
              </w:rPr>
              <w:t>(6)</w:t>
            </w: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2010</w:t>
            </w:r>
          </w:p>
        </w:tc>
        <w:tc>
          <w:tcPr>
            <w:tcW w:w="8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800,000</w:t>
            </w:r>
          </w:p>
        </w:tc>
        <w:tc>
          <w:tcPr>
            <w:tcW w:w="7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390,000</w:t>
            </w:r>
          </w:p>
        </w:tc>
        <w:tc>
          <w:tcPr>
            <w:tcW w:w="8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967,503</w:t>
            </w:r>
          </w:p>
        </w:tc>
        <w:tc>
          <w:tcPr>
            <w:tcW w:w="900" w:type="dxa"/>
            <w:vAlign w:val="bottom"/>
            <w:tcBorders>
              <w:top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382,008</w:t>
            </w:r>
          </w:p>
        </w:tc>
        <w:tc>
          <w:tcPr>
            <w:tcW w:w="9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CCEEFF"/>
            </w:tcBorders>
            <w:shd w:val="clear" w:color="auto" w:fill="CCEEFF"/>
          </w:tcPr>
          <w:p>
            <w:pPr>
              <w:jc w:val="center"/>
              <w:ind w:left="14"/>
              <w:spacing w:after="0"/>
              <w:rPr>
                <w:sz w:val="20"/>
                <w:szCs w:val="20"/>
                <w:color w:val="auto"/>
              </w:rPr>
            </w:pPr>
            <w:r>
              <w:rPr>
                <w:rFonts w:ascii="Arial" w:cs="Arial" w:eastAsia="Arial" w:hAnsi="Arial"/>
                <w:sz w:val="14"/>
                <w:szCs w:val="14"/>
                <w:color w:val="auto"/>
                <w:w w:val="94"/>
              </w:rPr>
              <w:t>143,656</w:t>
            </w:r>
          </w:p>
        </w:tc>
        <w:tc>
          <w:tcPr>
            <w:tcW w:w="1340" w:type="dxa"/>
            <w:vAlign w:val="bottom"/>
            <w:tcBorders>
              <w:top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rPr>
              <w:t>157,167</w:t>
            </w:r>
          </w:p>
        </w:tc>
        <w:tc>
          <w:tcPr>
            <w:tcW w:w="9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2,840,334</w:t>
            </w:r>
          </w:p>
        </w:tc>
      </w:tr>
      <w:tr>
        <w:trPr>
          <w:trHeight w:val="149"/>
        </w:trPr>
        <w:tc>
          <w:tcPr>
            <w:tcW w:w="18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88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670,000</w:t>
            </w:r>
          </w:p>
        </w:tc>
        <w:tc>
          <w:tcPr>
            <w:tcW w:w="7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267,129</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1,124,108</w:t>
            </w:r>
          </w:p>
        </w:tc>
        <w:tc>
          <w:tcPr>
            <w:tcW w:w="90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431,168</w:t>
            </w:r>
          </w:p>
        </w:tc>
        <w:tc>
          <w:tcPr>
            <w:tcW w:w="92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left="14"/>
              <w:spacing w:after="0" w:line="149" w:lineRule="exact"/>
              <w:rPr>
                <w:sz w:val="20"/>
                <w:szCs w:val="20"/>
                <w:color w:val="auto"/>
              </w:rPr>
            </w:pPr>
            <w:r>
              <w:rPr>
                <w:rFonts w:ascii="Arial" w:cs="Arial" w:eastAsia="Arial" w:hAnsi="Arial"/>
                <w:sz w:val="14"/>
                <w:szCs w:val="14"/>
                <w:color w:val="auto"/>
                <w:w w:val="94"/>
              </w:rPr>
              <w:t>104,157</w:t>
            </w:r>
          </w:p>
        </w:tc>
        <w:tc>
          <w:tcPr>
            <w:tcW w:w="1340" w:type="dxa"/>
            <w:vAlign w:val="bottom"/>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111,255</w:t>
            </w:r>
          </w:p>
        </w:tc>
        <w:tc>
          <w:tcPr>
            <w:tcW w:w="92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2,707,817</w:t>
            </w:r>
          </w:p>
        </w:tc>
      </w:tr>
      <w:tr>
        <w:trPr>
          <w:trHeight w:val="167"/>
        </w:trPr>
        <w:tc>
          <w:tcPr>
            <w:tcW w:w="1880" w:type="dxa"/>
            <w:vAlign w:val="bottom"/>
            <w:tcBorders>
              <w:lef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646,667</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279,360</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1,465,612</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634,092</w:t>
            </w:r>
          </w:p>
        </w:tc>
        <w:tc>
          <w:tcPr>
            <w:tcW w:w="92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4"/>
                <w:szCs w:val="14"/>
                <w:color w:val="auto"/>
                <w:w w:val="94"/>
              </w:rPr>
              <w:t>109,419</w:t>
            </w:r>
          </w:p>
        </w:tc>
        <w:tc>
          <w:tcPr>
            <w:tcW w:w="134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91,711</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3,226,861</w:t>
            </w:r>
          </w:p>
        </w:tc>
      </w:tr>
      <w:tr>
        <w:trPr>
          <w:trHeight w:val="130"/>
        </w:trPr>
        <w:tc>
          <w:tcPr>
            <w:tcW w:w="18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Anne H. Lloyd</w:t>
            </w:r>
          </w:p>
        </w:tc>
        <w:tc>
          <w:tcPr>
            <w:tcW w:w="120" w:type="dxa"/>
            <w:vAlign w:val="bottom"/>
          </w:tcPr>
          <w:p>
            <w:pPr>
              <w:spacing w:after="0"/>
              <w:rPr>
                <w:sz w:val="11"/>
                <w:szCs w:val="11"/>
                <w:color w:val="auto"/>
              </w:rPr>
            </w:pPr>
          </w:p>
        </w:tc>
        <w:tc>
          <w:tcPr>
            <w:tcW w:w="380" w:type="dxa"/>
            <w:vAlign w:val="bottom"/>
          </w:tcPr>
          <w:p>
            <w:pPr>
              <w:jc w:val="center"/>
              <w:spacing w:after="0" w:line="130" w:lineRule="exact"/>
              <w:rPr>
                <w:sz w:val="20"/>
                <w:szCs w:val="20"/>
                <w:color w:val="auto"/>
              </w:rPr>
            </w:pPr>
            <w:r>
              <w:rPr>
                <w:rFonts w:ascii="Arial" w:cs="Arial" w:eastAsia="Arial" w:hAnsi="Arial"/>
                <w:sz w:val="14"/>
                <w:szCs w:val="14"/>
                <w:color w:val="auto"/>
                <w:w w:val="89"/>
              </w:rPr>
              <w:t>2010</w:t>
            </w:r>
          </w:p>
        </w:tc>
        <w:tc>
          <w:tcPr>
            <w:tcW w:w="880" w:type="dxa"/>
            <w:vAlign w:val="bottom"/>
          </w:tcPr>
          <w:p>
            <w:pPr>
              <w:jc w:val="right"/>
              <w:ind w:right="50"/>
              <w:spacing w:after="0" w:line="130" w:lineRule="exact"/>
              <w:rPr>
                <w:sz w:val="20"/>
                <w:szCs w:val="20"/>
                <w:color w:val="auto"/>
              </w:rPr>
            </w:pPr>
            <w:r>
              <w:rPr>
                <w:rFonts w:ascii="Arial" w:cs="Arial" w:eastAsia="Arial" w:hAnsi="Arial"/>
                <w:sz w:val="14"/>
                <w:szCs w:val="14"/>
                <w:color w:val="auto"/>
              </w:rPr>
              <w:t>454,500</w:t>
            </w:r>
          </w:p>
        </w:tc>
        <w:tc>
          <w:tcPr>
            <w:tcW w:w="740" w:type="dxa"/>
            <w:vAlign w:val="bottom"/>
          </w:tcPr>
          <w:p>
            <w:pPr>
              <w:jc w:val="right"/>
              <w:ind w:right="30"/>
              <w:spacing w:after="0" w:line="130" w:lineRule="exact"/>
              <w:rPr>
                <w:sz w:val="20"/>
                <w:szCs w:val="20"/>
                <w:color w:val="auto"/>
              </w:rPr>
            </w:pPr>
            <w:r>
              <w:rPr>
                <w:rFonts w:ascii="Arial" w:cs="Arial" w:eastAsia="Arial" w:hAnsi="Arial"/>
                <w:sz w:val="14"/>
                <w:szCs w:val="14"/>
                <w:color w:val="auto"/>
              </w:rPr>
              <w:t>218,160</w:t>
            </w:r>
          </w:p>
        </w:tc>
        <w:tc>
          <w:tcPr>
            <w:tcW w:w="880" w:type="dxa"/>
            <w:vAlign w:val="bottom"/>
          </w:tcPr>
          <w:p>
            <w:pPr>
              <w:jc w:val="right"/>
              <w:ind w:right="52"/>
              <w:spacing w:after="0" w:line="130" w:lineRule="exact"/>
              <w:rPr>
                <w:sz w:val="20"/>
                <w:szCs w:val="20"/>
                <w:color w:val="auto"/>
              </w:rPr>
            </w:pPr>
            <w:r>
              <w:rPr>
                <w:rFonts w:ascii="Arial" w:cs="Arial" w:eastAsia="Arial" w:hAnsi="Arial"/>
                <w:sz w:val="14"/>
                <w:szCs w:val="14"/>
                <w:color w:val="auto"/>
              </w:rPr>
              <w:t>361,399</w:t>
            </w:r>
          </w:p>
        </w:tc>
        <w:tc>
          <w:tcPr>
            <w:tcW w:w="900" w:type="dxa"/>
            <w:vAlign w:val="bottom"/>
          </w:tcPr>
          <w:p>
            <w:pPr>
              <w:jc w:val="right"/>
              <w:ind w:right="51"/>
              <w:spacing w:after="0" w:line="130" w:lineRule="exact"/>
              <w:rPr>
                <w:sz w:val="20"/>
                <w:szCs w:val="20"/>
                <w:color w:val="auto"/>
              </w:rPr>
            </w:pPr>
            <w:r>
              <w:rPr>
                <w:rFonts w:ascii="Arial" w:cs="Arial" w:eastAsia="Arial" w:hAnsi="Arial"/>
                <w:sz w:val="14"/>
                <w:szCs w:val="14"/>
                <w:color w:val="auto"/>
              </w:rPr>
              <w:t>129,451</w:t>
            </w:r>
          </w:p>
        </w:tc>
        <w:tc>
          <w:tcPr>
            <w:tcW w:w="920" w:type="dxa"/>
            <w:vAlign w:val="bottom"/>
          </w:tcPr>
          <w:p>
            <w:pPr>
              <w:spacing w:after="0"/>
              <w:rPr>
                <w:sz w:val="11"/>
                <w:szCs w:val="11"/>
                <w:color w:val="auto"/>
              </w:rPr>
            </w:pPr>
          </w:p>
        </w:tc>
        <w:tc>
          <w:tcPr>
            <w:tcW w:w="1200" w:type="dxa"/>
            <w:vAlign w:val="bottom"/>
          </w:tcPr>
          <w:p>
            <w:pPr>
              <w:jc w:val="center"/>
              <w:ind w:left="14"/>
              <w:spacing w:after="0" w:line="130" w:lineRule="exact"/>
              <w:rPr>
                <w:sz w:val="20"/>
                <w:szCs w:val="20"/>
                <w:color w:val="auto"/>
              </w:rPr>
            </w:pPr>
            <w:r>
              <w:rPr>
                <w:rFonts w:ascii="Arial" w:cs="Arial" w:eastAsia="Arial" w:hAnsi="Arial"/>
                <w:sz w:val="14"/>
                <w:szCs w:val="14"/>
                <w:color w:val="auto"/>
                <w:w w:val="94"/>
              </w:rPr>
              <w:t>202,496</w:t>
            </w:r>
          </w:p>
        </w:tc>
        <w:tc>
          <w:tcPr>
            <w:tcW w:w="1340" w:type="dxa"/>
            <w:vAlign w:val="bottom"/>
          </w:tcPr>
          <w:p>
            <w:pPr>
              <w:jc w:val="right"/>
              <w:ind w:right="331"/>
              <w:spacing w:after="0" w:line="130" w:lineRule="exact"/>
              <w:rPr>
                <w:sz w:val="20"/>
                <w:szCs w:val="20"/>
                <w:color w:val="auto"/>
              </w:rPr>
            </w:pPr>
            <w:r>
              <w:rPr>
                <w:rFonts w:ascii="Arial" w:cs="Arial" w:eastAsia="Arial" w:hAnsi="Arial"/>
                <w:sz w:val="14"/>
                <w:szCs w:val="14"/>
                <w:color w:val="auto"/>
              </w:rPr>
              <w:t>78,001</w:t>
            </w:r>
          </w:p>
        </w:tc>
        <w:tc>
          <w:tcPr>
            <w:tcW w:w="920" w:type="dxa"/>
            <w:vAlign w:val="bottom"/>
          </w:tcPr>
          <w:p>
            <w:pPr>
              <w:jc w:val="right"/>
              <w:ind w:right="50"/>
              <w:spacing w:after="0" w:line="130" w:lineRule="exact"/>
              <w:rPr>
                <w:sz w:val="20"/>
                <w:szCs w:val="20"/>
                <w:color w:val="auto"/>
              </w:rPr>
            </w:pPr>
            <w:r>
              <w:rPr>
                <w:rFonts w:ascii="Arial" w:cs="Arial" w:eastAsia="Arial" w:hAnsi="Arial"/>
                <w:sz w:val="14"/>
                <w:szCs w:val="14"/>
                <w:color w:val="auto"/>
              </w:rPr>
              <w:t>1,444,008</w:t>
            </w:r>
          </w:p>
        </w:tc>
      </w:tr>
      <w:tr>
        <w:trPr>
          <w:trHeight w:val="149"/>
        </w:trPr>
        <w:tc>
          <w:tcPr>
            <w:tcW w:w="1880" w:type="dxa"/>
            <w:vAlign w:val="bottom"/>
          </w:tcPr>
          <w:p>
            <w:pPr>
              <w:ind w:left="160"/>
              <w:spacing w:after="0" w:line="149" w:lineRule="exact"/>
              <w:rPr>
                <w:sz w:val="20"/>
                <w:szCs w:val="20"/>
                <w:color w:val="auto"/>
              </w:rPr>
            </w:pPr>
            <w:r>
              <w:rPr>
                <w:rFonts w:ascii="Arial" w:cs="Arial" w:eastAsia="Arial" w:hAnsi="Arial"/>
                <w:sz w:val="14"/>
                <w:szCs w:val="14"/>
                <w:color w:val="auto"/>
              </w:rPr>
              <w:t>Executive Vice President,</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880" w:type="dxa"/>
            <w:vAlign w:val="bottom"/>
          </w:tcPr>
          <w:p>
            <w:pPr>
              <w:jc w:val="right"/>
              <w:ind w:right="50"/>
              <w:spacing w:after="0" w:line="14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ind w:right="30"/>
              <w:spacing w:after="0" w:line="149" w:lineRule="exact"/>
              <w:rPr>
                <w:sz w:val="20"/>
                <w:szCs w:val="20"/>
                <w:color w:val="auto"/>
              </w:rPr>
            </w:pPr>
            <w:r>
              <w:rPr>
                <w:rFonts w:ascii="Arial" w:cs="Arial" w:eastAsia="Arial" w:hAnsi="Arial"/>
                <w:sz w:val="14"/>
                <w:szCs w:val="14"/>
                <w:color w:val="auto"/>
              </w:rPr>
              <w:t>158,688</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708,388</w:t>
            </w:r>
          </w:p>
        </w:tc>
        <w:tc>
          <w:tcPr>
            <w:tcW w:w="900" w:type="dxa"/>
            <w:vAlign w:val="bottom"/>
          </w:tcPr>
          <w:p>
            <w:pPr>
              <w:jc w:val="right"/>
              <w:ind w:right="51"/>
              <w:spacing w:after="0" w:line="149" w:lineRule="exact"/>
              <w:rPr>
                <w:sz w:val="20"/>
                <w:szCs w:val="20"/>
                <w:color w:val="auto"/>
              </w:rPr>
            </w:pPr>
            <w:r>
              <w:rPr>
                <w:rFonts w:ascii="Arial" w:cs="Arial" w:eastAsia="Arial" w:hAnsi="Arial"/>
                <w:sz w:val="14"/>
                <w:szCs w:val="14"/>
                <w:color w:val="auto"/>
              </w:rPr>
              <w:t>259,750</w:t>
            </w:r>
          </w:p>
        </w:tc>
        <w:tc>
          <w:tcPr>
            <w:tcW w:w="920" w:type="dxa"/>
            <w:vAlign w:val="bottom"/>
          </w:tcPr>
          <w:p>
            <w:pPr>
              <w:spacing w:after="0"/>
              <w:rPr>
                <w:sz w:val="12"/>
                <w:szCs w:val="12"/>
                <w:color w:val="auto"/>
              </w:rPr>
            </w:pPr>
          </w:p>
        </w:tc>
        <w:tc>
          <w:tcPr>
            <w:tcW w:w="120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4"/>
              </w:rPr>
              <w:t>174,542</w:t>
            </w:r>
          </w:p>
        </w:tc>
        <w:tc>
          <w:tcPr>
            <w:tcW w:w="134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79,119</w:t>
            </w:r>
          </w:p>
        </w:tc>
        <w:tc>
          <w:tcPr>
            <w:tcW w:w="9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1,830,487</w:t>
            </w:r>
          </w:p>
        </w:tc>
      </w:tr>
      <w:tr>
        <w:trPr>
          <w:trHeight w:val="167"/>
        </w:trPr>
        <w:tc>
          <w:tcPr>
            <w:tcW w:w="1880" w:type="dxa"/>
            <w:vAlign w:val="bottom"/>
          </w:tcPr>
          <w:p>
            <w:pPr>
              <w:ind w:left="160"/>
              <w:spacing w:after="0"/>
              <w:rPr>
                <w:sz w:val="20"/>
                <w:szCs w:val="20"/>
                <w:color w:val="auto"/>
              </w:rPr>
            </w:pPr>
            <w:r>
              <w:rPr>
                <w:rFonts w:ascii="Arial" w:cs="Arial" w:eastAsia="Arial" w:hAnsi="Arial"/>
                <w:sz w:val="14"/>
                <w:szCs w:val="14"/>
                <w:color w:val="auto"/>
              </w:rPr>
              <w:t>CFO and Treasurer</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89"/>
              </w:rPr>
              <w:t>2008</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430,000</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165,120</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956,963</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414,317</w:t>
            </w:r>
          </w:p>
        </w:tc>
        <w:tc>
          <w:tcPr>
            <w:tcW w:w="920" w:type="dxa"/>
            <w:vAlign w:val="bottom"/>
          </w:tcPr>
          <w:p>
            <w:pPr>
              <w:spacing w:after="0"/>
              <w:rPr>
                <w:sz w:val="14"/>
                <w:szCs w:val="14"/>
                <w:color w:val="auto"/>
              </w:rPr>
            </w:pPr>
          </w:p>
        </w:tc>
        <w:tc>
          <w:tcPr>
            <w:tcW w:w="1200" w:type="dxa"/>
            <w:vAlign w:val="bottom"/>
          </w:tcPr>
          <w:p>
            <w:pPr>
              <w:jc w:val="center"/>
              <w:ind w:left="14"/>
              <w:spacing w:after="0"/>
              <w:rPr>
                <w:sz w:val="20"/>
                <w:szCs w:val="20"/>
                <w:color w:val="auto"/>
              </w:rPr>
            </w:pPr>
            <w:r>
              <w:rPr>
                <w:rFonts w:ascii="Arial" w:cs="Arial" w:eastAsia="Arial" w:hAnsi="Arial"/>
                <w:sz w:val="14"/>
                <w:szCs w:val="14"/>
                <w:color w:val="auto"/>
                <w:w w:val="94"/>
              </w:rPr>
              <w:t>153,819</w:t>
            </w:r>
          </w:p>
        </w:tc>
        <w:tc>
          <w:tcPr>
            <w:tcW w:w="1340" w:type="dxa"/>
            <w:vAlign w:val="bottom"/>
          </w:tcPr>
          <w:p>
            <w:pPr>
              <w:jc w:val="right"/>
              <w:ind w:right="331"/>
              <w:spacing w:after="0"/>
              <w:rPr>
                <w:sz w:val="20"/>
                <w:szCs w:val="20"/>
                <w:color w:val="auto"/>
              </w:rPr>
            </w:pPr>
            <w:r>
              <w:rPr>
                <w:rFonts w:ascii="Arial" w:cs="Arial" w:eastAsia="Arial" w:hAnsi="Arial"/>
                <w:sz w:val="14"/>
                <w:szCs w:val="14"/>
                <w:color w:val="auto"/>
              </w:rPr>
              <w:t>77,680</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2,197,899</w:t>
            </w:r>
          </w:p>
        </w:tc>
      </w:tr>
      <w:tr>
        <w:trPr>
          <w:trHeight w:val="130"/>
        </w:trPr>
        <w:tc>
          <w:tcPr>
            <w:tcW w:w="18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Daniel G. Shephard</w:t>
            </w:r>
            <w:r>
              <w:rPr>
                <w:rFonts w:ascii="Arial" w:cs="Arial" w:eastAsia="Arial" w:hAnsi="Arial"/>
                <w:sz w:val="12"/>
                <w:szCs w:val="12"/>
                <w:b w:val="1"/>
                <w:bCs w:val="1"/>
                <w:color w:val="auto"/>
              </w:rPr>
              <w:t>(7)</w:t>
            </w:r>
          </w:p>
        </w:tc>
        <w:tc>
          <w:tcPr>
            <w:tcW w:w="50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2010</w:t>
            </w:r>
          </w:p>
        </w:tc>
        <w:tc>
          <w:tcPr>
            <w:tcW w:w="88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444,400</w:t>
            </w:r>
          </w:p>
        </w:tc>
        <w:tc>
          <w:tcPr>
            <w:tcW w:w="740" w:type="dxa"/>
            <w:vAlign w:val="bottom"/>
            <w:shd w:val="clear" w:color="auto" w:fill="CCEEFF"/>
          </w:tcPr>
          <w:p>
            <w:pPr>
              <w:jc w:val="right"/>
              <w:ind w:right="30"/>
              <w:spacing w:after="0" w:line="130" w:lineRule="exact"/>
              <w:rPr>
                <w:sz w:val="20"/>
                <w:szCs w:val="20"/>
                <w:color w:val="auto"/>
              </w:rPr>
            </w:pPr>
            <w:r>
              <w:rPr>
                <w:rFonts w:ascii="Arial" w:cs="Arial" w:eastAsia="Arial" w:hAnsi="Arial"/>
                <w:sz w:val="14"/>
                <w:szCs w:val="14"/>
                <w:color w:val="auto"/>
              </w:rPr>
              <w:t>204,779</w:t>
            </w:r>
          </w:p>
        </w:tc>
        <w:tc>
          <w:tcPr>
            <w:tcW w:w="880" w:type="dxa"/>
            <w:vAlign w:val="bottom"/>
            <w:shd w:val="clear" w:color="auto" w:fill="CCEEFF"/>
          </w:tcPr>
          <w:p>
            <w:pPr>
              <w:jc w:val="right"/>
              <w:ind w:right="52"/>
              <w:spacing w:after="0" w:line="130" w:lineRule="exact"/>
              <w:rPr>
                <w:sz w:val="20"/>
                <w:szCs w:val="20"/>
                <w:color w:val="auto"/>
              </w:rPr>
            </w:pPr>
            <w:r>
              <w:rPr>
                <w:rFonts w:ascii="Arial" w:cs="Arial" w:eastAsia="Arial" w:hAnsi="Arial"/>
                <w:sz w:val="14"/>
                <w:szCs w:val="14"/>
                <w:color w:val="auto"/>
              </w:rPr>
              <w:t>355,262</w:t>
            </w:r>
          </w:p>
        </w:tc>
        <w:tc>
          <w:tcPr>
            <w:tcW w:w="900" w:type="dxa"/>
            <w:vAlign w:val="bottom"/>
            <w:shd w:val="clear" w:color="auto" w:fill="CCEEFF"/>
          </w:tcPr>
          <w:p>
            <w:pPr>
              <w:jc w:val="right"/>
              <w:ind w:right="51"/>
              <w:spacing w:after="0" w:line="130" w:lineRule="exact"/>
              <w:rPr>
                <w:sz w:val="20"/>
                <w:szCs w:val="20"/>
                <w:color w:val="auto"/>
              </w:rPr>
            </w:pPr>
            <w:r>
              <w:rPr>
                <w:rFonts w:ascii="Arial" w:cs="Arial" w:eastAsia="Arial" w:hAnsi="Arial"/>
                <w:sz w:val="14"/>
                <w:szCs w:val="14"/>
                <w:color w:val="auto"/>
              </w:rPr>
              <w:t>129,451</w:t>
            </w:r>
          </w:p>
        </w:tc>
        <w:tc>
          <w:tcPr>
            <w:tcW w:w="92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left="34"/>
              <w:spacing w:after="0" w:line="130" w:lineRule="exact"/>
              <w:rPr>
                <w:sz w:val="20"/>
                <w:szCs w:val="20"/>
                <w:color w:val="auto"/>
              </w:rPr>
            </w:pPr>
            <w:r>
              <w:rPr>
                <w:rFonts w:ascii="Arial" w:cs="Arial" w:eastAsia="Arial" w:hAnsi="Arial"/>
                <w:sz w:val="14"/>
                <w:szCs w:val="14"/>
                <w:color w:val="auto"/>
                <w:w w:val="90"/>
              </w:rPr>
              <w:t>336,811</w:t>
            </w:r>
          </w:p>
        </w:tc>
        <w:tc>
          <w:tcPr>
            <w:tcW w:w="1340" w:type="dxa"/>
            <w:vAlign w:val="bottom"/>
            <w:shd w:val="clear" w:color="auto" w:fill="CCEEFF"/>
          </w:tcPr>
          <w:p>
            <w:pPr>
              <w:jc w:val="right"/>
              <w:ind w:right="331"/>
              <w:spacing w:after="0" w:line="130" w:lineRule="exact"/>
              <w:rPr>
                <w:sz w:val="20"/>
                <w:szCs w:val="20"/>
                <w:color w:val="auto"/>
              </w:rPr>
            </w:pPr>
            <w:r>
              <w:rPr>
                <w:rFonts w:ascii="Arial" w:cs="Arial" w:eastAsia="Arial" w:hAnsi="Arial"/>
                <w:sz w:val="14"/>
                <w:szCs w:val="14"/>
                <w:color w:val="auto"/>
              </w:rPr>
              <w:t>86,694</w:t>
            </w:r>
          </w:p>
        </w:tc>
        <w:tc>
          <w:tcPr>
            <w:tcW w:w="92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1,557,397</w:t>
            </w:r>
          </w:p>
        </w:tc>
      </w:tr>
      <w:tr>
        <w:trPr>
          <w:trHeight w:val="149"/>
        </w:trPr>
        <w:tc>
          <w:tcPr>
            <w:tcW w:w="18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88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n/a</w:t>
            </w:r>
          </w:p>
        </w:tc>
        <w:tc>
          <w:tcPr>
            <w:tcW w:w="7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n/a</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spacing w:after="0"/>
              <w:rPr>
                <w:sz w:val="12"/>
                <w:szCs w:val="12"/>
                <w:color w:val="auto"/>
              </w:rPr>
            </w:pPr>
          </w:p>
        </w:tc>
        <w:tc>
          <w:tcPr>
            <w:tcW w:w="12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n/a</w:t>
            </w:r>
          </w:p>
        </w:tc>
      </w:tr>
      <w:tr>
        <w:trPr>
          <w:trHeight w:val="167"/>
        </w:trPr>
        <w:tc>
          <w:tcPr>
            <w:tcW w:w="1880" w:type="dxa"/>
            <w:vAlign w:val="bottom"/>
            <w:tcBorders>
              <w:left w:val="single" w:sz="8" w:color="auto"/>
            </w:tcBorders>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n/a</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n/a</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n/a</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spacing w:after="0"/>
              <w:rPr>
                <w:sz w:val="14"/>
                <w:szCs w:val="14"/>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n/a</w:t>
            </w:r>
          </w:p>
        </w:tc>
        <w:tc>
          <w:tcPr>
            <w:tcW w:w="134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n/a</w:t>
            </w:r>
          </w:p>
        </w:tc>
      </w:tr>
      <w:tr>
        <w:trPr>
          <w:trHeight w:val="130"/>
        </w:trPr>
        <w:tc>
          <w:tcPr>
            <w:tcW w:w="18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Bruce A. Vaio</w:t>
            </w:r>
            <w:r>
              <w:rPr>
                <w:rFonts w:ascii="Arial" w:cs="Arial" w:eastAsia="Arial" w:hAnsi="Arial"/>
                <w:sz w:val="12"/>
                <w:szCs w:val="12"/>
                <w:b w:val="1"/>
                <w:bCs w:val="1"/>
                <w:color w:val="auto"/>
              </w:rPr>
              <w:t>(8)</w:t>
            </w:r>
          </w:p>
        </w:tc>
        <w:tc>
          <w:tcPr>
            <w:tcW w:w="50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89"/>
              </w:rPr>
              <w:t>2010</w:t>
            </w:r>
          </w:p>
        </w:tc>
        <w:tc>
          <w:tcPr>
            <w:tcW w:w="880" w:type="dxa"/>
            <w:vAlign w:val="bottom"/>
          </w:tcPr>
          <w:p>
            <w:pPr>
              <w:jc w:val="right"/>
              <w:ind w:right="50"/>
              <w:spacing w:after="0" w:line="130" w:lineRule="exact"/>
              <w:rPr>
                <w:sz w:val="20"/>
                <w:szCs w:val="20"/>
                <w:color w:val="auto"/>
              </w:rPr>
            </w:pPr>
            <w:r>
              <w:rPr>
                <w:rFonts w:ascii="Arial" w:cs="Arial" w:eastAsia="Arial" w:hAnsi="Arial"/>
                <w:sz w:val="14"/>
                <w:szCs w:val="14"/>
                <w:color w:val="auto"/>
              </w:rPr>
              <w:t>444,400</w:t>
            </w:r>
          </w:p>
        </w:tc>
        <w:tc>
          <w:tcPr>
            <w:tcW w:w="740" w:type="dxa"/>
            <w:vAlign w:val="bottom"/>
          </w:tcPr>
          <w:p>
            <w:pPr>
              <w:jc w:val="right"/>
              <w:ind w:right="30"/>
              <w:spacing w:after="0" w:line="130" w:lineRule="exact"/>
              <w:rPr>
                <w:sz w:val="20"/>
                <w:szCs w:val="20"/>
                <w:color w:val="auto"/>
              </w:rPr>
            </w:pPr>
            <w:r>
              <w:rPr>
                <w:rFonts w:ascii="Arial" w:cs="Arial" w:eastAsia="Arial" w:hAnsi="Arial"/>
                <w:sz w:val="14"/>
                <w:szCs w:val="14"/>
                <w:color w:val="auto"/>
              </w:rPr>
              <w:t>213,312</w:t>
            </w:r>
          </w:p>
        </w:tc>
        <w:tc>
          <w:tcPr>
            <w:tcW w:w="880" w:type="dxa"/>
            <w:vAlign w:val="bottom"/>
          </w:tcPr>
          <w:p>
            <w:pPr>
              <w:jc w:val="right"/>
              <w:ind w:right="52"/>
              <w:spacing w:after="0" w:line="130" w:lineRule="exact"/>
              <w:rPr>
                <w:sz w:val="20"/>
                <w:szCs w:val="20"/>
                <w:color w:val="auto"/>
              </w:rPr>
            </w:pPr>
            <w:r>
              <w:rPr>
                <w:rFonts w:ascii="Arial" w:cs="Arial" w:eastAsia="Arial" w:hAnsi="Arial"/>
                <w:sz w:val="14"/>
                <w:szCs w:val="14"/>
                <w:color w:val="auto"/>
              </w:rPr>
              <w:t>357,395</w:t>
            </w:r>
          </w:p>
        </w:tc>
        <w:tc>
          <w:tcPr>
            <w:tcW w:w="900" w:type="dxa"/>
            <w:vAlign w:val="bottom"/>
          </w:tcPr>
          <w:p>
            <w:pPr>
              <w:jc w:val="right"/>
              <w:ind w:right="51"/>
              <w:spacing w:after="0" w:line="130" w:lineRule="exact"/>
              <w:rPr>
                <w:sz w:val="20"/>
                <w:szCs w:val="20"/>
                <w:color w:val="auto"/>
              </w:rPr>
            </w:pPr>
            <w:r>
              <w:rPr>
                <w:rFonts w:ascii="Arial" w:cs="Arial" w:eastAsia="Arial" w:hAnsi="Arial"/>
                <w:sz w:val="14"/>
                <w:szCs w:val="14"/>
                <w:color w:val="auto"/>
              </w:rPr>
              <w:t>129,451</w:t>
            </w:r>
          </w:p>
        </w:tc>
        <w:tc>
          <w:tcPr>
            <w:tcW w:w="920" w:type="dxa"/>
            <w:vAlign w:val="bottom"/>
          </w:tcPr>
          <w:p>
            <w:pPr>
              <w:spacing w:after="0"/>
              <w:rPr>
                <w:sz w:val="11"/>
                <w:szCs w:val="11"/>
                <w:color w:val="auto"/>
              </w:rPr>
            </w:pPr>
          </w:p>
        </w:tc>
        <w:tc>
          <w:tcPr>
            <w:tcW w:w="1200" w:type="dxa"/>
            <w:vAlign w:val="bottom"/>
          </w:tcPr>
          <w:p>
            <w:pPr>
              <w:jc w:val="center"/>
              <w:ind w:left="14"/>
              <w:spacing w:after="0" w:line="130" w:lineRule="exact"/>
              <w:rPr>
                <w:sz w:val="20"/>
                <w:szCs w:val="20"/>
                <w:color w:val="auto"/>
              </w:rPr>
            </w:pPr>
            <w:r>
              <w:rPr>
                <w:rFonts w:ascii="Arial" w:cs="Arial" w:eastAsia="Arial" w:hAnsi="Arial"/>
                <w:sz w:val="14"/>
                <w:szCs w:val="14"/>
                <w:color w:val="auto"/>
                <w:w w:val="94"/>
              </w:rPr>
              <w:t>208,790</w:t>
            </w:r>
          </w:p>
        </w:tc>
        <w:tc>
          <w:tcPr>
            <w:tcW w:w="1340" w:type="dxa"/>
            <w:vAlign w:val="bottom"/>
          </w:tcPr>
          <w:p>
            <w:pPr>
              <w:jc w:val="right"/>
              <w:ind w:right="331"/>
              <w:spacing w:after="0" w:line="130" w:lineRule="exact"/>
              <w:rPr>
                <w:sz w:val="20"/>
                <w:szCs w:val="20"/>
                <w:color w:val="auto"/>
              </w:rPr>
            </w:pPr>
            <w:r>
              <w:rPr>
                <w:rFonts w:ascii="Arial" w:cs="Arial" w:eastAsia="Arial" w:hAnsi="Arial"/>
                <w:sz w:val="14"/>
                <w:szCs w:val="14"/>
                <w:color w:val="auto"/>
              </w:rPr>
              <w:t>81,612</w:t>
            </w:r>
          </w:p>
        </w:tc>
        <w:tc>
          <w:tcPr>
            <w:tcW w:w="920" w:type="dxa"/>
            <w:vAlign w:val="bottom"/>
          </w:tcPr>
          <w:p>
            <w:pPr>
              <w:jc w:val="right"/>
              <w:ind w:right="50"/>
              <w:spacing w:after="0" w:line="130" w:lineRule="exact"/>
              <w:rPr>
                <w:sz w:val="20"/>
                <w:szCs w:val="20"/>
                <w:color w:val="auto"/>
              </w:rPr>
            </w:pPr>
            <w:r>
              <w:rPr>
                <w:rFonts w:ascii="Arial" w:cs="Arial" w:eastAsia="Arial" w:hAnsi="Arial"/>
                <w:sz w:val="14"/>
                <w:szCs w:val="14"/>
                <w:color w:val="auto"/>
              </w:rPr>
              <w:t>1,434,960</w:t>
            </w:r>
          </w:p>
        </w:tc>
      </w:tr>
      <w:tr>
        <w:trPr>
          <w:trHeight w:val="149"/>
        </w:trPr>
        <w:tc>
          <w:tcPr>
            <w:tcW w:w="1880" w:type="dxa"/>
            <w:vAlign w:val="bottom"/>
          </w:tcPr>
          <w:p>
            <w:pPr>
              <w:ind w:left="160"/>
              <w:spacing w:after="0" w:line="149" w:lineRule="exact"/>
              <w:rPr>
                <w:sz w:val="20"/>
                <w:szCs w:val="20"/>
                <w:color w:val="auto"/>
              </w:rPr>
            </w:pPr>
            <w:r>
              <w:rPr>
                <w:rFonts w:ascii="Arial" w:cs="Arial" w:eastAsia="Arial" w:hAnsi="Arial"/>
                <w:sz w:val="14"/>
                <w:szCs w:val="14"/>
                <w:color w:val="auto"/>
              </w:rPr>
              <w:t>Executive Vice President</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880" w:type="dxa"/>
            <w:vAlign w:val="bottom"/>
          </w:tcPr>
          <w:p>
            <w:pPr>
              <w:jc w:val="right"/>
              <w:ind w:right="50"/>
              <w:spacing w:after="0" w:line="149" w:lineRule="exact"/>
              <w:rPr>
                <w:sz w:val="20"/>
                <w:szCs w:val="20"/>
                <w:color w:val="auto"/>
              </w:rPr>
            </w:pPr>
            <w:r>
              <w:rPr>
                <w:rFonts w:ascii="Arial" w:cs="Arial" w:eastAsia="Arial" w:hAnsi="Arial"/>
                <w:sz w:val="14"/>
                <w:szCs w:val="14"/>
                <w:color w:val="auto"/>
              </w:rPr>
              <w:t>440,000</w:t>
            </w:r>
          </w:p>
        </w:tc>
        <w:tc>
          <w:tcPr>
            <w:tcW w:w="740" w:type="dxa"/>
            <w:vAlign w:val="bottom"/>
          </w:tcPr>
          <w:p>
            <w:pPr>
              <w:jc w:val="right"/>
              <w:ind w:right="30"/>
              <w:spacing w:after="0" w:line="149" w:lineRule="exact"/>
              <w:rPr>
                <w:sz w:val="20"/>
                <w:szCs w:val="20"/>
                <w:color w:val="auto"/>
              </w:rPr>
            </w:pPr>
            <w:r>
              <w:rPr>
                <w:rFonts w:ascii="Arial" w:cs="Arial" w:eastAsia="Arial" w:hAnsi="Arial"/>
                <w:sz w:val="14"/>
                <w:szCs w:val="14"/>
                <w:color w:val="auto"/>
              </w:rPr>
              <w:t>159,949</w:t>
            </w: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701,838</w:t>
            </w:r>
          </w:p>
        </w:tc>
        <w:tc>
          <w:tcPr>
            <w:tcW w:w="900" w:type="dxa"/>
            <w:vAlign w:val="bottom"/>
          </w:tcPr>
          <w:p>
            <w:pPr>
              <w:jc w:val="right"/>
              <w:ind w:right="51"/>
              <w:spacing w:after="0" w:line="149" w:lineRule="exact"/>
              <w:rPr>
                <w:sz w:val="20"/>
                <w:szCs w:val="20"/>
                <w:color w:val="auto"/>
              </w:rPr>
            </w:pPr>
            <w:r>
              <w:rPr>
                <w:rFonts w:ascii="Arial" w:cs="Arial" w:eastAsia="Arial" w:hAnsi="Arial"/>
                <w:sz w:val="14"/>
                <w:szCs w:val="14"/>
                <w:color w:val="auto"/>
              </w:rPr>
              <w:t>259,750</w:t>
            </w:r>
          </w:p>
        </w:tc>
        <w:tc>
          <w:tcPr>
            <w:tcW w:w="920" w:type="dxa"/>
            <w:vAlign w:val="bottom"/>
          </w:tcPr>
          <w:p>
            <w:pPr>
              <w:spacing w:after="0"/>
              <w:rPr>
                <w:sz w:val="12"/>
                <w:szCs w:val="12"/>
                <w:color w:val="auto"/>
              </w:rPr>
            </w:pPr>
          </w:p>
        </w:tc>
        <w:tc>
          <w:tcPr>
            <w:tcW w:w="120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4"/>
              </w:rPr>
              <w:t>177,971</w:t>
            </w:r>
          </w:p>
        </w:tc>
        <w:tc>
          <w:tcPr>
            <w:tcW w:w="134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86,328</w:t>
            </w:r>
          </w:p>
        </w:tc>
        <w:tc>
          <w:tcPr>
            <w:tcW w:w="9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1,825,836</w:t>
            </w:r>
          </w:p>
        </w:tc>
      </w:tr>
      <w:tr>
        <w:trPr>
          <w:trHeight w:val="167"/>
        </w:trPr>
        <w:tc>
          <w:tcPr>
            <w:tcW w:w="18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89"/>
              </w:rPr>
              <w:t>2008</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n/a</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n/a</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n/a</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n/a</w:t>
            </w:r>
          </w:p>
        </w:tc>
        <w:tc>
          <w:tcPr>
            <w:tcW w:w="920" w:type="dxa"/>
            <w:vAlign w:val="bottom"/>
          </w:tcPr>
          <w:p>
            <w:pPr>
              <w:spacing w:after="0"/>
              <w:rPr>
                <w:sz w:val="14"/>
                <w:szCs w:val="14"/>
                <w:color w:val="auto"/>
              </w:rPr>
            </w:pPr>
          </w:p>
        </w:tc>
        <w:tc>
          <w:tcPr>
            <w:tcW w:w="1200" w:type="dxa"/>
            <w:vAlign w:val="bottom"/>
          </w:tcPr>
          <w:p>
            <w:pPr>
              <w:ind w:left="700"/>
              <w:spacing w:after="0"/>
              <w:rPr>
                <w:sz w:val="20"/>
                <w:szCs w:val="20"/>
                <w:color w:val="auto"/>
              </w:rPr>
            </w:pPr>
            <w:r>
              <w:rPr>
                <w:rFonts w:ascii="Arial" w:cs="Arial" w:eastAsia="Arial" w:hAnsi="Arial"/>
                <w:sz w:val="14"/>
                <w:szCs w:val="14"/>
                <w:color w:val="auto"/>
              </w:rPr>
              <w:t>n/a</w:t>
            </w:r>
          </w:p>
        </w:tc>
        <w:tc>
          <w:tcPr>
            <w:tcW w:w="1340" w:type="dxa"/>
            <w:vAlign w:val="bottom"/>
          </w:tcPr>
          <w:p>
            <w:pPr>
              <w:jc w:val="right"/>
              <w:ind w:right="331"/>
              <w:spacing w:after="0"/>
              <w:rPr>
                <w:sz w:val="20"/>
                <w:szCs w:val="20"/>
                <w:color w:val="auto"/>
              </w:rPr>
            </w:pPr>
            <w:r>
              <w:rPr>
                <w:rFonts w:ascii="Arial" w:cs="Arial" w:eastAsia="Arial" w:hAnsi="Arial"/>
                <w:sz w:val="14"/>
                <w:szCs w:val="14"/>
                <w:color w:val="auto"/>
              </w:rPr>
              <w:t>n/a</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n/a</w:t>
            </w:r>
          </w:p>
        </w:tc>
      </w:tr>
      <w:tr>
        <w:trPr>
          <w:trHeight w:val="130"/>
        </w:trPr>
        <w:tc>
          <w:tcPr>
            <w:tcW w:w="18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Stephen P. Zelnak, Jr.</w:t>
            </w:r>
            <w:r>
              <w:rPr>
                <w:rFonts w:ascii="Arial" w:cs="Arial" w:eastAsia="Arial" w:hAnsi="Arial"/>
                <w:sz w:val="12"/>
                <w:szCs w:val="12"/>
                <w:b w:val="1"/>
                <w:bCs w:val="1"/>
                <w:color w:val="auto"/>
              </w:rPr>
              <w:t>(9)</w:t>
            </w:r>
          </w:p>
        </w:tc>
        <w:tc>
          <w:tcPr>
            <w:tcW w:w="50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2010</w:t>
            </w:r>
          </w:p>
        </w:tc>
        <w:tc>
          <w:tcPr>
            <w:tcW w:w="88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550,961</w:t>
            </w:r>
          </w:p>
        </w:tc>
        <w:tc>
          <w:tcPr>
            <w:tcW w:w="740" w:type="dxa"/>
            <w:vAlign w:val="bottom"/>
            <w:shd w:val="clear" w:color="auto" w:fill="CCEEFF"/>
          </w:tcPr>
          <w:p>
            <w:pPr>
              <w:jc w:val="right"/>
              <w:ind w:right="30"/>
              <w:spacing w:after="0" w:line="130" w:lineRule="exact"/>
              <w:rPr>
                <w:sz w:val="20"/>
                <w:szCs w:val="20"/>
                <w:color w:val="auto"/>
              </w:rPr>
            </w:pPr>
            <w:r>
              <w:rPr>
                <w:rFonts w:ascii="Arial" w:cs="Arial" w:eastAsia="Arial" w:hAnsi="Arial"/>
                <w:sz w:val="14"/>
                <w:szCs w:val="14"/>
                <w:color w:val="auto"/>
              </w:rPr>
              <w:t>335,000</w:t>
            </w:r>
          </w:p>
        </w:tc>
        <w:tc>
          <w:tcPr>
            <w:tcW w:w="880" w:type="dxa"/>
            <w:vAlign w:val="bottom"/>
            <w:shd w:val="clear" w:color="auto" w:fill="CCEEFF"/>
          </w:tcPr>
          <w:p>
            <w:pPr>
              <w:jc w:val="right"/>
              <w:ind w:right="52"/>
              <w:spacing w:after="0" w:line="130" w:lineRule="exact"/>
              <w:rPr>
                <w:sz w:val="20"/>
                <w:szCs w:val="20"/>
                <w:color w:val="auto"/>
              </w:rPr>
            </w:pPr>
            <w:r>
              <w:rPr>
                <w:rFonts w:ascii="Arial" w:cs="Arial" w:eastAsia="Arial" w:hAnsi="Arial"/>
                <w:sz w:val="14"/>
                <w:szCs w:val="14"/>
                <w:color w:val="auto"/>
              </w:rPr>
              <w:t>315,211</w:t>
            </w:r>
          </w:p>
        </w:tc>
        <w:tc>
          <w:tcPr>
            <w:tcW w:w="900" w:type="dxa"/>
            <w:vAlign w:val="bottom"/>
            <w:shd w:val="clear" w:color="auto" w:fill="CCEEFF"/>
          </w:tcPr>
          <w:p>
            <w:pPr>
              <w:jc w:val="right"/>
              <w:ind w:right="51"/>
              <w:spacing w:after="0" w:line="130" w:lineRule="exact"/>
              <w:rPr>
                <w:sz w:val="20"/>
                <w:szCs w:val="20"/>
                <w:color w:val="auto"/>
              </w:rPr>
            </w:pPr>
            <w:r>
              <w:rPr>
                <w:rFonts w:ascii="Arial" w:cs="Arial" w:eastAsia="Arial" w:hAnsi="Arial"/>
                <w:sz w:val="14"/>
                <w:szCs w:val="14"/>
                <w:color w:val="auto"/>
              </w:rPr>
              <w:t>0</w:t>
            </w:r>
          </w:p>
        </w:tc>
        <w:tc>
          <w:tcPr>
            <w:tcW w:w="92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left="14"/>
              <w:spacing w:after="0" w:line="130" w:lineRule="exact"/>
              <w:rPr>
                <w:sz w:val="20"/>
                <w:szCs w:val="20"/>
                <w:color w:val="auto"/>
              </w:rPr>
            </w:pPr>
            <w:r>
              <w:rPr>
                <w:rFonts w:ascii="Arial" w:cs="Arial" w:eastAsia="Arial" w:hAnsi="Arial"/>
                <w:sz w:val="14"/>
                <w:szCs w:val="14"/>
                <w:color w:val="auto"/>
                <w:w w:val="94"/>
              </w:rPr>
              <w:t>542,088</w:t>
            </w:r>
          </w:p>
        </w:tc>
        <w:tc>
          <w:tcPr>
            <w:tcW w:w="1340" w:type="dxa"/>
            <w:vAlign w:val="bottom"/>
            <w:shd w:val="clear" w:color="auto" w:fill="CCEEFF"/>
          </w:tcPr>
          <w:p>
            <w:pPr>
              <w:jc w:val="right"/>
              <w:ind w:right="331"/>
              <w:spacing w:after="0" w:line="130" w:lineRule="exact"/>
              <w:rPr>
                <w:sz w:val="20"/>
                <w:szCs w:val="20"/>
                <w:color w:val="auto"/>
              </w:rPr>
            </w:pPr>
            <w:r>
              <w:rPr>
                <w:rFonts w:ascii="Arial" w:cs="Arial" w:eastAsia="Arial" w:hAnsi="Arial"/>
                <w:sz w:val="14"/>
                <w:szCs w:val="14"/>
                <w:color w:val="auto"/>
              </w:rPr>
              <w:t>168,855</w:t>
            </w:r>
          </w:p>
        </w:tc>
        <w:tc>
          <w:tcPr>
            <w:tcW w:w="920" w:type="dxa"/>
            <w:vAlign w:val="bottom"/>
            <w:shd w:val="clear" w:color="auto" w:fill="CCEEFF"/>
          </w:tcPr>
          <w:p>
            <w:pPr>
              <w:jc w:val="right"/>
              <w:ind w:right="50"/>
              <w:spacing w:after="0" w:line="130" w:lineRule="exact"/>
              <w:rPr>
                <w:sz w:val="20"/>
                <w:szCs w:val="20"/>
                <w:color w:val="auto"/>
              </w:rPr>
            </w:pPr>
            <w:r>
              <w:rPr>
                <w:rFonts w:ascii="Arial" w:cs="Arial" w:eastAsia="Arial" w:hAnsi="Arial"/>
                <w:sz w:val="14"/>
                <w:szCs w:val="14"/>
                <w:color w:val="auto"/>
              </w:rPr>
              <w:t>1,912,115</w:t>
            </w:r>
          </w:p>
        </w:tc>
      </w:tr>
      <w:tr>
        <w:trPr>
          <w:trHeight w:val="149"/>
        </w:trPr>
        <w:tc>
          <w:tcPr>
            <w:tcW w:w="1880" w:type="dxa"/>
            <w:vAlign w:val="bottom"/>
            <w:tcBorders>
              <w:left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Chairman</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88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1,125,000</w:t>
            </w:r>
          </w:p>
        </w:tc>
        <w:tc>
          <w:tcPr>
            <w:tcW w:w="740" w:type="dxa"/>
            <w:vAlign w:val="bottom"/>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618,750</w:t>
            </w:r>
          </w:p>
        </w:tc>
        <w:tc>
          <w:tcPr>
            <w:tcW w:w="8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2,377,608</w:t>
            </w:r>
          </w:p>
        </w:tc>
        <w:tc>
          <w:tcPr>
            <w:tcW w:w="90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1,156,720</w:t>
            </w:r>
          </w:p>
        </w:tc>
        <w:tc>
          <w:tcPr>
            <w:tcW w:w="92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left="14"/>
              <w:spacing w:after="0" w:line="149" w:lineRule="exact"/>
              <w:rPr>
                <w:sz w:val="20"/>
                <w:szCs w:val="20"/>
                <w:color w:val="auto"/>
              </w:rPr>
            </w:pPr>
            <w:r>
              <w:rPr>
                <w:rFonts w:ascii="Arial" w:cs="Arial" w:eastAsia="Arial" w:hAnsi="Arial"/>
                <w:sz w:val="14"/>
                <w:szCs w:val="14"/>
                <w:color w:val="auto"/>
                <w:w w:val="94"/>
              </w:rPr>
              <w:t>285,892</w:t>
            </w:r>
          </w:p>
        </w:tc>
        <w:tc>
          <w:tcPr>
            <w:tcW w:w="1340" w:type="dxa"/>
            <w:vAlign w:val="bottom"/>
            <w:shd w:val="clear" w:color="auto" w:fill="CCEEFF"/>
          </w:tcPr>
          <w:p>
            <w:pPr>
              <w:jc w:val="right"/>
              <w:ind w:right="331"/>
              <w:spacing w:after="0" w:line="149" w:lineRule="exact"/>
              <w:rPr>
                <w:sz w:val="20"/>
                <w:szCs w:val="20"/>
                <w:color w:val="auto"/>
              </w:rPr>
            </w:pPr>
            <w:r>
              <w:rPr>
                <w:rFonts w:ascii="Arial" w:cs="Arial" w:eastAsia="Arial" w:hAnsi="Arial"/>
                <w:sz w:val="14"/>
                <w:szCs w:val="14"/>
                <w:color w:val="auto"/>
              </w:rPr>
              <w:t>244,957</w:t>
            </w:r>
          </w:p>
        </w:tc>
        <w:tc>
          <w:tcPr>
            <w:tcW w:w="920" w:type="dxa"/>
            <w:vAlign w:val="bottom"/>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5,808,927</w:t>
            </w:r>
          </w:p>
        </w:tc>
      </w:tr>
      <w:tr>
        <w:trPr>
          <w:trHeight w:val="167"/>
        </w:trPr>
        <w:tc>
          <w:tcPr>
            <w:tcW w:w="1880" w:type="dxa"/>
            <w:vAlign w:val="bottom"/>
            <w:tcBorders>
              <w:left w:val="single" w:sz="8" w:color="auto"/>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1,100,625</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429,244</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3,671,106</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1,819,557</w:t>
            </w:r>
          </w:p>
        </w:tc>
        <w:tc>
          <w:tcPr>
            <w:tcW w:w="9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4"/>
                <w:szCs w:val="14"/>
                <w:color w:val="auto"/>
                <w:w w:val="94"/>
              </w:rPr>
              <w:t>689,310</w:t>
            </w:r>
          </w:p>
        </w:tc>
        <w:tc>
          <w:tcPr>
            <w:tcW w:w="13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rPr>
              <w:t>375,677</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8,085,519</w:t>
            </w:r>
          </w:p>
        </w:tc>
      </w:tr>
    </w:tbl>
    <w:p>
      <w:pPr>
        <w:spacing w:after="0" w:line="143" w:lineRule="exact"/>
        <w:rPr>
          <w:sz w:val="20"/>
          <w:szCs w:val="20"/>
          <w:color w:val="auto"/>
        </w:rPr>
      </w:pPr>
    </w:p>
    <w:p>
      <w:pPr>
        <w:ind w:left="1220" w:hanging="242"/>
        <w:spacing w:after="0" w:line="247"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amounts in column (d) reflect the cash bonuses to the named individuals earned in 2010 and paid in 2011 under the Executive Incentive Plan, which is discussed in further detail on page 33 under the heading “Annual Bonus Compensation.” The amounts in this column also include the amounts of bonus irrevocably deferred in common stock units at the election of each named executive officer pursuant to the Corporation’s Incentive Stock Plan, which is discussed in further detail on page 35 under the heading “Performance-Based Stock Purchase Awards.” The number of stock units and the related grant date fair value attributable to the amounts of bonus so deferred by the named executive officers appear in column (i) and (l), respectively, of the Grants of Plan-Based Awards Table on page 44. The amounts mandatorily deferred in 2010 are included in column (e). The amounts deferred in 2010 for each of the named executive officers at his or her election, which are included in column (d), are as follows: Mr. Nye, $0; Ms. Lloyd, $0; Mr. Shephard, $51,195; Mr. Vaio, $26,664; and Mr. Zelnak, $0.</w:t>
      </w:r>
    </w:p>
    <w:p>
      <w:pPr>
        <w:spacing w:after="0" w:line="16" w:lineRule="exact"/>
        <w:rPr>
          <w:rFonts w:ascii="Arial" w:cs="Arial" w:eastAsia="Arial" w:hAnsi="Arial"/>
          <w:sz w:val="13"/>
          <w:szCs w:val="13"/>
          <w:color w:val="auto"/>
        </w:rPr>
      </w:pPr>
    </w:p>
    <w:p>
      <w:pPr>
        <w:ind w:left="1220" w:right="20" w:hanging="242"/>
        <w:spacing w:after="0" w:line="247"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2010) and awards related to the amount of cash bonus irrevocably and mandatorily deferred in common stock units by each named executive officer pursuant to the Corporation’s Incentive Stock Plan, which is discussed in further detail on page 35 under the heading “Performance-Based Stock Purchase Awards.” The amount included in the table for performance-based restricted stock unit awards granted in 2010 reflects the value of the units granted, which is subject to forfeiture if the executive does not remain in the employment of the Corporation for the requisite time period (generally three or four years). The amounts in column (e) do not include the 20% discount on the Incentive Stock Plan units, which is reported in column (i). Assumptions used in the calculation of these amounts are included in Note A to the Corporation’s audited</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1008380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20"/>
        <w:spacing w:after="0" w:line="234" w:lineRule="auto"/>
        <w:rPr>
          <w:sz w:val="20"/>
          <w:szCs w:val="20"/>
          <w:color w:val="auto"/>
        </w:rPr>
      </w:pPr>
      <w:r>
        <w:rPr>
          <w:rFonts w:ascii="Arial" w:cs="Arial" w:eastAsia="Arial" w:hAnsi="Arial"/>
          <w:sz w:val="14"/>
          <w:szCs w:val="14"/>
          <w:color w:val="auto"/>
        </w:rPr>
        <w:t>financial statements for the fiscal year ended December 31, 2010, included in the Corporation’s Annual Report on Form 10-K filed with the Securities and Exchange Commission on February 25, 2011. The amounts of cash bonus deferred in 2010 at the election of each named executive officer are included in column (d). The amounts of cash bonus mandatorily deferred in 2010 for each of the named executive officers are as follows: Mr. Nye, $210,000; Ms. Lloyd, $54,540; Mr. Shephard, $51,195; Mr. Vaio, $53,328; and Mr. Zelnak $0.</w:t>
      </w:r>
    </w:p>
    <w:p>
      <w:pPr>
        <w:spacing w:after="0" w:line="20" w:lineRule="exact"/>
        <w:rPr>
          <w:sz w:val="20"/>
          <w:szCs w:val="20"/>
          <w:color w:val="auto"/>
        </w:rPr>
      </w:pPr>
    </w:p>
    <w:p>
      <w:pPr>
        <w:ind w:left="1220" w:right="120" w:hanging="242"/>
        <w:spacing w:after="0" w:line="234" w:lineRule="auto"/>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in column (f) reflect the grant date fair value, determined in accordance with FASB ASC Topic 718 (but excluding the effect of estimated forfeitures), of option awards made in the year reported. Assumptions used in the calculation of these amounts for the fiscal year ended December 31, 2010 are included in Note A to the Corporation’s audited financial statements for the fiscal year ended December 31, 2010, included in the Corporation’s Annual Report on Form 10-K filed with the Securities and Exchange Commission on February 25, 2011.</w:t>
      </w:r>
    </w:p>
    <w:p>
      <w:pPr>
        <w:spacing w:after="0" w:line="20" w:lineRule="exact"/>
        <w:rPr>
          <w:rFonts w:ascii="Arial" w:cs="Arial" w:eastAsia="Arial" w:hAnsi="Arial"/>
          <w:sz w:val="14"/>
          <w:szCs w:val="14"/>
          <w:color w:val="auto"/>
        </w:rPr>
      </w:pPr>
    </w:p>
    <w:p>
      <w:pPr>
        <w:ind w:left="1220" w:right="80" w:hanging="242"/>
        <w:spacing w:after="0" w:line="289" w:lineRule="auto"/>
        <w:tabs>
          <w:tab w:leader="none" w:pos="12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amounts in column (h) reflect the aggregate increase in the actuarial present value of the named executive officer’s accumulated benefits during 2010, 2009 and 2008, respectively, under all retirement plans established by the Corporation determined using interest rate and mortality rate assumptions consistent with those used in the Corporation’s financial statements and include amounts which the named executive officer may not currently be entitled to receive because such amounts are not vested.</w:t>
      </w:r>
    </w:p>
    <w:p>
      <w:pPr>
        <w:spacing w:after="0" w:line="1" w:lineRule="exact"/>
        <w:rPr>
          <w:rFonts w:ascii="Arial" w:cs="Arial" w:eastAsia="Arial" w:hAnsi="Arial"/>
          <w:sz w:val="12"/>
          <w:szCs w:val="12"/>
          <w:color w:val="auto"/>
        </w:rPr>
      </w:pPr>
    </w:p>
    <w:p>
      <w:pPr>
        <w:ind w:left="1220" w:right="20" w:hanging="242"/>
        <w:spacing w:after="0" w:line="243" w:lineRule="auto"/>
        <w:tabs>
          <w:tab w:leader="none" w:pos="1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amount shown in column (i) reflects for each named executive officer: matching contributions allocated by the Corporation to each of the named executive officers pursuant to the Performance Sharing Plan, which is more fully described on page 39 under the heading “Retirement and Other Benefits,” the value attributable to life insurance benefits provided to the named executive officers, which is more fully described on page 39 under the heading “Retirement and Other Benefits”; and the value attributable to personal use of leased automobiles provided by the Corporation, and, for some executive officers, the Corporation’s plane. These values are included as compensation on the W-2 of named executive officers who receive such benefits. Each such named executive officer is responsible for paying income tax on such amount.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charges taken in each of 2010, 2009 and 2008 related to the 20% discount from the market price of the Corporation’s common stock pursuant to the elective deferrals under the Incentive Stock Plan, and the dollar value of dividend equivalents on units credited under the Incentive Stock Plan and on restricted stock units as computed for financial statement reporting purposes for each fiscal year ended December 31, 2010, 2009 and 2008 in accordance with FASB ASC Topic 718. No charges were recognized by the Corporation in 2010, 2009 or 2008 for the discount or dividend equivalents related to units credited under the Incentive Stock Plan for amounts earned in 2010, 2009 or 2008 and paid in 2011, 2010 or 2009, respectively. The amounts in column (i) include payments made to Mr. Zelnak in 2010 under the pension plans.</w:t>
      </w:r>
    </w:p>
    <w:p>
      <w:pPr>
        <w:spacing w:after="0" w:line="20" w:lineRule="exact"/>
        <w:rPr>
          <w:rFonts w:ascii="Arial" w:cs="Arial" w:eastAsia="Arial" w:hAnsi="Arial"/>
          <w:sz w:val="13"/>
          <w:szCs w:val="13"/>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Nye’s position changed to President and CEO on January 1, 2010.</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Shephard was not a named executive officer for purposes of the Summary Compensation Table in 2008 and 2009.</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Vaio was not a named executive officer for purposes of the Summary Compensation Table in 2008.</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Zelnak’s position changed to Executive Chairman on January 1, 2010. He retired on May 27, 2010.</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Grants of Plan-Based Awards</w:t>
      </w:r>
    </w:p>
    <w:p>
      <w:pPr>
        <w:spacing w:after="0" w:line="121" w:lineRule="exact"/>
        <w:rPr>
          <w:sz w:val="20"/>
          <w:szCs w:val="20"/>
          <w:color w:val="auto"/>
        </w:rPr>
      </w:pPr>
    </w:p>
    <w:p>
      <w:pPr>
        <w:jc w:val="both"/>
        <w:ind w:left="980" w:right="40" w:firstLine="609"/>
        <w:spacing w:after="0" w:line="250" w:lineRule="auto"/>
        <w:rPr>
          <w:sz w:val="20"/>
          <w:szCs w:val="20"/>
          <w:color w:val="auto"/>
        </w:rPr>
      </w:pPr>
      <w:r>
        <w:rPr>
          <w:rFonts w:ascii="Arial" w:cs="Arial" w:eastAsia="Arial" w:hAnsi="Arial"/>
          <w:sz w:val="20"/>
          <w:szCs w:val="20"/>
          <w:color w:val="auto"/>
        </w:rPr>
        <w:t>The table below shows each grant of an award made to a named executive officer in the fiscal year ended December 31, 2010. This includes equity awards made to the named executive officers under the Corporation’s Stock-Based Award Plan and the Incentive Stock Plan.</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3769995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GRANTS OF PLAN-BASED AWARDS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21"/>
        </w:trPr>
        <w:tc>
          <w:tcPr>
            <w:tcW w:w="1780" w:type="dxa"/>
            <w:vAlign w:val="bottom"/>
            <w:tcBorders>
              <w:top w:val="single" w:sz="8" w:color="auto"/>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left="46"/>
              <w:spacing w:after="0" w:line="122" w:lineRule="exact"/>
              <w:rPr>
                <w:sz w:val="20"/>
                <w:szCs w:val="20"/>
                <w:color w:val="auto"/>
              </w:rPr>
            </w:pPr>
            <w:r>
              <w:rPr>
                <w:rFonts w:ascii="Arial" w:cs="Arial" w:eastAsia="Arial" w:hAnsi="Arial"/>
                <w:sz w:val="11"/>
                <w:szCs w:val="11"/>
                <w:b w:val="1"/>
                <w:bCs w:val="1"/>
                <w:color w:val="auto"/>
                <w:w w:val="98"/>
              </w:rPr>
              <w:t>All Other</w:t>
            </w:r>
          </w:p>
        </w:tc>
        <w:tc>
          <w:tcPr>
            <w:tcW w:w="9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4"/>
              </w:rPr>
              <w:t>All Other</w:t>
            </w:r>
          </w:p>
        </w:tc>
        <w:tc>
          <w:tcPr>
            <w:tcW w:w="7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5"/>
              </w:rPr>
              <w:t>Option</w:t>
            </w: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79"/>
              </w:rPr>
              <w:t>Stock</w:t>
            </w:r>
          </w:p>
        </w:tc>
        <w:tc>
          <w:tcPr>
            <w:tcW w:w="7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Awards:</w:t>
            </w: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2"/>
              </w:rPr>
              <w:t>Awards:</w:t>
            </w:r>
          </w:p>
        </w:tc>
        <w:tc>
          <w:tcPr>
            <w:tcW w:w="7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0"/>
              </w:rPr>
              <w:t>Number of</w:t>
            </w:r>
          </w:p>
        </w:tc>
        <w:tc>
          <w:tcPr>
            <w:tcW w:w="96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5"/>
              </w:rPr>
              <w:t>Grant Date</w:t>
            </w:r>
          </w:p>
        </w:tc>
      </w:tr>
      <w:tr>
        <w:trPr>
          <w:trHeight w:val="122"/>
        </w:trPr>
        <w:tc>
          <w:tcPr>
            <w:tcW w:w="17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center"/>
              <w:ind w:left="66"/>
              <w:spacing w:after="0" w:line="122" w:lineRule="exact"/>
              <w:rPr>
                <w:sz w:val="20"/>
                <w:szCs w:val="20"/>
                <w:color w:val="auto"/>
              </w:rPr>
            </w:pPr>
            <w:r>
              <w:rPr>
                <w:rFonts w:ascii="Arial" w:cs="Arial" w:eastAsia="Arial" w:hAnsi="Arial"/>
                <w:sz w:val="11"/>
                <w:szCs w:val="11"/>
                <w:b w:val="1"/>
                <w:bCs w:val="1"/>
                <w:color w:val="auto"/>
                <w:w w:val="90"/>
              </w:rPr>
              <w:t>Number of</w:t>
            </w:r>
          </w:p>
        </w:tc>
        <w:tc>
          <w:tcPr>
            <w:tcW w:w="7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Securities</w:t>
            </w: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Exercise or</w:t>
            </w:r>
          </w:p>
        </w:tc>
        <w:tc>
          <w:tcPr>
            <w:tcW w:w="5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1"/>
              </w:rPr>
              <w:t>Fair Value</w:t>
            </w:r>
          </w:p>
        </w:tc>
      </w:tr>
      <w:tr>
        <w:trPr>
          <w:trHeight w:val="122"/>
        </w:trPr>
        <w:tc>
          <w:tcPr>
            <w:tcW w:w="178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Estimated Possible Payouts Under</w:t>
            </w:r>
          </w:p>
        </w:tc>
        <w:tc>
          <w:tcPr>
            <w:tcW w:w="60" w:type="dxa"/>
            <w:vAlign w:val="bottom"/>
          </w:tcPr>
          <w:p>
            <w:pPr>
              <w:spacing w:after="0"/>
              <w:rPr>
                <w:sz w:val="10"/>
                <w:szCs w:val="10"/>
                <w:color w:val="auto"/>
              </w:rPr>
            </w:pPr>
          </w:p>
        </w:tc>
        <w:tc>
          <w:tcPr>
            <w:tcW w:w="20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Estimated Future Payouts Under</w:t>
            </w:r>
          </w:p>
        </w:tc>
        <w:tc>
          <w:tcPr>
            <w:tcW w:w="70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Shares of</w:t>
            </w:r>
          </w:p>
        </w:tc>
        <w:tc>
          <w:tcPr>
            <w:tcW w:w="76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3"/>
              </w:rPr>
              <w:t>Underlying</w:t>
            </w: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Base Price</w:t>
            </w:r>
          </w:p>
        </w:tc>
        <w:tc>
          <w:tcPr>
            <w:tcW w:w="5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r>
      <w:tr>
        <w:trPr>
          <w:trHeight w:val="135"/>
        </w:trPr>
        <w:tc>
          <w:tcPr>
            <w:tcW w:w="178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Non-Equity Incentive Plan Awards</w:t>
            </w:r>
            <w:r>
              <w:rPr>
                <w:rFonts w:ascii="Arial" w:cs="Arial" w:eastAsia="Arial" w:hAnsi="Arial"/>
                <w:sz w:val="9"/>
                <w:szCs w:val="9"/>
                <w:b w:val="1"/>
                <w:bCs w:val="1"/>
                <w:color w:val="auto"/>
                <w:w w:val="90"/>
              </w:rPr>
              <w:t>(1)</w:t>
            </w:r>
          </w:p>
        </w:tc>
        <w:tc>
          <w:tcPr>
            <w:tcW w:w="60" w:type="dxa"/>
            <w:vAlign w:val="bottom"/>
          </w:tcPr>
          <w:p>
            <w:pPr>
              <w:spacing w:after="0"/>
              <w:rPr>
                <w:sz w:val="11"/>
                <w:szCs w:val="11"/>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9"/>
              </w:rPr>
              <w:t>Equity Incentive Plan Awards</w:t>
            </w:r>
          </w:p>
        </w:tc>
        <w:tc>
          <w:tcPr>
            <w:tcW w:w="700" w:type="dxa"/>
            <w:vAlign w:val="bottom"/>
          </w:tcPr>
          <w:p>
            <w:pPr>
              <w:jc w:val="center"/>
              <w:ind w:left="46"/>
              <w:spacing w:after="0"/>
              <w:rPr>
                <w:sz w:val="20"/>
                <w:szCs w:val="20"/>
                <w:color w:val="auto"/>
              </w:rPr>
            </w:pPr>
            <w:r>
              <w:rPr>
                <w:rFonts w:ascii="Arial" w:cs="Arial" w:eastAsia="Arial" w:hAnsi="Arial"/>
                <w:sz w:val="11"/>
                <w:szCs w:val="11"/>
                <w:b w:val="1"/>
                <w:bCs w:val="1"/>
                <w:color w:val="auto"/>
                <w:w w:val="90"/>
              </w:rPr>
              <w:t>Stock or</w:t>
            </w:r>
          </w:p>
        </w:tc>
        <w:tc>
          <w:tcPr>
            <w:tcW w:w="760" w:type="dxa"/>
            <w:vAlign w:val="bottom"/>
          </w:tcPr>
          <w:p>
            <w:pPr>
              <w:jc w:val="center"/>
              <w:ind w:left="46"/>
              <w:spacing w:after="0"/>
              <w:rPr>
                <w:sz w:val="20"/>
                <w:szCs w:val="20"/>
                <w:color w:val="auto"/>
              </w:rPr>
            </w:pPr>
            <w:r>
              <w:rPr>
                <w:rFonts w:ascii="Arial" w:cs="Arial" w:eastAsia="Arial" w:hAnsi="Arial"/>
                <w:sz w:val="11"/>
                <w:szCs w:val="11"/>
                <w:b w:val="1"/>
                <w:bCs w:val="1"/>
                <w:color w:val="auto"/>
                <w:w w:val="91"/>
              </w:rPr>
              <w:t>Options</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9"/>
              </w:rPr>
              <w:t>of Option</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and Option</w:t>
            </w:r>
          </w:p>
        </w:tc>
      </w:tr>
      <w:tr>
        <w:trPr>
          <w:trHeight w:val="101"/>
        </w:trPr>
        <w:tc>
          <w:tcPr>
            <w:tcW w:w="1780" w:type="dxa"/>
            <w:vAlign w:val="bottom"/>
            <w:tcBorders>
              <w:left w:val="single" w:sz="8" w:color="auto"/>
            </w:tcBorders>
          </w:tcPr>
          <w:p>
            <w:pPr>
              <w:ind w:left="800"/>
              <w:spacing w:after="0" w:line="102" w:lineRule="exact"/>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8"/>
                <w:szCs w:val="8"/>
                <w:color w:val="auto"/>
              </w:rPr>
            </w:pPr>
          </w:p>
        </w:tc>
        <w:tc>
          <w:tcPr>
            <w:tcW w:w="72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Grant Date</w:t>
            </w: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8"/>
              </w:rPr>
              <w:t>Threshold ($)</w:t>
            </w:r>
          </w:p>
        </w:tc>
        <w:tc>
          <w:tcPr>
            <w:tcW w:w="820" w:type="dxa"/>
            <w:vAlign w:val="bottom"/>
          </w:tcPr>
          <w:p>
            <w:pPr>
              <w:jc w:val="center"/>
              <w:ind w:left="26"/>
              <w:spacing w:after="0" w:line="102" w:lineRule="exact"/>
              <w:rPr>
                <w:sz w:val="20"/>
                <w:szCs w:val="20"/>
                <w:color w:val="auto"/>
              </w:rPr>
            </w:pPr>
            <w:r>
              <w:rPr>
                <w:rFonts w:ascii="Arial" w:cs="Arial" w:eastAsia="Arial" w:hAnsi="Arial"/>
                <w:sz w:val="11"/>
                <w:szCs w:val="11"/>
                <w:b w:val="1"/>
                <w:bCs w:val="1"/>
                <w:color w:val="auto"/>
                <w:w w:val="91"/>
              </w:rPr>
              <w:t>Target ($)</w:t>
            </w:r>
          </w:p>
        </w:tc>
        <w:tc>
          <w:tcPr>
            <w:tcW w:w="1020" w:type="dxa"/>
            <w:vAlign w:val="bottom"/>
          </w:tcPr>
          <w:p>
            <w:pPr>
              <w:jc w:val="center"/>
              <w:ind w:left="6"/>
              <w:spacing w:after="0" w:line="102" w:lineRule="exact"/>
              <w:rPr>
                <w:sz w:val="20"/>
                <w:szCs w:val="20"/>
                <w:color w:val="auto"/>
              </w:rPr>
            </w:pPr>
            <w:r>
              <w:rPr>
                <w:rFonts w:ascii="Arial" w:cs="Arial" w:eastAsia="Arial" w:hAnsi="Arial"/>
                <w:sz w:val="11"/>
                <w:szCs w:val="11"/>
                <w:b w:val="1"/>
                <w:bCs w:val="1"/>
                <w:color w:val="auto"/>
                <w:w w:val="95"/>
              </w:rPr>
              <w:t>Maximum ($)</w:t>
            </w:r>
          </w:p>
        </w:tc>
        <w:tc>
          <w:tcPr>
            <w:tcW w:w="60" w:type="dxa"/>
            <w:vAlign w:val="bottom"/>
          </w:tcPr>
          <w:p>
            <w:pPr>
              <w:spacing w:after="0"/>
              <w:rPr>
                <w:sz w:val="8"/>
                <w:szCs w:val="8"/>
                <w:color w:val="auto"/>
              </w:rPr>
            </w:pPr>
          </w:p>
        </w:tc>
        <w:tc>
          <w:tcPr>
            <w:tcW w:w="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8"/>
              </w:rPr>
              <w:t>Threshold (#)</w:t>
            </w:r>
          </w:p>
        </w:tc>
        <w:tc>
          <w:tcPr>
            <w:tcW w:w="5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1"/>
              </w:rPr>
              <w:t>Target (#)</w:t>
            </w:r>
          </w:p>
        </w:tc>
        <w:tc>
          <w:tcPr>
            <w:tcW w:w="7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5"/>
              </w:rPr>
              <w:t>Maximum (#)</w:t>
            </w:r>
          </w:p>
        </w:tc>
        <w:tc>
          <w:tcPr>
            <w:tcW w:w="700" w:type="dxa"/>
            <w:vAlign w:val="bottom"/>
          </w:tcPr>
          <w:p>
            <w:pPr>
              <w:jc w:val="center"/>
              <w:ind w:left="46"/>
              <w:spacing w:after="0" w:line="102" w:lineRule="exact"/>
              <w:rPr>
                <w:sz w:val="20"/>
                <w:szCs w:val="20"/>
                <w:color w:val="auto"/>
              </w:rPr>
            </w:pPr>
            <w:r>
              <w:rPr>
                <w:rFonts w:ascii="Arial" w:cs="Arial" w:eastAsia="Arial" w:hAnsi="Arial"/>
                <w:sz w:val="11"/>
                <w:szCs w:val="11"/>
                <w:b w:val="1"/>
                <w:bCs w:val="1"/>
                <w:color w:val="auto"/>
                <w:w w:val="90"/>
              </w:rPr>
              <w:t>Units (#)</w:t>
            </w:r>
          </w:p>
        </w:tc>
        <w:tc>
          <w:tcPr>
            <w:tcW w:w="760" w:type="dxa"/>
            <w:vAlign w:val="bottom"/>
          </w:tcPr>
          <w:p>
            <w:pPr>
              <w:jc w:val="center"/>
              <w:ind w:left="46"/>
              <w:spacing w:after="0" w:line="102" w:lineRule="exact"/>
              <w:rPr>
                <w:sz w:val="20"/>
                <w:szCs w:val="20"/>
                <w:color w:val="auto"/>
              </w:rPr>
            </w:pPr>
            <w:r>
              <w:rPr>
                <w:rFonts w:ascii="Arial" w:cs="Arial" w:eastAsia="Arial" w:hAnsi="Arial"/>
                <w:sz w:val="11"/>
                <w:szCs w:val="11"/>
                <w:b w:val="1"/>
                <w:bCs w:val="1"/>
                <w:color w:val="auto"/>
              </w:rPr>
              <w:t>(#)</w:t>
            </w:r>
          </w:p>
        </w:tc>
        <w:tc>
          <w:tcPr>
            <w:tcW w:w="960" w:type="dxa"/>
            <w:vAlign w:val="bottom"/>
          </w:tcPr>
          <w:p>
            <w:pPr>
              <w:jc w:val="center"/>
              <w:ind w:left="6"/>
              <w:spacing w:after="0" w:line="102" w:lineRule="exact"/>
              <w:rPr>
                <w:sz w:val="20"/>
                <w:szCs w:val="20"/>
                <w:color w:val="auto"/>
              </w:rPr>
            </w:pPr>
            <w:r>
              <w:rPr>
                <w:rFonts w:ascii="Arial" w:cs="Arial" w:eastAsia="Arial" w:hAnsi="Arial"/>
                <w:sz w:val="11"/>
                <w:szCs w:val="11"/>
                <w:b w:val="1"/>
                <w:bCs w:val="1"/>
                <w:color w:val="auto"/>
                <w:w w:val="89"/>
              </w:rPr>
              <w:t>Awards ($/Sh)</w:t>
            </w:r>
          </w:p>
        </w:tc>
        <w:tc>
          <w:tcPr>
            <w:tcW w:w="58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w w:val="90"/>
              </w:rPr>
              <w:t>Awards</w:t>
            </w:r>
            <w:r>
              <w:rPr>
                <w:rFonts w:ascii="Arial" w:cs="Arial" w:eastAsia="Arial" w:hAnsi="Arial"/>
                <w:sz w:val="9"/>
                <w:szCs w:val="9"/>
                <w:b w:val="1"/>
                <w:bCs w:val="1"/>
                <w:color w:val="auto"/>
                <w:w w:val="90"/>
              </w:rPr>
              <w:t>(6)</w:t>
            </w:r>
          </w:p>
        </w:tc>
      </w:tr>
      <w:tr>
        <w:trPr>
          <w:trHeight w:val="163"/>
        </w:trPr>
        <w:tc>
          <w:tcPr>
            <w:tcW w:w="1780" w:type="dxa"/>
            <w:vAlign w:val="bottom"/>
            <w:tcBorders>
              <w:left w:val="single" w:sz="8" w:color="auto"/>
            </w:tcBorders>
          </w:tcPr>
          <w:p>
            <w:pPr>
              <w:ind w:left="920"/>
              <w:spacing w:after="0"/>
              <w:rPr>
                <w:sz w:val="20"/>
                <w:szCs w:val="20"/>
                <w:color w:val="auto"/>
              </w:rPr>
            </w:pPr>
            <w:r>
              <w:rPr>
                <w:rFonts w:ascii="Arial" w:cs="Arial" w:eastAsia="Arial" w:hAnsi="Arial"/>
                <w:sz w:val="11"/>
                <w:szCs w:val="11"/>
                <w:b w:val="1"/>
                <w:bCs w:val="1"/>
                <w:color w:val="auto"/>
              </w:rPr>
              <w:t>(a)</w:t>
            </w:r>
          </w:p>
        </w:tc>
        <w:tc>
          <w:tcPr>
            <w:tcW w:w="80" w:type="dxa"/>
            <w:vAlign w:val="bottom"/>
          </w:tcPr>
          <w:p>
            <w:pPr>
              <w:spacing w:after="0"/>
              <w:rPr>
                <w:sz w:val="14"/>
                <w:szCs w:val="14"/>
                <w:color w:val="auto"/>
              </w:rPr>
            </w:pPr>
          </w:p>
        </w:tc>
        <w:tc>
          <w:tcPr>
            <w:tcW w:w="720" w:type="dxa"/>
            <w:vAlign w:val="bottom"/>
            <w:gridSpan w:val="2"/>
          </w:tcPr>
          <w:p>
            <w:pPr>
              <w:ind w:left="260"/>
              <w:spacing w:after="0"/>
              <w:rPr>
                <w:sz w:val="20"/>
                <w:szCs w:val="20"/>
                <w:color w:val="auto"/>
              </w:rPr>
            </w:pPr>
            <w:r>
              <w:rPr>
                <w:rFonts w:ascii="Arial" w:cs="Arial" w:eastAsia="Arial" w:hAnsi="Arial"/>
                <w:sz w:val="11"/>
                <w:szCs w:val="11"/>
                <w:b w:val="1"/>
                <w:bCs w:val="1"/>
                <w:color w:val="auto"/>
              </w:rPr>
              <w:t>(b)</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820" w:type="dxa"/>
            <w:vAlign w:val="bottom"/>
          </w:tcPr>
          <w:p>
            <w:pPr>
              <w:jc w:val="center"/>
              <w:ind w:left="26"/>
              <w:spacing w:after="0"/>
              <w:rPr>
                <w:sz w:val="20"/>
                <w:szCs w:val="20"/>
                <w:color w:val="auto"/>
              </w:rPr>
            </w:pPr>
            <w:r>
              <w:rPr>
                <w:rFonts w:ascii="Arial" w:cs="Arial" w:eastAsia="Arial" w:hAnsi="Arial"/>
                <w:sz w:val="11"/>
                <w:szCs w:val="11"/>
                <w:b w:val="1"/>
                <w:bCs w:val="1"/>
                <w:color w:val="auto"/>
                <w:w w:val="99"/>
              </w:rPr>
              <w:t>(d)</w:t>
            </w:r>
          </w:p>
        </w:tc>
        <w:tc>
          <w:tcPr>
            <w:tcW w:w="102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(e)</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0"/>
              </w:rPr>
              <w:t>(f)</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9"/>
              </w:rPr>
              <w:t>(g)</w:t>
            </w:r>
          </w:p>
        </w:tc>
        <w:tc>
          <w:tcPr>
            <w:tcW w:w="72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(h)</w:t>
            </w:r>
          </w:p>
        </w:tc>
        <w:tc>
          <w:tcPr>
            <w:tcW w:w="700" w:type="dxa"/>
            <w:vAlign w:val="bottom"/>
          </w:tcPr>
          <w:p>
            <w:pPr>
              <w:jc w:val="center"/>
              <w:ind w:left="46"/>
              <w:spacing w:after="0"/>
              <w:rPr>
                <w:sz w:val="20"/>
                <w:szCs w:val="20"/>
                <w:color w:val="auto"/>
              </w:rPr>
            </w:pPr>
            <w:r>
              <w:rPr>
                <w:rFonts w:ascii="Arial" w:cs="Arial" w:eastAsia="Arial" w:hAnsi="Arial"/>
                <w:sz w:val="11"/>
                <w:szCs w:val="11"/>
                <w:b w:val="1"/>
                <w:bCs w:val="1"/>
                <w:color w:val="auto"/>
              </w:rPr>
              <w:t>(i)</w:t>
            </w:r>
          </w:p>
        </w:tc>
        <w:tc>
          <w:tcPr>
            <w:tcW w:w="760" w:type="dxa"/>
            <w:vAlign w:val="bottom"/>
          </w:tcPr>
          <w:p>
            <w:pPr>
              <w:jc w:val="center"/>
              <w:ind w:left="46"/>
              <w:spacing w:after="0"/>
              <w:rPr>
                <w:sz w:val="20"/>
                <w:szCs w:val="20"/>
                <w:color w:val="auto"/>
              </w:rPr>
            </w:pPr>
            <w:r>
              <w:rPr>
                <w:rFonts w:ascii="Arial" w:cs="Arial" w:eastAsia="Arial" w:hAnsi="Arial"/>
                <w:sz w:val="11"/>
                <w:szCs w:val="11"/>
                <w:b w:val="1"/>
                <w:bCs w:val="1"/>
                <w:color w:val="auto"/>
                <w:w w:val="95"/>
              </w:rPr>
              <w:t>(j)</w:t>
            </w:r>
          </w:p>
        </w:tc>
        <w:tc>
          <w:tcPr>
            <w:tcW w:w="960" w:type="dxa"/>
            <w:vAlign w:val="bottom"/>
          </w:tcPr>
          <w:p>
            <w:pPr>
              <w:jc w:val="center"/>
              <w:ind w:left="6"/>
              <w:spacing w:after="0"/>
              <w:rPr>
                <w:sz w:val="20"/>
                <w:szCs w:val="20"/>
                <w:color w:val="auto"/>
              </w:rPr>
            </w:pPr>
            <w:r>
              <w:rPr>
                <w:rFonts w:ascii="Arial" w:cs="Arial" w:eastAsia="Arial" w:hAnsi="Arial"/>
                <w:sz w:val="11"/>
                <w:szCs w:val="11"/>
                <w:b w:val="1"/>
                <w:bCs w:val="1"/>
                <w:color w:val="auto"/>
              </w:rPr>
              <w:t>(k)</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(l)</w:t>
            </w:r>
          </w:p>
        </w:tc>
      </w:tr>
      <w:tr>
        <w:trPr>
          <w:trHeight w:val="119"/>
        </w:trPr>
        <w:tc>
          <w:tcPr>
            <w:tcW w:w="1780" w:type="dxa"/>
            <w:vAlign w:val="bottom"/>
            <w:tcBorders>
              <w:top w:val="single" w:sz="8" w:color="auto"/>
              <w:left w:val="single" w:sz="8" w:color="auto"/>
            </w:tcBorders>
            <w:shd w:val="clear" w:color="auto" w:fill="CCEEFF"/>
          </w:tcPr>
          <w:p>
            <w:pPr>
              <w:ind w:left="60"/>
              <w:spacing w:after="0" w:line="119" w:lineRule="exact"/>
              <w:rPr>
                <w:sz w:val="20"/>
                <w:szCs w:val="20"/>
                <w:color w:val="auto"/>
              </w:rPr>
            </w:pPr>
            <w:r>
              <w:rPr>
                <w:rFonts w:ascii="Arial" w:cs="Arial" w:eastAsia="Arial" w:hAnsi="Arial"/>
                <w:sz w:val="11"/>
                <w:szCs w:val="11"/>
                <w:b w:val="1"/>
                <w:bCs w:val="1"/>
                <w:color w:val="auto"/>
              </w:rPr>
              <w:t>C. Howard Nye</w:t>
            </w:r>
          </w:p>
        </w:tc>
        <w:tc>
          <w:tcPr>
            <w:tcW w:w="800" w:type="dxa"/>
            <w:vAlign w:val="bottom"/>
            <w:tcBorders>
              <w:top w:val="single" w:sz="8" w:color="auto"/>
            </w:tcBorders>
            <w:gridSpan w:val="3"/>
            <w:shd w:val="clear" w:color="auto" w:fill="CCEEFF"/>
          </w:tcPr>
          <w:p>
            <w:pPr>
              <w:ind w:left="200"/>
              <w:spacing w:after="0" w:line="119" w:lineRule="exact"/>
              <w:rPr>
                <w:sz w:val="20"/>
                <w:szCs w:val="20"/>
                <w:color w:val="auto"/>
              </w:rPr>
            </w:pPr>
            <w:r>
              <w:rPr>
                <w:rFonts w:ascii="Arial" w:cs="Arial" w:eastAsia="Arial" w:hAnsi="Arial"/>
                <w:sz w:val="11"/>
                <w:szCs w:val="11"/>
                <w:color w:val="auto"/>
              </w:rPr>
              <w:t>1/28/10</w:t>
            </w:r>
            <w:r>
              <w:rPr>
                <w:rFonts w:ascii="Arial" w:cs="Arial" w:eastAsia="Arial" w:hAnsi="Arial"/>
                <w:sz w:val="9"/>
                <w:szCs w:val="9"/>
                <w:color w:val="auto"/>
              </w:rPr>
              <w:t>(1,2)</w:t>
            </w:r>
          </w:p>
        </w:tc>
        <w:tc>
          <w:tcPr>
            <w:tcW w:w="7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ind w:right="126"/>
              <w:spacing w:after="0" w:line="119" w:lineRule="exact"/>
              <w:rPr>
                <w:sz w:val="20"/>
                <w:szCs w:val="20"/>
                <w:color w:val="auto"/>
              </w:rPr>
            </w:pPr>
            <w:r>
              <w:rPr>
                <w:rFonts w:ascii="Arial" w:cs="Arial" w:eastAsia="Arial" w:hAnsi="Arial"/>
                <w:sz w:val="11"/>
                <w:szCs w:val="11"/>
                <w:color w:val="auto"/>
              </w:rPr>
              <w:t>2,810</w:t>
            </w:r>
          </w:p>
        </w:tc>
        <w:tc>
          <w:tcPr>
            <w:tcW w:w="7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(3)</w:t>
            </w: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3,099</w:t>
            </w:r>
          </w:p>
        </w:tc>
        <w:tc>
          <w:tcPr>
            <w:tcW w:w="7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(4)</w:t>
            </w: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5,598</w:t>
            </w:r>
          </w:p>
        </w:tc>
        <w:tc>
          <w:tcPr>
            <w:tcW w:w="7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780" w:type="dxa"/>
            <w:vAlign w:val="bottom"/>
            <w:tcBorders>
              <w:lef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(5)</w:t>
            </w: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11,196</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95.27</w:t>
            </w:r>
          </w:p>
        </w:tc>
        <w:tc>
          <w:tcPr>
            <w:tcW w:w="5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12"/>
        </w:trPr>
        <w:tc>
          <w:tcPr>
            <w:tcW w:w="1780" w:type="dxa"/>
            <w:vAlign w:val="bottom"/>
          </w:tcPr>
          <w:p>
            <w:pPr>
              <w:ind w:left="20"/>
              <w:spacing w:after="0" w:line="112" w:lineRule="exact"/>
              <w:rPr>
                <w:sz w:val="20"/>
                <w:szCs w:val="20"/>
                <w:color w:val="auto"/>
              </w:rPr>
            </w:pPr>
            <w:r>
              <w:rPr>
                <w:rFonts w:ascii="Arial" w:cs="Arial" w:eastAsia="Arial" w:hAnsi="Arial"/>
                <w:sz w:val="11"/>
                <w:szCs w:val="11"/>
                <w:b w:val="1"/>
                <w:bCs w:val="1"/>
                <w:color w:val="auto"/>
              </w:rPr>
              <w:t>Anne H. Lloyd</w:t>
            </w:r>
          </w:p>
        </w:tc>
        <w:tc>
          <w:tcPr>
            <w:tcW w:w="80" w:type="dxa"/>
            <w:vAlign w:val="bottom"/>
          </w:tcPr>
          <w:p>
            <w:pPr>
              <w:spacing w:after="0"/>
              <w:rPr>
                <w:sz w:val="9"/>
                <w:szCs w:val="9"/>
                <w:color w:val="auto"/>
              </w:rPr>
            </w:pPr>
          </w:p>
        </w:tc>
        <w:tc>
          <w:tcPr>
            <w:tcW w:w="720" w:type="dxa"/>
            <w:vAlign w:val="bottom"/>
            <w:gridSpan w:val="2"/>
          </w:tcPr>
          <w:p>
            <w:pPr>
              <w:ind w:left="120"/>
              <w:spacing w:after="0" w:line="112" w:lineRule="exact"/>
              <w:rPr>
                <w:sz w:val="20"/>
                <w:szCs w:val="20"/>
                <w:color w:val="auto"/>
              </w:rPr>
            </w:pPr>
            <w:r>
              <w:rPr>
                <w:rFonts w:ascii="Arial" w:cs="Arial" w:eastAsia="Arial" w:hAnsi="Arial"/>
                <w:sz w:val="11"/>
                <w:szCs w:val="11"/>
                <w:color w:val="auto"/>
              </w:rPr>
              <w:t>1/28/10</w:t>
            </w:r>
            <w:r>
              <w:rPr>
                <w:rFonts w:ascii="Arial" w:cs="Arial" w:eastAsia="Arial" w:hAnsi="Arial"/>
                <w:sz w:val="9"/>
                <w:szCs w:val="9"/>
                <w:color w:val="auto"/>
              </w:rPr>
              <w:t>(1,2)</w:t>
            </w:r>
          </w:p>
        </w:tc>
        <w:tc>
          <w:tcPr>
            <w:tcW w:w="700" w:type="dxa"/>
            <w:vAlign w:val="bottom"/>
          </w:tcPr>
          <w:p>
            <w:pPr>
              <w:spacing w:after="0"/>
              <w:rPr>
                <w:sz w:val="9"/>
                <w:szCs w:val="9"/>
                <w:color w:val="auto"/>
              </w:rPr>
            </w:pPr>
          </w:p>
        </w:tc>
        <w:tc>
          <w:tcPr>
            <w:tcW w:w="820" w:type="dxa"/>
            <w:vAlign w:val="bottom"/>
          </w:tcPr>
          <w:p>
            <w:pPr>
              <w:jc w:val="center"/>
              <w:ind w:left="6"/>
              <w:spacing w:after="0" w:line="112" w:lineRule="exact"/>
              <w:rPr>
                <w:sz w:val="20"/>
                <w:szCs w:val="20"/>
                <w:color w:val="auto"/>
              </w:rPr>
            </w:pPr>
            <w:r>
              <w:rPr>
                <w:rFonts w:ascii="Arial" w:cs="Arial" w:eastAsia="Arial" w:hAnsi="Arial"/>
                <w:sz w:val="11"/>
                <w:szCs w:val="11"/>
                <w:color w:val="auto"/>
                <w:w w:val="90"/>
              </w:rPr>
              <w:t>363,600</w:t>
            </w:r>
          </w:p>
        </w:tc>
        <w:tc>
          <w:tcPr>
            <w:tcW w:w="1020" w:type="dxa"/>
            <w:vAlign w:val="bottom"/>
          </w:tcPr>
          <w:p>
            <w:pPr>
              <w:jc w:val="center"/>
              <w:ind w:left="6"/>
              <w:spacing w:after="0" w:line="112" w:lineRule="exact"/>
              <w:rPr>
                <w:sz w:val="20"/>
                <w:szCs w:val="20"/>
                <w:color w:val="auto"/>
              </w:rPr>
            </w:pPr>
            <w:r>
              <w:rPr>
                <w:rFonts w:ascii="Arial" w:cs="Arial" w:eastAsia="Arial" w:hAnsi="Arial"/>
                <w:sz w:val="11"/>
                <w:szCs w:val="11"/>
                <w:color w:val="auto"/>
                <w:w w:val="90"/>
              </w:rPr>
              <w:t>545,400</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26"/>
              <w:spacing w:after="0" w:line="112" w:lineRule="exact"/>
              <w:rPr>
                <w:sz w:val="20"/>
                <w:szCs w:val="20"/>
                <w:color w:val="auto"/>
              </w:rPr>
            </w:pPr>
            <w:r>
              <w:rPr>
                <w:rFonts w:ascii="Arial" w:cs="Arial" w:eastAsia="Arial" w:hAnsi="Arial"/>
                <w:sz w:val="11"/>
                <w:szCs w:val="11"/>
                <w:color w:val="auto"/>
              </w:rPr>
              <w:t>1,581</w:t>
            </w: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780" w:type="dxa"/>
            <w:vAlign w:val="bottom"/>
          </w:tcPr>
          <w:p>
            <w:pPr>
              <w:spacing w:after="0"/>
              <w:rPr>
                <w:sz w:val="10"/>
                <w:szCs w:val="10"/>
                <w:color w:val="auto"/>
              </w:rPr>
            </w:pPr>
          </w:p>
        </w:tc>
        <w:tc>
          <w:tcPr>
            <w:tcW w:w="800" w:type="dxa"/>
            <w:vAlign w:val="bottom"/>
            <w:gridSpan w:val="3"/>
          </w:tcPr>
          <w:p>
            <w:pPr>
              <w:ind w:left="20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(3)</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805</w:t>
            </w: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Pr>
          <w:p>
            <w:pPr>
              <w:spacing w:after="0"/>
              <w:rPr>
                <w:sz w:val="10"/>
                <w:szCs w:val="10"/>
                <w:color w:val="auto"/>
              </w:rPr>
            </w:pPr>
          </w:p>
        </w:tc>
        <w:tc>
          <w:tcPr>
            <w:tcW w:w="800" w:type="dxa"/>
            <w:vAlign w:val="bottom"/>
            <w:gridSpan w:val="3"/>
          </w:tcPr>
          <w:p>
            <w:pPr>
              <w:ind w:left="20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1,897</w:t>
            </w: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780" w:type="dxa"/>
            <w:vAlign w:val="bottom"/>
          </w:tcPr>
          <w:p>
            <w:pPr>
              <w:spacing w:after="0"/>
              <w:rPr>
                <w:sz w:val="11"/>
                <w:szCs w:val="11"/>
                <w:color w:val="auto"/>
              </w:rPr>
            </w:pPr>
          </w:p>
        </w:tc>
        <w:tc>
          <w:tcPr>
            <w:tcW w:w="800" w:type="dxa"/>
            <w:vAlign w:val="bottom"/>
            <w:gridSpan w:val="3"/>
          </w:tcPr>
          <w:p>
            <w:pPr>
              <w:ind w:left="200"/>
              <w:spacing w:after="0"/>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(5)</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3,794</w:t>
            </w:r>
          </w:p>
        </w:tc>
        <w:tc>
          <w:tcPr>
            <w:tcW w:w="960" w:type="dxa"/>
            <w:vAlign w:val="bottom"/>
          </w:tcPr>
          <w:p>
            <w:pPr>
              <w:jc w:val="center"/>
              <w:spacing w:after="0"/>
              <w:rPr>
                <w:sz w:val="20"/>
                <w:szCs w:val="20"/>
                <w:color w:val="auto"/>
              </w:rPr>
            </w:pPr>
            <w:r>
              <w:rPr>
                <w:rFonts w:ascii="Arial" w:cs="Arial" w:eastAsia="Arial" w:hAnsi="Arial"/>
                <w:sz w:val="11"/>
                <w:szCs w:val="11"/>
                <w:color w:val="auto"/>
                <w:w w:val="87"/>
              </w:rPr>
              <w:t>95.27</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20"/>
        </w:trPr>
        <w:tc>
          <w:tcPr>
            <w:tcW w:w="17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Daniel G. Shephard</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1/28/10</w:t>
            </w:r>
            <w:r>
              <w:rPr>
                <w:rFonts w:ascii="Arial" w:cs="Arial" w:eastAsia="Arial" w:hAnsi="Arial"/>
                <w:sz w:val="9"/>
                <w:szCs w:val="9"/>
                <w:color w:val="auto"/>
              </w:rPr>
              <w:t>(1,2)</w:t>
            </w: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90"/>
              </w:rPr>
              <w:t>355,520</w:t>
            </w:r>
          </w:p>
        </w:tc>
        <w:tc>
          <w:tcPr>
            <w:tcW w:w="102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90"/>
              </w:rPr>
              <w:t>533,280</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1,546</w:t>
            </w:r>
          </w:p>
        </w:tc>
        <w:tc>
          <w:tcPr>
            <w:tcW w:w="7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22"/>
        </w:trPr>
        <w:tc>
          <w:tcPr>
            <w:tcW w:w="178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(3)</w:t>
            </w: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1,511</w:t>
            </w:r>
          </w:p>
        </w:tc>
        <w:tc>
          <w:tcPr>
            <w:tcW w:w="7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87"/>
              </w:rPr>
              <w:t>5/27/10</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1,897</w:t>
            </w:r>
          </w:p>
        </w:tc>
        <w:tc>
          <w:tcPr>
            <w:tcW w:w="7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780" w:type="dxa"/>
            <w:vAlign w:val="bottom"/>
            <w:tcBorders>
              <w:lef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1"/>
                <w:szCs w:val="11"/>
                <w:color w:val="auto"/>
                <w:w w:val="87"/>
              </w:rPr>
              <w:t>5/27/10</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(5)</w:t>
            </w: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3,794</w:t>
            </w:r>
          </w:p>
        </w:tc>
        <w:tc>
          <w:tcPr>
            <w:tcW w:w="9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95.27</w:t>
            </w:r>
          </w:p>
        </w:tc>
        <w:tc>
          <w:tcPr>
            <w:tcW w:w="5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12"/>
        </w:trPr>
        <w:tc>
          <w:tcPr>
            <w:tcW w:w="1780" w:type="dxa"/>
            <w:vAlign w:val="bottom"/>
          </w:tcPr>
          <w:p>
            <w:pPr>
              <w:ind w:left="20"/>
              <w:spacing w:after="0" w:line="112" w:lineRule="exact"/>
              <w:rPr>
                <w:sz w:val="20"/>
                <w:szCs w:val="20"/>
                <w:color w:val="auto"/>
              </w:rPr>
            </w:pPr>
            <w:r>
              <w:rPr>
                <w:rFonts w:ascii="Arial" w:cs="Arial" w:eastAsia="Arial" w:hAnsi="Arial"/>
                <w:sz w:val="11"/>
                <w:szCs w:val="11"/>
                <w:b w:val="1"/>
                <w:bCs w:val="1"/>
                <w:color w:val="auto"/>
              </w:rPr>
              <w:t>Bruce A. Vaio</w:t>
            </w:r>
          </w:p>
        </w:tc>
        <w:tc>
          <w:tcPr>
            <w:tcW w:w="80" w:type="dxa"/>
            <w:vAlign w:val="bottom"/>
          </w:tcPr>
          <w:p>
            <w:pPr>
              <w:spacing w:after="0"/>
              <w:rPr>
                <w:sz w:val="9"/>
                <w:szCs w:val="9"/>
                <w:color w:val="auto"/>
              </w:rPr>
            </w:pPr>
          </w:p>
        </w:tc>
        <w:tc>
          <w:tcPr>
            <w:tcW w:w="460" w:type="dxa"/>
            <w:vAlign w:val="bottom"/>
          </w:tcPr>
          <w:p>
            <w:pPr>
              <w:ind w:left="120"/>
              <w:spacing w:after="0" w:line="112" w:lineRule="exact"/>
              <w:rPr>
                <w:sz w:val="20"/>
                <w:szCs w:val="20"/>
                <w:color w:val="auto"/>
              </w:rPr>
            </w:pPr>
            <w:r>
              <w:rPr>
                <w:rFonts w:ascii="Arial" w:cs="Arial" w:eastAsia="Arial" w:hAnsi="Arial"/>
                <w:sz w:val="11"/>
                <w:szCs w:val="11"/>
                <w:color w:val="auto"/>
                <w:w w:val="87"/>
              </w:rPr>
              <w:t>1/28/10</w:t>
            </w:r>
          </w:p>
        </w:tc>
        <w:tc>
          <w:tcPr>
            <w:tcW w:w="260" w:type="dxa"/>
            <w:vAlign w:val="bottom"/>
          </w:tcPr>
          <w:p>
            <w:pPr>
              <w:spacing w:after="0"/>
              <w:rPr>
                <w:sz w:val="20"/>
                <w:szCs w:val="20"/>
                <w:color w:val="auto"/>
              </w:rPr>
            </w:pPr>
            <w:r>
              <w:rPr>
                <w:rFonts w:ascii="Arial" w:cs="Arial" w:eastAsia="Arial" w:hAnsi="Arial"/>
                <w:sz w:val="9"/>
                <w:szCs w:val="9"/>
                <w:color w:val="auto"/>
              </w:rPr>
              <w:t>(1,2)</w:t>
            </w:r>
          </w:p>
        </w:tc>
        <w:tc>
          <w:tcPr>
            <w:tcW w:w="700" w:type="dxa"/>
            <w:vAlign w:val="bottom"/>
          </w:tcPr>
          <w:p>
            <w:pPr>
              <w:spacing w:after="0"/>
              <w:rPr>
                <w:sz w:val="9"/>
                <w:szCs w:val="9"/>
                <w:color w:val="auto"/>
              </w:rPr>
            </w:pPr>
          </w:p>
        </w:tc>
        <w:tc>
          <w:tcPr>
            <w:tcW w:w="820" w:type="dxa"/>
            <w:vAlign w:val="bottom"/>
          </w:tcPr>
          <w:p>
            <w:pPr>
              <w:jc w:val="center"/>
              <w:ind w:left="6"/>
              <w:spacing w:after="0" w:line="112" w:lineRule="exact"/>
              <w:rPr>
                <w:sz w:val="20"/>
                <w:szCs w:val="20"/>
                <w:color w:val="auto"/>
              </w:rPr>
            </w:pPr>
            <w:r>
              <w:rPr>
                <w:rFonts w:ascii="Arial" w:cs="Arial" w:eastAsia="Arial" w:hAnsi="Arial"/>
                <w:sz w:val="11"/>
                <w:szCs w:val="11"/>
                <w:color w:val="auto"/>
                <w:w w:val="90"/>
              </w:rPr>
              <w:t>355,520</w:t>
            </w:r>
          </w:p>
        </w:tc>
        <w:tc>
          <w:tcPr>
            <w:tcW w:w="1020" w:type="dxa"/>
            <w:vAlign w:val="bottom"/>
          </w:tcPr>
          <w:p>
            <w:pPr>
              <w:jc w:val="center"/>
              <w:ind w:left="6"/>
              <w:spacing w:after="0" w:line="112" w:lineRule="exact"/>
              <w:rPr>
                <w:sz w:val="20"/>
                <w:szCs w:val="20"/>
                <w:color w:val="auto"/>
              </w:rPr>
            </w:pPr>
            <w:r>
              <w:rPr>
                <w:rFonts w:ascii="Arial" w:cs="Arial" w:eastAsia="Arial" w:hAnsi="Arial"/>
                <w:sz w:val="11"/>
                <w:szCs w:val="11"/>
                <w:color w:val="auto"/>
                <w:w w:val="90"/>
              </w:rPr>
              <w:t>533,280</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26"/>
              <w:spacing w:after="0" w:line="112" w:lineRule="exact"/>
              <w:rPr>
                <w:sz w:val="20"/>
                <w:szCs w:val="20"/>
                <w:color w:val="auto"/>
              </w:rPr>
            </w:pPr>
            <w:r>
              <w:rPr>
                <w:rFonts w:ascii="Arial" w:cs="Arial" w:eastAsia="Arial" w:hAnsi="Arial"/>
                <w:sz w:val="11"/>
                <w:szCs w:val="11"/>
                <w:color w:val="auto"/>
              </w:rPr>
              <w:t>1,546</w:t>
            </w: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780" w:type="dxa"/>
            <w:vAlign w:val="bottom"/>
          </w:tcPr>
          <w:p>
            <w:pPr>
              <w:spacing w:after="0"/>
              <w:rPr>
                <w:sz w:val="10"/>
                <w:szCs w:val="10"/>
                <w:color w:val="auto"/>
              </w:rPr>
            </w:pPr>
          </w:p>
        </w:tc>
        <w:tc>
          <w:tcPr>
            <w:tcW w:w="800" w:type="dxa"/>
            <w:vAlign w:val="bottom"/>
            <w:gridSpan w:val="3"/>
          </w:tcPr>
          <w:p>
            <w:pPr>
              <w:ind w:left="20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(3)</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1,181</w:t>
            </w: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1780" w:type="dxa"/>
            <w:vAlign w:val="bottom"/>
          </w:tcPr>
          <w:p>
            <w:pPr>
              <w:spacing w:after="0"/>
              <w:rPr>
                <w:sz w:val="10"/>
                <w:szCs w:val="10"/>
                <w:color w:val="auto"/>
              </w:rPr>
            </w:pPr>
          </w:p>
        </w:tc>
        <w:tc>
          <w:tcPr>
            <w:tcW w:w="800" w:type="dxa"/>
            <w:vAlign w:val="bottom"/>
            <w:gridSpan w:val="3"/>
          </w:tcPr>
          <w:p>
            <w:pPr>
              <w:ind w:left="200"/>
              <w:spacing w:after="0" w:line="122" w:lineRule="exact"/>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1,897</w:t>
            </w: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780" w:type="dxa"/>
            <w:vAlign w:val="bottom"/>
          </w:tcPr>
          <w:p>
            <w:pPr>
              <w:spacing w:after="0"/>
              <w:rPr>
                <w:sz w:val="11"/>
                <w:szCs w:val="11"/>
                <w:color w:val="auto"/>
              </w:rPr>
            </w:pPr>
          </w:p>
        </w:tc>
        <w:tc>
          <w:tcPr>
            <w:tcW w:w="800" w:type="dxa"/>
            <w:vAlign w:val="bottom"/>
            <w:gridSpan w:val="3"/>
          </w:tcPr>
          <w:p>
            <w:pPr>
              <w:ind w:left="200"/>
              <w:spacing w:after="0"/>
              <w:rPr>
                <w:sz w:val="20"/>
                <w:szCs w:val="20"/>
                <w:color w:val="auto"/>
              </w:rPr>
            </w:pPr>
            <w:r>
              <w:rPr>
                <w:rFonts w:ascii="Arial" w:cs="Arial" w:eastAsia="Arial" w:hAnsi="Arial"/>
                <w:sz w:val="11"/>
                <w:szCs w:val="11"/>
                <w:color w:val="auto"/>
              </w:rPr>
              <w:t>5/27/10</w:t>
            </w:r>
            <w:r>
              <w:rPr>
                <w:rFonts w:ascii="Arial" w:cs="Arial" w:eastAsia="Arial" w:hAnsi="Arial"/>
                <w:sz w:val="9"/>
                <w:szCs w:val="9"/>
                <w:color w:val="auto"/>
              </w:rPr>
              <w:t>(5)</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3,794</w:t>
            </w:r>
          </w:p>
        </w:tc>
        <w:tc>
          <w:tcPr>
            <w:tcW w:w="960" w:type="dxa"/>
            <w:vAlign w:val="bottom"/>
          </w:tcPr>
          <w:p>
            <w:pPr>
              <w:jc w:val="center"/>
              <w:spacing w:after="0"/>
              <w:rPr>
                <w:sz w:val="20"/>
                <w:szCs w:val="20"/>
                <w:color w:val="auto"/>
              </w:rPr>
            </w:pPr>
            <w:r>
              <w:rPr>
                <w:rFonts w:ascii="Arial" w:cs="Arial" w:eastAsia="Arial" w:hAnsi="Arial"/>
                <w:sz w:val="11"/>
                <w:szCs w:val="11"/>
                <w:color w:val="auto"/>
                <w:w w:val="87"/>
              </w:rPr>
              <w:t>95.27</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84"/>
        </w:trPr>
        <w:tc>
          <w:tcPr>
            <w:tcW w:w="178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1"/>
                <w:szCs w:val="11"/>
                <w:b w:val="1"/>
                <w:bCs w:val="1"/>
                <w:color w:val="auto"/>
              </w:rPr>
              <w:t>Stephen P. Zelnak, Jr.</w:t>
            </w:r>
          </w:p>
        </w:tc>
        <w:tc>
          <w:tcPr>
            <w:tcW w:w="80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1"/>
                <w:szCs w:val="11"/>
                <w:color w:val="auto"/>
              </w:rPr>
              <w:t>1/28/10</w:t>
            </w:r>
            <w:r>
              <w:rPr>
                <w:rFonts w:ascii="Arial" w:cs="Arial" w:eastAsia="Arial" w:hAnsi="Arial"/>
                <w:sz w:val="9"/>
                <w:szCs w:val="9"/>
                <w:color w:val="auto"/>
              </w:rPr>
              <w:t>(1,2)</w:t>
            </w:r>
          </w:p>
        </w:tc>
        <w:tc>
          <w:tcPr>
            <w:tcW w:w="7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3,951</w:t>
            </w:r>
          </w:p>
        </w:tc>
        <w:tc>
          <w:tcPr>
            <w:tcW w:w="7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r>
    </w:tbl>
    <w:p>
      <w:pPr>
        <w:spacing w:after="0" w:line="143" w:lineRule="exact"/>
        <w:rPr>
          <w:sz w:val="20"/>
          <w:szCs w:val="20"/>
          <w:color w:val="auto"/>
        </w:rPr>
      </w:pPr>
    </w:p>
    <w:p>
      <w:pPr>
        <w:ind w:left="1220" w:right="160" w:hanging="242"/>
        <w:spacing w:after="0" w:line="247" w:lineRule="auto"/>
        <w:tabs>
          <w:tab w:leader="none" w:pos="1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amounts shown in column (d) reflect the target level of annual bonus that could have been earned in 2010 that was paid in 2011 pursuant to the Executive Incentive Plan. The amounts shown in column (e) reflect the maximum level of annual bonus that could have been earned in 2010. There is no threshold amount 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In accordance with FASB ASC Topic 718, for mandatory deferrals of payments under the Incentive Stock Plan into common stock units is included in column (e) of the Summary Compensation Table on page 42. Mr. Nye and Mr. Zelnak do not participate in the Executive Incentive Plan.</w:t>
      </w:r>
    </w:p>
    <w:p>
      <w:pPr>
        <w:spacing w:after="0" w:line="16" w:lineRule="exact"/>
        <w:rPr>
          <w:rFonts w:ascii="Arial" w:cs="Arial" w:eastAsia="Arial" w:hAnsi="Arial"/>
          <w:sz w:val="13"/>
          <w:szCs w:val="13"/>
          <w:color w:val="auto"/>
        </w:rPr>
      </w:pPr>
    </w:p>
    <w:p>
      <w:pPr>
        <w:ind w:left="1220" w:right="40" w:hanging="242"/>
        <w:spacing w:after="0" w:line="264" w:lineRule="auto"/>
        <w:tabs>
          <w:tab w:leader="none" w:pos="1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amounts shown in column (i) reflect the restricted stock unit awards granted in 2010 pursuant to the Stock-Based Award Plan, which are based on the previous three-year performance cycle and are subject to vesting after an additional three years of continued employment. The awards are discussed under the heading Performance-Based Stock Purchase Awards on page 35 and the dollar amount is included in column (e) of the Summary Compensation Table on page 42.</w:t>
      </w:r>
    </w:p>
    <w:p>
      <w:pPr>
        <w:spacing w:after="0" w:line="6" w:lineRule="exact"/>
        <w:rPr>
          <w:rFonts w:ascii="Arial" w:cs="Arial" w:eastAsia="Arial" w:hAnsi="Arial"/>
          <w:sz w:val="13"/>
          <w:szCs w:val="13"/>
          <w:color w:val="auto"/>
        </w:rPr>
      </w:pPr>
    </w:p>
    <w:p>
      <w:pPr>
        <w:ind w:left="1220" w:right="120" w:hanging="242"/>
        <w:spacing w:after="0" w:line="264" w:lineRule="auto"/>
        <w:tabs>
          <w:tab w:leader="none" w:pos="1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amounts shown in column (i) reflect the amount of cash bonus earned in 2010 but paid in 2011 that was deferred in units of common stock under the Incentive Stock Plan. Participants in this program for 2010 were approved on May 27, 2010. These awards are discussed under the heading Performance-Based Stock Purchase Awards on page 35. These awards are also included in columns (d) and (e) of this table and the Summary Compensation Table on page 42.</w:t>
      </w:r>
    </w:p>
    <w:p>
      <w:pPr>
        <w:spacing w:after="0" w:line="6" w:lineRule="exact"/>
        <w:rPr>
          <w:rFonts w:ascii="Arial" w:cs="Arial" w:eastAsia="Arial" w:hAnsi="Arial"/>
          <w:sz w:val="13"/>
          <w:szCs w:val="13"/>
          <w:color w:val="auto"/>
        </w:rPr>
      </w:pPr>
    </w:p>
    <w:p>
      <w:pPr>
        <w:ind w:left="1220" w:right="80" w:hanging="242"/>
        <w:spacing w:after="0" w:line="238"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shown in column (i) reflect the number of shares of restricted stock units granted in 2010 to each of the named executive officers pursuant to the Stock-Based Award Plan. These awards are discussed under the heading LTIP Awards on page 36. These awards are also included in column (e) of the Summary Compensation Table on page 42.</w:t>
      </w:r>
    </w:p>
    <w:p>
      <w:pPr>
        <w:spacing w:after="0" w:line="20" w:lineRule="exact"/>
        <w:rPr>
          <w:rFonts w:ascii="Arial" w:cs="Arial" w:eastAsia="Arial" w:hAnsi="Arial"/>
          <w:sz w:val="14"/>
          <w:szCs w:val="14"/>
          <w:color w:val="auto"/>
        </w:rPr>
      </w:pPr>
    </w:p>
    <w:p>
      <w:pPr>
        <w:ind w:left="1220" w:right="120" w:hanging="242"/>
        <w:spacing w:after="0" w:line="238"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shown in column (j) reflect the number of options to purchase shares of the Corporation’s common stock granted in 2010 to each of the named executive officers pursuant to the Stock-Based Award Plan. These awards are discussed under the heading LTIP Awards on page 36. These awards are also included in column (f) of the Summary Compensation Table on page 42.</w:t>
      </w:r>
    </w:p>
    <w:p>
      <w:pPr>
        <w:spacing w:after="0" w:line="20" w:lineRule="exact"/>
        <w:rPr>
          <w:rFonts w:ascii="Arial" w:cs="Arial" w:eastAsia="Arial" w:hAnsi="Arial"/>
          <w:sz w:val="14"/>
          <w:szCs w:val="14"/>
          <w:color w:val="auto"/>
        </w:rPr>
      </w:pPr>
    </w:p>
    <w:p>
      <w:pPr>
        <w:ind w:left="1220" w:right="380" w:hanging="242"/>
        <w:spacing w:after="0" w:line="253" w:lineRule="auto"/>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(j) of the Summary Compensation Table on page 42.</w:t>
      </w:r>
    </w:p>
    <w:p>
      <w:pPr>
        <w:spacing w:after="0" w:line="81" w:lineRule="exact"/>
        <w:rPr>
          <w:sz w:val="20"/>
          <w:szCs w:val="20"/>
          <w:color w:val="auto"/>
        </w:rPr>
      </w:pPr>
    </w:p>
    <w:p>
      <w:pPr>
        <w:jc w:val="both"/>
        <w:ind w:left="980" w:right="200" w:firstLine="609"/>
        <w:spacing w:after="0" w:line="276" w:lineRule="auto"/>
        <w:rPr>
          <w:sz w:val="20"/>
          <w:szCs w:val="20"/>
          <w:color w:val="auto"/>
        </w:rPr>
      </w:pPr>
      <w:r>
        <w:rPr>
          <w:rFonts w:ascii="Arial" w:cs="Arial" w:eastAsia="Arial" w:hAnsi="Arial"/>
          <w:sz w:val="18"/>
          <w:szCs w:val="18"/>
          <w:color w:val="auto"/>
        </w:rPr>
        <w:t>Stock-based incentive awards have been a significant component of the Corporation’s management compensation. In 1998, the Board of Directors adopted and the Corporation’s shareholders approved the Stock-Based Award Plan. In 2006, the shareholders approved amendments to the plan increasing the number of shares of the Corporation’s common stock available for restricted stock awards. They also approved amendments to the plan designed to more directly tie long-term compensation incentives to the Corporation’s performance and enhance flexibility in structuring long-term incentive compensation packages by providing a mix of different types of long-term stock-based incentives.</w:t>
      </w:r>
    </w:p>
    <w:p>
      <w:pPr>
        <w:spacing w:after="0" w:line="71" w:lineRule="exact"/>
        <w:rPr>
          <w:sz w:val="20"/>
          <w:szCs w:val="20"/>
          <w:color w:val="auto"/>
        </w:rPr>
      </w:pPr>
    </w:p>
    <w:p>
      <w:pPr>
        <w:ind w:left="980" w:right="40" w:firstLine="609"/>
        <w:spacing w:after="0" w:line="246" w:lineRule="auto"/>
        <w:rPr>
          <w:sz w:val="20"/>
          <w:szCs w:val="20"/>
          <w:color w:val="auto"/>
        </w:rPr>
      </w:pPr>
      <w:r>
        <w:rPr>
          <w:rFonts w:ascii="Arial" w:cs="Arial" w:eastAsia="Arial" w:hAnsi="Arial"/>
          <w:sz w:val="20"/>
          <w:szCs w:val="20"/>
          <w:color w:val="auto"/>
        </w:rPr>
        <w:t>As amended, the plan authorizes the Management Development and Compensation Committee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948690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60"/>
        <w:spacing w:after="0" w:line="260" w:lineRule="auto"/>
        <w:rPr>
          <w:sz w:val="20"/>
          <w:szCs w:val="20"/>
          <w:color w:val="auto"/>
        </w:rPr>
      </w:pPr>
      <w:r>
        <w:rPr>
          <w:rFonts w:ascii="Arial" w:cs="Arial" w:eastAsia="Arial" w:hAnsi="Arial"/>
          <w:sz w:val="19"/>
          <w:szCs w:val="19"/>
          <w:color w:val="auto"/>
        </w:rPr>
        <w:t>Corporation on an annual basis, or as otherwise determined by the Board of Directors. Since 2005, the Corporation’s long-term compensation program consists of a mix of options and restricted stock units for senior level employees and restricted stock for other select employees. The awards granted are based on the achievement by the Corporation of specific goals related to the return on invested capital as compared to the Corporation’s weighted average cost of capital. Other restricted stock unit awards are granted based on the Corporation’s performance relative to peer groups.</w:t>
      </w:r>
    </w:p>
    <w:p>
      <w:pPr>
        <w:spacing w:after="0" w:line="86" w:lineRule="exact"/>
        <w:rPr>
          <w:sz w:val="20"/>
          <w:szCs w:val="20"/>
          <w:color w:val="auto"/>
        </w:rPr>
      </w:pPr>
    </w:p>
    <w:p>
      <w:pPr>
        <w:ind w:left="980" w:right="180" w:firstLine="609"/>
        <w:spacing w:after="0" w:line="260" w:lineRule="auto"/>
        <w:rPr>
          <w:sz w:val="20"/>
          <w:szCs w:val="20"/>
          <w:color w:val="auto"/>
        </w:rPr>
      </w:pPr>
      <w:r>
        <w:rPr>
          <w:rFonts w:ascii="Arial" w:cs="Arial" w:eastAsia="Arial" w:hAnsi="Arial"/>
          <w:sz w:val="19"/>
          <w:szCs w:val="19"/>
          <w:color w:val="auto"/>
        </w:rPr>
        <w:t>A maximum of 5,000,000 shares of the Corporation’s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86" w:lineRule="exact"/>
        <w:rPr>
          <w:sz w:val="20"/>
          <w:szCs w:val="20"/>
          <w:color w:val="auto"/>
        </w:rPr>
      </w:pPr>
    </w:p>
    <w:p>
      <w:pPr>
        <w:ind w:left="980" w:firstLine="609"/>
        <w:spacing w:after="0" w:line="270" w:lineRule="auto"/>
        <w:rPr>
          <w:sz w:val="20"/>
          <w:szCs w:val="20"/>
          <w:color w:val="auto"/>
        </w:rPr>
      </w:pPr>
      <w:r>
        <w:rPr>
          <w:rFonts w:ascii="Arial" w:cs="Arial" w:eastAsia="Arial" w:hAnsi="Arial"/>
          <w:sz w:val="18"/>
          <w:szCs w:val="18"/>
          <w:color w:val="auto"/>
        </w:rPr>
        <w:t>Restricted stock awards to the named executive officers represent the value of units that correspond to common stock awarded to participants under the plan based on the closing market price of the Corporation’s common stock on the date of grant. The number of units granted to the named executive officers in 2010 include awards based on the attainment of the following goals: (1) the Corporation’s performance as measured by its specific return on shareholders investment determined by a total return to shareholders ranking that must be at least in the 30th percentile as compared to the Standard and Poor’s MidCap 400 Index and to the Standard and Poor’s Basic Materials Index (formerly named the Basic Materials Industrial Group) for the three year performance period ending on January 1 in the year the awards are granted; and (2) the Committee’s target compensation philosophy, retention goals, and determination that the executive officers delivered outstanding performance despite the severe economic recession. Such awards vest generally if the executive is continuously employed from the date of grant through December 1 of the year that is immediately preceding three years from the date of grant or the fourth anniversary of the date of the grant, respectively, at which time shares of common stock are issued to the participant. Dividend equivalents are paid on the units at the same rate as dividends are paid to all shareholders.</w:t>
      </w:r>
    </w:p>
    <w:p>
      <w:pPr>
        <w:spacing w:after="0" w:line="82" w:lineRule="exact"/>
        <w:rPr>
          <w:sz w:val="20"/>
          <w:szCs w:val="20"/>
          <w:color w:val="auto"/>
        </w:rPr>
      </w:pPr>
    </w:p>
    <w:p>
      <w:pPr>
        <w:ind w:left="980" w:right="80" w:firstLine="609"/>
        <w:spacing w:after="0" w:line="270" w:lineRule="auto"/>
        <w:rPr>
          <w:sz w:val="20"/>
          <w:szCs w:val="20"/>
          <w:color w:val="auto"/>
        </w:rPr>
      </w:pPr>
      <w:r>
        <w:rPr>
          <w:rFonts w:ascii="Arial" w:cs="Arial" w:eastAsia="Arial" w:hAnsi="Arial"/>
          <w:sz w:val="18"/>
          <w:szCs w:val="18"/>
          <w:color w:val="auto"/>
        </w:rPr>
        <w:t>Stock option awards to the named executive officers are made by the Committee, upon the recommendation of management of the Corporation, except for Mr. Nye, for whom the Committee formulates its own decision, and may be awarded based on past performance or as incentive for future efforts. Under the applicable award agreements, the 2010 options will vest and become exercisable in four equal increments on May 27, 2011, 2012, 2013, and 2014, and expire 8 years from the date of grant. Options awarded in 2010 expire 90 days following termination of employment, except in instances following death, disability or retirement. In the event of death, all outstanding options vest immediately and will expire one year following the date of death. For options awarded in 2010,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the Corporation’s executive officers, the Committee, determines that all outstanding options will be unaffected by such retirement. In the event of a change in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20"/>
          <w:szCs w:val="20"/>
          <w:b w:val="1"/>
          <w:bCs w:val="1"/>
          <w:i w:val="1"/>
          <w:iCs w:val="1"/>
          <w:color w:val="auto"/>
        </w:rPr>
        <w:t>Outstanding Equity Awards at Fiscal Year-End</w:t>
      </w:r>
    </w:p>
    <w:p>
      <w:pPr>
        <w:spacing w:after="0" w:line="121" w:lineRule="exact"/>
        <w:rPr>
          <w:sz w:val="20"/>
          <w:szCs w:val="20"/>
          <w:color w:val="auto"/>
        </w:rPr>
      </w:pPr>
    </w:p>
    <w:p>
      <w:pPr>
        <w:ind w:left="980" w:right="220" w:firstLine="609"/>
        <w:spacing w:after="0" w:line="250" w:lineRule="auto"/>
        <w:rPr>
          <w:sz w:val="20"/>
          <w:szCs w:val="20"/>
          <w:color w:val="auto"/>
        </w:rPr>
      </w:pPr>
      <w:r>
        <w:rPr>
          <w:rFonts w:ascii="Arial" w:cs="Arial" w:eastAsia="Arial" w:hAnsi="Arial"/>
          <w:sz w:val="20"/>
          <w:szCs w:val="20"/>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2010.</w:t>
      </w:r>
    </w:p>
    <w:p>
      <w:pPr>
        <w:spacing w:after="0" w:line="19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1076960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5"/>
        </w:trPr>
        <w:tc>
          <w:tcPr>
            <w:tcW w:w="2340" w:type="dxa"/>
            <w:vAlign w:val="bottom"/>
            <w:tcBorders>
              <w:top w:val="single" w:sz="8" w:color="auto"/>
              <w:lef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7"/>
              </w:rPr>
              <w:t>OPTION AWARDS</w:t>
            </w:r>
          </w:p>
        </w:tc>
        <w:tc>
          <w:tcPr>
            <w:tcW w:w="5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54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STOCK AWARDS</w:t>
            </w: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4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Incentive</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Plan Awards:</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Market</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Equity</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Plan Awards:</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or Payout</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Incentive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Value or</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Number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rPr>
              <w:t>Market</w:t>
            </w: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0" w:type="dxa"/>
            <w:vAlign w:val="bottom"/>
          </w:tcPr>
          <w:p>
            <w:pPr>
              <w:spacing w:after="0"/>
              <w:rPr>
                <w:sz w:val="10"/>
                <w:szCs w:val="10"/>
                <w:color w:val="auto"/>
              </w:rPr>
            </w:pPr>
          </w:p>
        </w:tc>
        <w:tc>
          <w:tcPr>
            <w:tcW w:w="880" w:type="dxa"/>
            <w:vAlign w:val="bottom"/>
            <w:gridSpan w:val="2"/>
          </w:tcPr>
          <w:p>
            <w:pPr>
              <w:jc w:val="center"/>
              <w:ind w:left="75"/>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Number</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Shares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w w:val="84"/>
              </w:rPr>
              <w:t>Value of</w:t>
            </w: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Shares,</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880" w:type="dxa"/>
            <w:vAlign w:val="bottom"/>
            <w:gridSpan w:val="2"/>
          </w:tcPr>
          <w:p>
            <w:pPr>
              <w:jc w:val="center"/>
              <w:ind w:left="55"/>
              <w:spacing w:after="0" w:line="122" w:lineRule="exact"/>
              <w:rPr>
                <w:sz w:val="20"/>
                <w:szCs w:val="20"/>
                <w:color w:val="auto"/>
              </w:rPr>
            </w:pPr>
            <w:r>
              <w:rPr>
                <w:rFonts w:ascii="Arial" w:cs="Arial" w:eastAsia="Arial" w:hAnsi="Arial"/>
                <w:sz w:val="11"/>
                <w:szCs w:val="11"/>
                <w:b w:val="1"/>
                <w:bCs w:val="1"/>
                <w:color w:val="auto"/>
                <w:w w:val="83"/>
              </w:rPr>
              <w:t>Securities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of Securities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or Units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w w:val="86"/>
              </w:rPr>
              <w:t>Shares or</w:t>
            </w: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Units or</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Units or</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10"/>
                <w:szCs w:val="10"/>
                <w:color w:val="auto"/>
              </w:rPr>
            </w:pPr>
          </w:p>
        </w:tc>
        <w:tc>
          <w:tcPr>
            <w:tcW w:w="880" w:type="dxa"/>
            <w:vAlign w:val="bottom"/>
            <w:gridSpan w:val="2"/>
          </w:tcPr>
          <w:p>
            <w:pPr>
              <w:jc w:val="center"/>
              <w:ind w:left="55"/>
              <w:spacing w:after="0" w:line="122" w:lineRule="exact"/>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Underlying</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2"/>
              </w:rPr>
              <w:t>of Stock</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w w:val="87"/>
              </w:rPr>
              <w:t>Units of</w:t>
            </w: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other</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 w:type="dxa"/>
            <w:vAlign w:val="bottom"/>
          </w:tcPr>
          <w:p>
            <w:pPr>
              <w:spacing w:after="0"/>
              <w:rPr>
                <w:sz w:val="10"/>
                <w:szCs w:val="10"/>
                <w:color w:val="auto"/>
              </w:rPr>
            </w:pPr>
          </w:p>
        </w:tc>
        <w:tc>
          <w:tcPr>
            <w:tcW w:w="880" w:type="dxa"/>
            <w:vAlign w:val="bottom"/>
            <w:gridSpan w:val="2"/>
          </w:tcPr>
          <w:p>
            <w:pPr>
              <w:jc w:val="center"/>
              <w:ind w:left="55"/>
              <w:spacing w:after="0" w:line="122" w:lineRule="exact"/>
              <w:rPr>
                <w:sz w:val="20"/>
                <w:szCs w:val="20"/>
                <w:color w:val="auto"/>
              </w:rPr>
            </w:pPr>
            <w:r>
              <w:rPr>
                <w:rFonts w:ascii="Arial" w:cs="Arial" w:eastAsia="Arial" w:hAnsi="Arial"/>
                <w:sz w:val="11"/>
                <w:szCs w:val="11"/>
                <w:b w:val="1"/>
                <w:bCs w:val="1"/>
                <w:color w:val="auto"/>
                <w:w w:val="85"/>
              </w:rPr>
              <w:t>Unexercised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That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w w:val="92"/>
              </w:rPr>
              <w:t>Stock That</w:t>
            </w: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Rights That</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Rights</w:t>
            </w:r>
          </w:p>
        </w:tc>
        <w:tc>
          <w:tcPr>
            <w:tcW w:w="0" w:type="dxa"/>
            <w:vAlign w:val="bottom"/>
          </w:tcPr>
          <w:p>
            <w:pPr>
              <w:spacing w:after="0"/>
              <w:rPr>
                <w:sz w:val="1"/>
                <w:szCs w:val="1"/>
                <w:color w:val="auto"/>
              </w:rPr>
            </w:pPr>
          </w:p>
        </w:tc>
      </w:tr>
      <w:tr>
        <w:trPr>
          <w:trHeight w:val="122"/>
        </w:trPr>
        <w:tc>
          <w:tcPr>
            <w:tcW w:w="23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80" w:type="dxa"/>
            <w:vAlign w:val="bottom"/>
          </w:tcPr>
          <w:p>
            <w:pPr>
              <w:spacing w:after="0"/>
              <w:rPr>
                <w:sz w:val="10"/>
                <w:szCs w:val="10"/>
                <w:color w:val="auto"/>
              </w:rPr>
            </w:pPr>
          </w:p>
        </w:tc>
        <w:tc>
          <w:tcPr>
            <w:tcW w:w="880" w:type="dxa"/>
            <w:vAlign w:val="bottom"/>
            <w:gridSpan w:val="2"/>
          </w:tcPr>
          <w:p>
            <w:pPr>
              <w:jc w:val="center"/>
              <w:ind w:left="55"/>
              <w:spacing w:after="0" w:line="122" w:lineRule="exact"/>
              <w:rPr>
                <w:sz w:val="20"/>
                <w:szCs w:val="20"/>
                <w:color w:val="auto"/>
              </w:rPr>
            </w:pPr>
            <w:r>
              <w:rPr>
                <w:rFonts w:ascii="Arial" w:cs="Arial" w:eastAsia="Arial" w:hAnsi="Arial"/>
                <w:sz w:val="11"/>
                <w:szCs w:val="11"/>
                <w:b w:val="1"/>
                <w:bCs w:val="1"/>
                <w:color w:val="auto"/>
                <w:w w:val="86"/>
              </w:rPr>
              <w:t>Options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Unearned</w:t>
            </w: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172"/>
              <w:spacing w:after="0" w:line="122" w:lineRule="exact"/>
              <w:rPr>
                <w:sz w:val="20"/>
                <w:szCs w:val="20"/>
                <w:color w:val="auto"/>
              </w:rPr>
            </w:pPr>
            <w:r>
              <w:rPr>
                <w:rFonts w:ascii="Arial" w:cs="Arial" w:eastAsia="Arial" w:hAnsi="Arial"/>
                <w:sz w:val="11"/>
                <w:szCs w:val="11"/>
                <w:b w:val="1"/>
                <w:bCs w:val="1"/>
                <w:color w:val="auto"/>
                <w:w w:val="92"/>
              </w:rPr>
              <w:t>Have Not</w:t>
            </w:r>
          </w:p>
        </w:tc>
        <w:tc>
          <w:tcPr>
            <w:tcW w:w="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Have Not</w:t>
            </w:r>
          </w:p>
        </w:tc>
        <w:tc>
          <w:tcPr>
            <w:tcW w:w="8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That Have</w:t>
            </w: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tcBorders>
            <w:vMerge w:val="restart"/>
          </w:tcPr>
          <w:p>
            <w:pPr>
              <w:ind w:left="1200"/>
              <w:spacing w:after="0"/>
              <w:rPr>
                <w:sz w:val="20"/>
                <w:szCs w:val="20"/>
                <w:color w:val="auto"/>
              </w:rPr>
            </w:pPr>
            <w:r>
              <w:rPr>
                <w:rFonts w:ascii="Arial" w:cs="Arial" w:eastAsia="Arial" w:hAnsi="Arial"/>
                <w:sz w:val="11"/>
                <w:szCs w:val="11"/>
                <w:b w:val="1"/>
                <w:bCs w:val="1"/>
                <w:color w:val="auto"/>
              </w:rPr>
              <w:t>Name</w:t>
            </w:r>
          </w:p>
        </w:tc>
        <w:tc>
          <w:tcPr>
            <w:tcW w:w="680" w:type="dxa"/>
            <w:vAlign w:val="bottom"/>
            <w:gridSpan w:val="2"/>
          </w:tcPr>
          <w:p>
            <w:pPr>
              <w:jc w:val="center"/>
              <w:ind w:left="9"/>
              <w:spacing w:after="0"/>
              <w:rPr>
                <w:sz w:val="20"/>
                <w:szCs w:val="20"/>
                <w:color w:val="auto"/>
              </w:rPr>
            </w:pPr>
            <w:r>
              <w:rPr>
                <w:rFonts w:ascii="Arial" w:cs="Arial" w:eastAsia="Arial" w:hAnsi="Arial"/>
                <w:sz w:val="11"/>
                <w:szCs w:val="11"/>
                <w:b w:val="1"/>
                <w:bCs w:val="1"/>
                <w:color w:val="auto"/>
                <w:w w:val="88"/>
              </w:rPr>
              <w:t>(#)</w:t>
            </w:r>
          </w:p>
        </w:tc>
        <w:tc>
          <w:tcPr>
            <w:tcW w:w="780" w:type="dxa"/>
            <w:vAlign w:val="bottom"/>
            <w:gridSpan w:val="2"/>
          </w:tcPr>
          <w:p>
            <w:pPr>
              <w:jc w:val="center"/>
              <w:ind w:left="309"/>
              <w:spacing w:after="0"/>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Options</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2"/>
              </w:rPr>
              <w:t>Expiration</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8"/>
              </w:rPr>
              <w:t>Vested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172"/>
              <w:spacing w:after="0"/>
              <w:rPr>
                <w:sz w:val="20"/>
                <w:szCs w:val="20"/>
                <w:color w:val="auto"/>
              </w:rPr>
            </w:pPr>
            <w:r>
              <w:rPr>
                <w:rFonts w:ascii="Arial" w:cs="Arial" w:eastAsia="Arial" w:hAnsi="Arial"/>
                <w:sz w:val="11"/>
                <w:szCs w:val="11"/>
                <w:b w:val="1"/>
                <w:bCs w:val="1"/>
                <w:color w:val="auto"/>
                <w:w w:val="84"/>
              </w:rPr>
              <w:t>Vested</w:t>
            </w:r>
            <w:r>
              <w:rPr>
                <w:rFonts w:ascii="Arial" w:cs="Arial" w:eastAsia="Arial" w:hAnsi="Arial"/>
                <w:sz w:val="9"/>
                <w:szCs w:val="9"/>
                <w:b w:val="1"/>
                <w:bCs w:val="1"/>
                <w:color w:val="auto"/>
                <w:w w:val="84"/>
              </w:rPr>
              <w:t>(1)</w:t>
            </w: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8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Not Vested</w:t>
            </w: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8"/>
              </w:rPr>
              <w:t>Exercisable</w:t>
            </w:r>
          </w:p>
        </w:tc>
        <w:tc>
          <w:tcPr>
            <w:tcW w:w="80" w:type="dxa"/>
            <w:vAlign w:val="bottom"/>
          </w:tcPr>
          <w:p>
            <w:pPr>
              <w:spacing w:after="0"/>
              <w:rPr>
                <w:sz w:val="11"/>
                <w:szCs w:val="11"/>
                <w:color w:val="auto"/>
              </w:rPr>
            </w:pPr>
          </w:p>
        </w:tc>
        <w:tc>
          <w:tcPr>
            <w:tcW w:w="880" w:type="dxa"/>
            <w:vAlign w:val="bottom"/>
            <w:gridSpan w:val="2"/>
          </w:tcPr>
          <w:p>
            <w:pPr>
              <w:jc w:val="center"/>
              <w:ind w:left="55"/>
              <w:spacing w:after="0"/>
              <w:rPr>
                <w:sz w:val="20"/>
                <w:szCs w:val="20"/>
                <w:color w:val="auto"/>
              </w:rPr>
            </w:pPr>
            <w:r>
              <w:rPr>
                <w:rFonts w:ascii="Arial" w:cs="Arial" w:eastAsia="Arial" w:hAnsi="Arial"/>
                <w:sz w:val="11"/>
                <w:szCs w:val="11"/>
                <w:b w:val="1"/>
                <w:bCs w:val="1"/>
                <w:color w:val="auto"/>
                <w:w w:val="85"/>
              </w:rPr>
              <w:t>Unexercisable</w:t>
            </w:r>
          </w:p>
        </w:tc>
        <w:tc>
          <w:tcPr>
            <w:tcW w:w="880" w:type="dxa"/>
            <w:vAlign w:val="bottom"/>
            <w:gridSpan w:val="3"/>
          </w:tcPr>
          <w:p>
            <w:pPr>
              <w:jc w:val="center"/>
              <w:ind w:left="16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860" w:type="dxa"/>
            <w:vAlign w:val="bottom"/>
            <w:gridSpan w:val="2"/>
          </w:tcPr>
          <w:p>
            <w:pPr>
              <w:jc w:val="center"/>
              <w:ind w:left="28"/>
              <w:spacing w:after="0"/>
              <w:rPr>
                <w:sz w:val="20"/>
                <w:szCs w:val="20"/>
                <w:color w:val="auto"/>
              </w:rPr>
            </w:pPr>
            <w:r>
              <w:rPr>
                <w:rFonts w:ascii="Arial" w:cs="Arial" w:eastAsia="Arial" w:hAnsi="Arial"/>
                <w:sz w:val="11"/>
                <w:szCs w:val="11"/>
                <w:b w:val="1"/>
                <w:bCs w:val="1"/>
                <w:color w:val="auto"/>
                <w:w w:val="88"/>
              </w:rPr>
              <w: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ind w:right="172"/>
              <w:spacing w:after="0"/>
              <w:rPr>
                <w:sz w:val="20"/>
                <w:szCs w:val="20"/>
                <w:color w:val="auto"/>
              </w:rPr>
            </w:pPr>
            <w:r>
              <w:rPr>
                <w:rFonts w:ascii="Arial" w:cs="Arial" w:eastAsia="Arial" w:hAnsi="Arial"/>
                <w:sz w:val="11"/>
                <w:szCs w:val="11"/>
                <w:b w:val="1"/>
                <w:bCs w:val="1"/>
                <w:color w:val="auto"/>
                <w:w w:val="88"/>
              </w:rPr>
              <w:t>($)</w:t>
            </w:r>
          </w:p>
        </w:tc>
        <w:tc>
          <w:tcPr>
            <w:tcW w:w="78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rPr>
              <w:t>(#)</w:t>
            </w:r>
          </w:p>
        </w:tc>
        <w:tc>
          <w:tcPr>
            <w:tcW w:w="76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15"/>
        </w:trPr>
        <w:tc>
          <w:tcPr>
            <w:tcW w:w="2340" w:type="dxa"/>
            <w:vAlign w:val="bottom"/>
            <w:tcBorders>
              <w:left w:val="single" w:sz="8" w:color="auto"/>
              <w:bottom w:val="single" w:sz="8" w:color="auto"/>
            </w:tcBorders>
          </w:tcPr>
          <w:p>
            <w:pPr>
              <w:ind w:left="1140"/>
              <w:spacing w:after="0" w:line="115" w:lineRule="exact"/>
              <w:rPr>
                <w:sz w:val="20"/>
                <w:szCs w:val="20"/>
                <w:color w:val="auto"/>
              </w:rPr>
            </w:pPr>
            <w:r>
              <w:rPr>
                <w:rFonts w:ascii="Arial" w:cs="Arial" w:eastAsia="Arial" w:hAnsi="Arial"/>
                <w:sz w:val="11"/>
                <w:szCs w:val="11"/>
                <w:b w:val="1"/>
                <w:bCs w:val="1"/>
                <w:color w:val="auto"/>
              </w:rPr>
              <w:t>(a)</w:t>
            </w:r>
          </w:p>
        </w:tc>
        <w:tc>
          <w:tcPr>
            <w:tcW w:w="80" w:type="dxa"/>
            <w:vAlign w:val="bottom"/>
            <w:tcBorders>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(b)</w:t>
            </w:r>
          </w:p>
        </w:tc>
        <w:tc>
          <w:tcPr>
            <w:tcW w:w="80" w:type="dxa"/>
            <w:vAlign w:val="bottom"/>
            <w:tcBorders>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2"/>
          </w:tcPr>
          <w:p>
            <w:pPr>
              <w:jc w:val="center"/>
              <w:ind w:left="55"/>
              <w:spacing w:after="0" w:line="115" w:lineRule="exact"/>
              <w:rPr>
                <w:sz w:val="20"/>
                <w:szCs w:val="20"/>
                <w:color w:val="auto"/>
              </w:rPr>
            </w:pPr>
            <w:r>
              <w:rPr>
                <w:rFonts w:ascii="Arial" w:cs="Arial" w:eastAsia="Arial" w:hAnsi="Arial"/>
                <w:sz w:val="11"/>
                <w:szCs w:val="11"/>
                <w:b w:val="1"/>
                <w:bCs w:val="1"/>
                <w:color w:val="auto"/>
                <w:w w:val="88"/>
              </w:rPr>
              <w:t>(c)</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(d)</w:t>
            </w:r>
          </w:p>
        </w:tc>
        <w:tc>
          <w:tcPr>
            <w:tcW w:w="80" w:type="dxa"/>
            <w:vAlign w:val="bottom"/>
            <w:tcBorders>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8"/>
              </w:rPr>
              <w:t>(e)</w:t>
            </w:r>
          </w:p>
        </w:tc>
        <w:tc>
          <w:tcPr>
            <w:tcW w:w="80" w:type="dxa"/>
            <w:vAlign w:val="bottom"/>
            <w:tcBorders>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0"/>
              </w:rPr>
              <w:t>(f)</w:t>
            </w:r>
          </w:p>
        </w:tc>
        <w:tc>
          <w:tcPr>
            <w:tcW w:w="100" w:type="dxa"/>
            <w:vAlign w:val="bottom"/>
            <w:tcBorders>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5"/>
              </w:rPr>
              <w:t>(g)</w:t>
            </w:r>
          </w:p>
        </w:tc>
        <w:tc>
          <w:tcPr>
            <w:tcW w:w="28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172"/>
              <w:spacing w:after="0" w:line="115" w:lineRule="exact"/>
              <w:rPr>
                <w:sz w:val="20"/>
                <w:szCs w:val="20"/>
                <w:color w:val="auto"/>
              </w:rPr>
            </w:pPr>
            <w:r>
              <w:rPr>
                <w:rFonts w:ascii="Arial" w:cs="Arial" w:eastAsia="Arial" w:hAnsi="Arial"/>
                <w:sz w:val="11"/>
                <w:szCs w:val="11"/>
                <w:b w:val="1"/>
                <w:bCs w:val="1"/>
                <w:color w:val="auto"/>
                <w:w w:val="85"/>
              </w:rPr>
              <w:t>(h)</w:t>
            </w:r>
          </w:p>
        </w:tc>
        <w:tc>
          <w:tcPr>
            <w:tcW w:w="80" w:type="dxa"/>
            <w:vAlign w:val="bottom"/>
            <w:tcBorders>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5"/>
              </w:rPr>
              <w:t>(i)</w:t>
            </w:r>
          </w:p>
        </w:tc>
        <w:tc>
          <w:tcPr>
            <w:tcW w:w="80" w:type="dxa"/>
            <w:vAlign w:val="bottom"/>
            <w:tcBorders>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(j)</w:t>
            </w:r>
          </w:p>
        </w:tc>
        <w:tc>
          <w:tcPr>
            <w:tcW w:w="0" w:type="dxa"/>
            <w:vAlign w:val="bottom"/>
          </w:tcPr>
          <w:p>
            <w:pPr>
              <w:spacing w:after="0"/>
              <w:rPr>
                <w:sz w:val="1"/>
                <w:szCs w:val="1"/>
                <w:color w:val="auto"/>
              </w:rPr>
            </w:pPr>
          </w:p>
        </w:tc>
      </w:tr>
      <w:tr>
        <w:trPr>
          <w:trHeight w:val="123"/>
        </w:trPr>
        <w:tc>
          <w:tcPr>
            <w:tcW w:w="2340" w:type="dxa"/>
            <w:vAlign w:val="bottom"/>
            <w:tcBorders>
              <w:lef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6"/>
              <w:spacing w:after="0" w:line="123" w:lineRule="exact"/>
              <w:rPr>
                <w:sz w:val="20"/>
                <w:szCs w:val="20"/>
                <w:color w:val="auto"/>
              </w:rPr>
            </w:pPr>
            <w:r>
              <w:rPr>
                <w:rFonts w:ascii="Arial" w:cs="Arial" w:eastAsia="Arial" w:hAnsi="Arial"/>
                <w:sz w:val="14"/>
                <w:szCs w:val="14"/>
                <w:color w:val="auto"/>
              </w:rPr>
              <w:t>6,582</w:t>
            </w:r>
            <w:r>
              <w:rPr>
                <w:rFonts w:ascii="Arial" w:cs="Arial" w:eastAsia="Arial" w:hAnsi="Arial"/>
                <w:sz w:val="12"/>
                <w:szCs w:val="12"/>
                <w:color w:val="auto"/>
              </w:rPr>
              <w:t>(6)</w:t>
            </w:r>
          </w:p>
        </w:tc>
        <w:tc>
          <w:tcPr>
            <w:tcW w:w="5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23" w:lineRule="exact"/>
              <w:rPr>
                <w:sz w:val="20"/>
                <w:szCs w:val="20"/>
                <w:color w:val="auto"/>
              </w:rPr>
            </w:pPr>
            <w:r>
              <w:rPr>
                <w:rFonts w:ascii="Arial" w:cs="Arial" w:eastAsia="Arial" w:hAnsi="Arial"/>
                <w:sz w:val="14"/>
                <w:szCs w:val="14"/>
                <w:color w:val="auto"/>
              </w:rPr>
              <w:t>607,124</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7,854</w:t>
            </w:r>
            <w:r>
              <w:rPr>
                <w:rFonts w:ascii="Arial" w:cs="Arial" w:eastAsia="Arial" w:hAnsi="Arial"/>
                <w:sz w:val="12"/>
                <w:szCs w:val="12"/>
                <w:color w:val="auto"/>
              </w:rPr>
              <w:t>(7)</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724,453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7,520</w:t>
            </w:r>
            <w:r>
              <w:rPr>
                <w:rFonts w:ascii="Arial" w:cs="Arial" w:eastAsia="Arial" w:hAnsi="Arial"/>
                <w:sz w:val="12"/>
                <w:szCs w:val="12"/>
                <w:color w:val="auto"/>
              </w:rPr>
              <w:t>(8)</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693,645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C. Howard Nye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9,873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3,292</w:t>
            </w: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151.92</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5/22/2015</w:t>
            </w: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5,598</w:t>
            </w:r>
            <w:r>
              <w:rPr>
                <w:rFonts w:ascii="Arial" w:cs="Arial" w:eastAsia="Arial" w:hAnsi="Arial"/>
                <w:sz w:val="12"/>
                <w:szCs w:val="12"/>
                <w:color w:val="auto"/>
              </w:rPr>
              <w:t>(9)</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516,360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7,853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7,854</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117.77</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5/28/2016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5,596</w:t>
            </w:r>
            <w:r>
              <w:rPr>
                <w:rFonts w:ascii="Arial" w:cs="Arial" w:eastAsia="Arial" w:hAnsi="Arial"/>
                <w:sz w:val="12"/>
                <w:szCs w:val="12"/>
                <w:color w:val="auto"/>
              </w:rPr>
              <w:t>(10)</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516,175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3,759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79.79</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5/27/2017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2,810</w:t>
            </w:r>
            <w:r>
              <w:rPr>
                <w:rFonts w:ascii="Arial" w:cs="Arial" w:eastAsia="Arial" w:hAnsi="Arial"/>
                <w:sz w:val="12"/>
                <w:szCs w:val="12"/>
                <w:color w:val="auto"/>
              </w:rPr>
              <w:t>(11)</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259,194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95.27</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5/27/2018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1,336</w:t>
            </w:r>
            <w:r>
              <w:rPr>
                <w:rFonts w:ascii="Arial" w:cs="Arial" w:eastAsia="Arial" w:hAnsi="Arial"/>
                <w:sz w:val="12"/>
                <w:szCs w:val="12"/>
                <w:color w:val="auto"/>
              </w:rPr>
              <w:t>(12)</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123,233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1,308</w:t>
            </w:r>
            <w:r>
              <w:rPr>
                <w:rFonts w:ascii="Arial" w:cs="Arial" w:eastAsia="Arial" w:hAnsi="Arial"/>
                <w:sz w:val="12"/>
                <w:szCs w:val="12"/>
                <w:color w:val="auto"/>
              </w:rPr>
              <w:t>(13)</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120,650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(14)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922,400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4"/>
                <w:szCs w:val="14"/>
                <w:color w:val="auto"/>
                <w:w w:val="91"/>
              </w:rPr>
              <w:t>5,500</w:t>
            </w: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
              <w:spacing w:after="0" w:line="130" w:lineRule="exact"/>
              <w:rPr>
                <w:sz w:val="20"/>
                <w:szCs w:val="20"/>
                <w:color w:val="auto"/>
              </w:rPr>
            </w:pPr>
            <w:r>
              <w:rPr>
                <w:rFonts w:ascii="Arial" w:cs="Arial" w:eastAsia="Arial" w:hAnsi="Arial"/>
                <w:sz w:val="14"/>
                <w:szCs w:val="14"/>
                <w:color w:val="auto"/>
              </w:rPr>
              <w:t>36.55</w:t>
            </w:r>
          </w:p>
        </w:tc>
        <w:tc>
          <w:tcPr>
            <w:tcW w:w="9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3"/>
              </w:rPr>
              <w:t>8/15/2012</w:t>
            </w:r>
          </w:p>
        </w:tc>
        <w:tc>
          <w:tcPr>
            <w:tcW w:w="860" w:type="dxa"/>
            <w:vAlign w:val="bottom"/>
            <w:gridSpan w:val="2"/>
          </w:tcPr>
          <w:p>
            <w:pPr>
              <w:jc w:val="right"/>
              <w:ind w:right="6"/>
              <w:spacing w:after="0" w:line="130"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(6)</w:t>
            </w:r>
          </w:p>
        </w:tc>
        <w:tc>
          <w:tcPr>
            <w:tcW w:w="5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30" w:lineRule="exact"/>
              <w:rPr>
                <w:sz w:val="20"/>
                <w:szCs w:val="20"/>
                <w:color w:val="auto"/>
              </w:rPr>
            </w:pPr>
            <w:r>
              <w:rPr>
                <w:rFonts w:ascii="Arial" w:cs="Arial" w:eastAsia="Arial" w:hAnsi="Arial"/>
                <w:sz w:val="14"/>
                <w:szCs w:val="14"/>
                <w:color w:val="auto"/>
              </w:rPr>
              <w:t>396,724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2,812</w:t>
            </w:r>
          </w:p>
        </w:tc>
        <w:tc>
          <w:tcPr>
            <w:tcW w:w="96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61.05</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5/24/2013</w:t>
            </w:r>
          </w:p>
        </w:tc>
        <w:tc>
          <w:tcPr>
            <w:tcW w:w="86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(7)</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473,283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Anne H. Lloyd</w:t>
            </w: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6,815</w:t>
            </w:r>
          </w:p>
        </w:tc>
        <w:tc>
          <w:tcPr>
            <w:tcW w:w="96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89.02</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5/22/2014</w:t>
            </w:r>
          </w:p>
        </w:tc>
        <w:tc>
          <w:tcPr>
            <w:tcW w:w="86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4,530</w:t>
            </w:r>
            <w:r>
              <w:rPr>
                <w:rFonts w:ascii="Arial" w:cs="Arial" w:eastAsia="Arial" w:hAnsi="Arial"/>
                <w:sz w:val="12"/>
                <w:szCs w:val="12"/>
                <w:color w:val="auto"/>
              </w:rPr>
              <w:t>(8)</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417,847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vMerge w:val="continue"/>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3"/>
              </w:rPr>
              <w:t>10,000</w:t>
            </w:r>
          </w:p>
        </w:tc>
        <w:tc>
          <w:tcPr>
            <w:tcW w:w="96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42.38</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8/17/2014</w:t>
            </w:r>
          </w:p>
        </w:tc>
        <w:tc>
          <w:tcPr>
            <w:tcW w:w="86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1,897</w:t>
            </w:r>
            <w:r>
              <w:rPr>
                <w:rFonts w:ascii="Arial" w:cs="Arial" w:eastAsia="Arial" w:hAnsi="Arial"/>
                <w:sz w:val="12"/>
                <w:szCs w:val="12"/>
                <w:color w:val="auto"/>
              </w:rPr>
              <w:t>(9)</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174,979</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6,451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2,151</w:t>
            </w: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151.92</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5/22/2015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3,760</w:t>
            </w:r>
            <w:r>
              <w:rPr>
                <w:rFonts w:ascii="Arial" w:cs="Arial" w:eastAsia="Arial" w:hAnsi="Arial"/>
                <w:sz w:val="12"/>
                <w:szCs w:val="12"/>
                <w:color w:val="auto"/>
              </w:rPr>
              <w:t>(10)</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346,822</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5,131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5,132</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117.77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5/28/2016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1,581</w:t>
            </w:r>
            <w:r>
              <w:rPr>
                <w:rFonts w:ascii="Arial" w:cs="Arial" w:eastAsia="Arial" w:hAnsi="Arial"/>
                <w:sz w:val="12"/>
                <w:szCs w:val="12"/>
                <w:color w:val="auto"/>
              </w:rPr>
              <w:t>(11)</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145,831</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2,265</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6,795</w:t>
            </w: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79.79</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5/27/2017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w:t>
            </w:r>
            <w:r>
              <w:rPr>
                <w:rFonts w:ascii="Arial" w:cs="Arial" w:eastAsia="Arial" w:hAnsi="Arial"/>
                <w:sz w:val="12"/>
                <w:szCs w:val="12"/>
                <w:color w:val="auto"/>
              </w:rPr>
              <w:t>(12)</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72,870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680" w:type="dxa"/>
            <w:vAlign w:val="bottom"/>
            <w:gridSpan w:val="2"/>
          </w:tcPr>
          <w:p>
            <w:pPr>
              <w:jc w:val="center"/>
              <w:ind w:left="9"/>
              <w:spacing w:after="0"/>
              <w:rPr>
                <w:sz w:val="20"/>
                <w:szCs w:val="20"/>
                <w:color w:val="auto"/>
              </w:rPr>
            </w:pPr>
            <w:r>
              <w:rPr>
                <w:rFonts w:ascii="Arial" w:cs="Arial" w:eastAsia="Arial" w:hAnsi="Arial"/>
                <w:sz w:val="14"/>
                <w:szCs w:val="14"/>
                <w:color w:val="auto"/>
              </w:rPr>
              <w:t>0</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3,794</w:t>
            </w:r>
            <w:r>
              <w:rPr>
                <w:rFonts w:ascii="Arial" w:cs="Arial" w:eastAsia="Arial" w:hAnsi="Arial"/>
                <w:sz w:val="12"/>
                <w:szCs w:val="12"/>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color w:val="auto"/>
              </w:rPr>
              <w:t>95.27</w:t>
            </w:r>
          </w:p>
        </w:tc>
        <w:tc>
          <w:tcPr>
            <w:tcW w:w="96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5/27/2018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622</w:t>
            </w:r>
            <w:r>
              <w:rPr>
                <w:rFonts w:ascii="Arial" w:cs="Arial" w:eastAsia="Arial" w:hAnsi="Arial"/>
                <w:sz w:val="12"/>
                <w:szCs w:val="12"/>
                <w:color w:val="auto"/>
              </w:rPr>
              <w:t>(13)</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57,373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tcBorders>
              <w:left w:val="single" w:sz="8" w:color="auto"/>
            </w:tcBorders>
            <w:shd w:val="clear" w:color="auto" w:fill="CCEEFF"/>
          </w:tcPr>
          <w:p>
            <w:pPr>
              <w:spacing w:after="0"/>
              <w:rPr>
                <w:sz w:val="11"/>
                <w:szCs w:val="11"/>
                <w:color w:val="auto"/>
              </w:rPr>
            </w:pPr>
          </w:p>
        </w:tc>
        <w:tc>
          <w:tcPr>
            <w:tcW w:w="680" w:type="dxa"/>
            <w:vAlign w:val="bottom"/>
            <w:gridSpan w:val="2"/>
            <w:shd w:val="clear" w:color="auto" w:fill="CCEEFF"/>
          </w:tcPr>
          <w:p>
            <w:pPr>
              <w:jc w:val="center"/>
              <w:ind w:left="9"/>
              <w:spacing w:after="0" w:line="130" w:lineRule="exact"/>
              <w:rPr>
                <w:sz w:val="20"/>
                <w:szCs w:val="20"/>
                <w:color w:val="auto"/>
              </w:rPr>
            </w:pPr>
            <w:r>
              <w:rPr>
                <w:rFonts w:ascii="Arial" w:cs="Arial" w:eastAsia="Arial" w:hAnsi="Arial"/>
                <w:sz w:val="14"/>
                <w:szCs w:val="14"/>
                <w:color w:val="auto"/>
                <w:w w:val="91"/>
              </w:rPr>
              <w:t>4,686</w:t>
            </w:r>
          </w:p>
        </w:tc>
        <w:tc>
          <w:tcPr>
            <w:tcW w:w="960" w:type="dxa"/>
            <w:vAlign w:val="bottom"/>
            <w:gridSpan w:val="3"/>
            <w:shd w:val="clear" w:color="auto" w:fill="CCEEFF"/>
          </w:tcPr>
          <w:p>
            <w:pPr>
              <w:jc w:val="right"/>
              <w:ind w:right="119"/>
              <w:spacing w:after="0" w:line="130"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line="130" w:lineRule="exact"/>
              <w:rPr>
                <w:sz w:val="20"/>
                <w:szCs w:val="20"/>
                <w:color w:val="auto"/>
              </w:rPr>
            </w:pPr>
            <w:r>
              <w:rPr>
                <w:rFonts w:ascii="Arial" w:cs="Arial" w:eastAsia="Arial" w:hAnsi="Arial"/>
                <w:sz w:val="14"/>
                <w:szCs w:val="14"/>
                <w:color w:val="auto"/>
              </w:rPr>
              <w:t>61.05</w:t>
            </w:r>
          </w:p>
        </w:tc>
        <w:tc>
          <w:tcPr>
            <w:tcW w:w="96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3"/>
              </w:rPr>
              <w:t>5/24/2013</w:t>
            </w:r>
          </w:p>
        </w:tc>
        <w:tc>
          <w:tcPr>
            <w:tcW w:w="860" w:type="dxa"/>
            <w:vAlign w:val="bottom"/>
            <w:gridSpan w:val="2"/>
            <w:shd w:val="clear" w:color="auto" w:fill="CCEEFF"/>
          </w:tcPr>
          <w:p>
            <w:pPr>
              <w:jc w:val="right"/>
              <w:ind w:right="6"/>
              <w:spacing w:after="0" w:line="130"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(6)</w:t>
            </w:r>
          </w:p>
        </w:tc>
        <w:tc>
          <w:tcPr>
            <w:tcW w:w="5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30" w:lineRule="exact"/>
              <w:rPr>
                <w:sz w:val="20"/>
                <w:szCs w:val="20"/>
                <w:color w:val="auto"/>
              </w:rPr>
            </w:pPr>
            <w:r>
              <w:rPr>
                <w:rFonts w:ascii="Arial" w:cs="Arial" w:eastAsia="Arial" w:hAnsi="Arial"/>
                <w:sz w:val="14"/>
                <w:szCs w:val="14"/>
                <w:color w:val="auto"/>
              </w:rPr>
              <w:t>396,724</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8,762</w:t>
            </w:r>
          </w:p>
        </w:tc>
        <w:tc>
          <w:tcPr>
            <w:tcW w:w="96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89.02</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5/22/2014</w:t>
            </w: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(7)</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473,283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Daniel G. Shephard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4,000</w:t>
            </w:r>
          </w:p>
        </w:tc>
        <w:tc>
          <w:tcPr>
            <w:tcW w:w="96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42.38</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8/17/2014</w:t>
            </w: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4,530</w:t>
            </w:r>
            <w:r>
              <w:rPr>
                <w:rFonts w:ascii="Arial" w:cs="Arial" w:eastAsia="Arial" w:hAnsi="Arial"/>
                <w:sz w:val="12"/>
                <w:szCs w:val="12"/>
                <w:color w:val="auto"/>
              </w:rPr>
              <w:t>(8)</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417,847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6,451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2,151</w:t>
            </w: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151.92</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5/22/2015</w:t>
            </w: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1,897</w:t>
            </w:r>
            <w:r>
              <w:rPr>
                <w:rFonts w:ascii="Arial" w:cs="Arial" w:eastAsia="Arial" w:hAnsi="Arial"/>
                <w:sz w:val="12"/>
                <w:szCs w:val="12"/>
                <w:color w:val="auto"/>
              </w:rPr>
              <w:t>(9)</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174,979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5,131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5,132</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117.77</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5/28/2016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3,676</w:t>
            </w:r>
            <w:r>
              <w:rPr>
                <w:rFonts w:ascii="Arial" w:cs="Arial" w:eastAsia="Arial" w:hAnsi="Arial"/>
                <w:sz w:val="12"/>
                <w:szCs w:val="12"/>
                <w:color w:val="auto"/>
              </w:rPr>
              <w:t>(10)</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339,074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2,265</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79.79</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5/27/2017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1,546</w:t>
            </w:r>
            <w:r>
              <w:rPr>
                <w:rFonts w:ascii="Arial" w:cs="Arial" w:eastAsia="Arial" w:hAnsi="Arial"/>
                <w:sz w:val="12"/>
                <w:szCs w:val="12"/>
                <w:color w:val="auto"/>
              </w:rPr>
              <w:t>(11)</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142,603</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95.27</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5/27/2018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1,266</w:t>
            </w:r>
            <w:r>
              <w:rPr>
                <w:rFonts w:ascii="Arial" w:cs="Arial" w:eastAsia="Arial" w:hAnsi="Arial"/>
                <w:sz w:val="12"/>
                <w:szCs w:val="12"/>
                <w:color w:val="auto"/>
              </w:rPr>
              <w:t>(12)</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116,776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1,209</w:t>
            </w:r>
            <w:r>
              <w:rPr>
                <w:rFonts w:ascii="Arial" w:cs="Arial" w:eastAsia="Arial" w:hAnsi="Arial"/>
                <w:sz w:val="12"/>
                <w:szCs w:val="12"/>
                <w:color w:val="auto"/>
              </w:rPr>
              <w:t>(13)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111,518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4"/>
                <w:szCs w:val="14"/>
                <w:color w:val="auto"/>
                <w:w w:val="91"/>
              </w:rPr>
              <w:t>4,686</w:t>
            </w: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
              <w:spacing w:after="0" w:line="130" w:lineRule="exact"/>
              <w:rPr>
                <w:sz w:val="20"/>
                <w:szCs w:val="20"/>
                <w:color w:val="auto"/>
              </w:rPr>
            </w:pPr>
            <w:r>
              <w:rPr>
                <w:rFonts w:ascii="Arial" w:cs="Arial" w:eastAsia="Arial" w:hAnsi="Arial"/>
                <w:sz w:val="14"/>
                <w:szCs w:val="14"/>
                <w:color w:val="auto"/>
              </w:rPr>
              <w:t>61.05</w:t>
            </w:r>
          </w:p>
        </w:tc>
        <w:tc>
          <w:tcPr>
            <w:tcW w:w="960" w:type="dxa"/>
            <w:vAlign w:val="bottom"/>
            <w:gridSpan w:val="2"/>
          </w:tcPr>
          <w:p>
            <w:pPr>
              <w:jc w:val="center"/>
              <w:ind w:left="28"/>
              <w:spacing w:after="0" w:line="130" w:lineRule="exact"/>
              <w:rPr>
                <w:sz w:val="20"/>
                <w:szCs w:val="20"/>
                <w:color w:val="auto"/>
              </w:rPr>
            </w:pPr>
            <w:r>
              <w:rPr>
                <w:rFonts w:ascii="Arial" w:cs="Arial" w:eastAsia="Arial" w:hAnsi="Arial"/>
                <w:sz w:val="14"/>
                <w:szCs w:val="14"/>
                <w:color w:val="auto"/>
                <w:w w:val="93"/>
              </w:rPr>
              <w:t>5/24/2013</w:t>
            </w:r>
          </w:p>
        </w:tc>
        <w:tc>
          <w:tcPr>
            <w:tcW w:w="860" w:type="dxa"/>
            <w:vAlign w:val="bottom"/>
            <w:gridSpan w:val="2"/>
          </w:tcPr>
          <w:p>
            <w:pPr>
              <w:jc w:val="right"/>
              <w:ind w:right="6"/>
              <w:spacing w:after="0" w:line="130" w:lineRule="exact"/>
              <w:rPr>
                <w:sz w:val="20"/>
                <w:szCs w:val="20"/>
                <w:color w:val="auto"/>
              </w:rPr>
            </w:pPr>
            <w:r>
              <w:rPr>
                <w:rFonts w:ascii="Arial" w:cs="Arial" w:eastAsia="Arial" w:hAnsi="Arial"/>
                <w:sz w:val="14"/>
                <w:szCs w:val="14"/>
                <w:color w:val="auto"/>
              </w:rPr>
              <w:t>4,301</w:t>
            </w:r>
            <w:r>
              <w:rPr>
                <w:rFonts w:ascii="Arial" w:cs="Arial" w:eastAsia="Arial" w:hAnsi="Arial"/>
                <w:sz w:val="12"/>
                <w:szCs w:val="12"/>
                <w:color w:val="auto"/>
              </w:rPr>
              <w:t>(6)</w:t>
            </w:r>
          </w:p>
        </w:tc>
        <w:tc>
          <w:tcPr>
            <w:tcW w:w="5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30" w:lineRule="exact"/>
              <w:rPr>
                <w:sz w:val="20"/>
                <w:szCs w:val="20"/>
                <w:color w:val="auto"/>
              </w:rPr>
            </w:pPr>
            <w:r>
              <w:rPr>
                <w:rFonts w:ascii="Arial" w:cs="Arial" w:eastAsia="Arial" w:hAnsi="Arial"/>
                <w:sz w:val="14"/>
                <w:szCs w:val="14"/>
                <w:color w:val="auto"/>
              </w:rPr>
              <w:t>396,724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8,762</w:t>
            </w:r>
          </w:p>
        </w:tc>
        <w:tc>
          <w:tcPr>
            <w:tcW w:w="96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89.02</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5/22/2014</w:t>
            </w:r>
          </w:p>
        </w:tc>
        <w:tc>
          <w:tcPr>
            <w:tcW w:w="86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5,131</w:t>
            </w:r>
            <w:r>
              <w:rPr>
                <w:rFonts w:ascii="Arial" w:cs="Arial" w:eastAsia="Arial" w:hAnsi="Arial"/>
                <w:sz w:val="12"/>
                <w:szCs w:val="12"/>
                <w:color w:val="auto"/>
              </w:rPr>
              <w:t>(7)</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473,283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Bruce A. Vaio</w:t>
            </w: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5,000</w:t>
            </w:r>
          </w:p>
        </w:tc>
        <w:tc>
          <w:tcPr>
            <w:tcW w:w="96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42.38</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8/17/2014</w:t>
            </w:r>
          </w:p>
        </w:tc>
        <w:tc>
          <w:tcPr>
            <w:tcW w:w="86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4,530</w:t>
            </w:r>
            <w:r>
              <w:rPr>
                <w:rFonts w:ascii="Arial" w:cs="Arial" w:eastAsia="Arial" w:hAnsi="Arial"/>
                <w:sz w:val="12"/>
                <w:szCs w:val="12"/>
                <w:color w:val="auto"/>
              </w:rPr>
              <w:t>(8)</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417,847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vMerge w:val="continue"/>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6,451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2,151</w:t>
            </w:r>
            <w:r>
              <w:rPr>
                <w:rFonts w:ascii="Arial" w:cs="Arial" w:eastAsia="Arial" w:hAnsi="Arial"/>
                <w:sz w:val="12"/>
                <w:szCs w:val="12"/>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151.92</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5/22/2015</w:t>
            </w:r>
          </w:p>
        </w:tc>
        <w:tc>
          <w:tcPr>
            <w:tcW w:w="860" w:type="dxa"/>
            <w:vAlign w:val="bottom"/>
            <w:gridSpan w:val="2"/>
          </w:tcPr>
          <w:p>
            <w:pPr>
              <w:jc w:val="right"/>
              <w:ind w:right="6"/>
              <w:spacing w:after="0" w:line="149" w:lineRule="exact"/>
              <w:rPr>
                <w:sz w:val="20"/>
                <w:szCs w:val="20"/>
                <w:color w:val="auto"/>
              </w:rPr>
            </w:pPr>
            <w:r>
              <w:rPr>
                <w:rFonts w:ascii="Arial" w:cs="Arial" w:eastAsia="Arial" w:hAnsi="Arial"/>
                <w:sz w:val="14"/>
                <w:szCs w:val="14"/>
                <w:color w:val="auto"/>
              </w:rPr>
              <w:t>1,897</w:t>
            </w:r>
            <w:r>
              <w:rPr>
                <w:rFonts w:ascii="Arial" w:cs="Arial" w:eastAsia="Arial" w:hAnsi="Arial"/>
                <w:sz w:val="12"/>
                <w:szCs w:val="12"/>
                <w:color w:val="auto"/>
              </w:rPr>
              <w:t>(9)</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174,979</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5,131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5,132</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117.77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5/28/2016</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3,676</w:t>
            </w:r>
            <w:r>
              <w:rPr>
                <w:rFonts w:ascii="Arial" w:cs="Arial" w:eastAsia="Arial" w:hAnsi="Arial"/>
                <w:sz w:val="12"/>
                <w:szCs w:val="12"/>
                <w:color w:val="auto"/>
              </w:rPr>
              <w:t>(10)</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339,074</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w w:val="91"/>
              </w:rPr>
              <w:t>2,265</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6,795</w:t>
            </w: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79.79</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5/27/2017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1,546</w:t>
            </w:r>
            <w:r>
              <w:rPr>
                <w:rFonts w:ascii="Arial" w:cs="Arial" w:eastAsia="Arial" w:hAnsi="Arial"/>
                <w:sz w:val="12"/>
                <w:szCs w:val="12"/>
                <w:color w:val="auto"/>
              </w:rPr>
              <w:t>(11)</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142,603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left="9"/>
              <w:spacing w:after="0" w:line="149" w:lineRule="exact"/>
              <w:rPr>
                <w:sz w:val="20"/>
                <w:szCs w:val="20"/>
                <w:color w:val="auto"/>
              </w:rPr>
            </w:pPr>
            <w:r>
              <w:rPr>
                <w:rFonts w:ascii="Arial" w:cs="Arial" w:eastAsia="Arial" w:hAnsi="Arial"/>
                <w:sz w:val="14"/>
                <w:szCs w:val="14"/>
                <w:color w:val="auto"/>
              </w:rPr>
              <w:t>0</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3,794</w:t>
            </w:r>
            <w:r>
              <w:rPr>
                <w:rFonts w:ascii="Arial" w:cs="Arial" w:eastAsia="Arial" w:hAnsi="Arial"/>
                <w:sz w:val="12"/>
                <w:szCs w:val="12"/>
                <w:color w:val="auto"/>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95.27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5/27/2018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1,108</w:t>
            </w:r>
            <w:r>
              <w:rPr>
                <w:rFonts w:ascii="Arial" w:cs="Arial" w:eastAsia="Arial" w:hAnsi="Arial"/>
                <w:sz w:val="12"/>
                <w:szCs w:val="12"/>
                <w:color w:val="auto"/>
              </w:rPr>
              <w:t>(12)</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102,202</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1,410</w:t>
            </w:r>
            <w:r>
              <w:rPr>
                <w:rFonts w:ascii="Arial" w:cs="Arial" w:eastAsia="Arial" w:hAnsi="Arial"/>
                <w:sz w:val="12"/>
                <w:szCs w:val="12"/>
                <w:color w:val="auto"/>
              </w:rPr>
              <w:t>(13)</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130,058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40" w:type="dxa"/>
            <w:vAlign w:val="bottom"/>
            <w:tcBorders>
              <w:left w:val="single" w:sz="8" w:color="auto"/>
            </w:tcBorders>
            <w:shd w:val="clear" w:color="auto" w:fill="CCEEFF"/>
          </w:tcPr>
          <w:p>
            <w:pPr>
              <w:spacing w:after="0"/>
              <w:rPr>
                <w:sz w:val="11"/>
                <w:szCs w:val="11"/>
                <w:color w:val="auto"/>
              </w:rPr>
            </w:pPr>
          </w:p>
        </w:tc>
        <w:tc>
          <w:tcPr>
            <w:tcW w:w="680" w:type="dxa"/>
            <w:vAlign w:val="bottom"/>
            <w:gridSpan w:val="2"/>
            <w:shd w:val="clear" w:color="auto" w:fill="CCEEFF"/>
          </w:tcPr>
          <w:p>
            <w:pPr>
              <w:jc w:val="center"/>
              <w:ind w:left="9"/>
              <w:spacing w:after="0" w:line="130" w:lineRule="exact"/>
              <w:rPr>
                <w:sz w:val="20"/>
                <w:szCs w:val="20"/>
                <w:color w:val="auto"/>
              </w:rPr>
            </w:pPr>
            <w:r>
              <w:rPr>
                <w:rFonts w:ascii="Arial" w:cs="Arial" w:eastAsia="Arial" w:hAnsi="Arial"/>
                <w:sz w:val="14"/>
                <w:szCs w:val="14"/>
                <w:color w:val="auto"/>
                <w:w w:val="93"/>
              </w:rPr>
              <w:t>19,525</w:t>
            </w:r>
          </w:p>
        </w:tc>
        <w:tc>
          <w:tcPr>
            <w:tcW w:w="960" w:type="dxa"/>
            <w:vAlign w:val="bottom"/>
            <w:gridSpan w:val="3"/>
            <w:shd w:val="clear" w:color="auto" w:fill="CCEEFF"/>
          </w:tcPr>
          <w:p>
            <w:pPr>
              <w:jc w:val="right"/>
              <w:ind w:right="119"/>
              <w:spacing w:after="0" w:line="130"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line="130" w:lineRule="exact"/>
              <w:rPr>
                <w:sz w:val="20"/>
                <w:szCs w:val="20"/>
                <w:color w:val="auto"/>
              </w:rPr>
            </w:pPr>
            <w:r>
              <w:rPr>
                <w:rFonts w:ascii="Arial" w:cs="Arial" w:eastAsia="Arial" w:hAnsi="Arial"/>
                <w:sz w:val="14"/>
                <w:szCs w:val="14"/>
                <w:color w:val="auto"/>
              </w:rPr>
              <w:t>61.05</w:t>
            </w:r>
          </w:p>
        </w:tc>
        <w:tc>
          <w:tcPr>
            <w:tcW w:w="960" w:type="dxa"/>
            <w:vAlign w:val="bottom"/>
            <w:gridSpan w:val="2"/>
            <w:shd w:val="clear" w:color="auto" w:fill="CCEEFF"/>
          </w:tcPr>
          <w:p>
            <w:pPr>
              <w:jc w:val="center"/>
              <w:ind w:left="28"/>
              <w:spacing w:after="0" w:line="130" w:lineRule="exact"/>
              <w:rPr>
                <w:sz w:val="20"/>
                <w:szCs w:val="20"/>
                <w:color w:val="auto"/>
              </w:rPr>
            </w:pPr>
            <w:r>
              <w:rPr>
                <w:rFonts w:ascii="Arial" w:cs="Arial" w:eastAsia="Arial" w:hAnsi="Arial"/>
                <w:sz w:val="14"/>
                <w:szCs w:val="14"/>
                <w:color w:val="auto"/>
                <w:w w:val="93"/>
              </w:rPr>
              <w:t>5/24/2013</w:t>
            </w:r>
          </w:p>
        </w:tc>
        <w:tc>
          <w:tcPr>
            <w:tcW w:w="860" w:type="dxa"/>
            <w:vAlign w:val="bottom"/>
            <w:gridSpan w:val="2"/>
            <w:shd w:val="clear" w:color="auto" w:fill="CCEEFF"/>
          </w:tcPr>
          <w:p>
            <w:pPr>
              <w:jc w:val="right"/>
              <w:ind w:right="6"/>
              <w:spacing w:after="0" w:line="130" w:lineRule="exact"/>
              <w:rPr>
                <w:sz w:val="20"/>
                <w:szCs w:val="20"/>
                <w:color w:val="auto"/>
              </w:rPr>
            </w:pPr>
            <w:r>
              <w:rPr>
                <w:rFonts w:ascii="Arial" w:cs="Arial" w:eastAsia="Arial" w:hAnsi="Arial"/>
                <w:sz w:val="14"/>
                <w:szCs w:val="14"/>
                <w:color w:val="auto"/>
              </w:rPr>
              <w:t>18,642</w:t>
            </w:r>
            <w:r>
              <w:rPr>
                <w:rFonts w:ascii="Arial" w:cs="Arial" w:eastAsia="Arial" w:hAnsi="Arial"/>
                <w:sz w:val="12"/>
                <w:szCs w:val="12"/>
                <w:color w:val="auto"/>
              </w:rPr>
              <w:t>(6)</w:t>
            </w:r>
          </w:p>
        </w:tc>
        <w:tc>
          <w:tcPr>
            <w:tcW w:w="1280" w:type="dxa"/>
            <w:vAlign w:val="bottom"/>
            <w:gridSpan w:val="3"/>
            <w:shd w:val="clear" w:color="auto" w:fill="CCEEFF"/>
          </w:tcPr>
          <w:p>
            <w:pPr>
              <w:jc w:val="right"/>
              <w:ind w:right="132"/>
              <w:spacing w:after="0" w:line="130" w:lineRule="exact"/>
              <w:rPr>
                <w:sz w:val="20"/>
                <w:szCs w:val="20"/>
                <w:color w:val="auto"/>
              </w:rPr>
            </w:pPr>
            <w:r>
              <w:rPr>
                <w:rFonts w:ascii="Arial" w:cs="Arial" w:eastAsia="Arial" w:hAnsi="Arial"/>
                <w:sz w:val="14"/>
                <w:szCs w:val="14"/>
                <w:color w:val="auto"/>
              </w:rPr>
              <w:t>$1,719,538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Stephen P. Zelnak, Jr.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38,653</w:t>
            </w:r>
          </w:p>
        </w:tc>
        <w:tc>
          <w:tcPr>
            <w:tcW w:w="96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89.02</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5/22/2014</w:t>
            </w: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21,981</w:t>
            </w:r>
            <w:r>
              <w:rPr>
                <w:rFonts w:ascii="Arial" w:cs="Arial" w:eastAsia="Arial" w:hAnsi="Arial"/>
                <w:sz w:val="12"/>
                <w:szCs w:val="12"/>
                <w:color w:val="auto"/>
              </w:rPr>
              <w:t>(7)</w:t>
            </w:r>
          </w:p>
        </w:tc>
        <w:tc>
          <w:tcPr>
            <w:tcW w:w="128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$2,027,527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27,963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9,321</w:t>
            </w: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151.92</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5/22/2015</w:t>
            </w:r>
          </w:p>
        </w:tc>
        <w:tc>
          <w:tcPr>
            <w:tcW w:w="860" w:type="dxa"/>
            <w:vAlign w:val="bottom"/>
            <w:gridSpan w:val="2"/>
            <w:shd w:val="clear" w:color="auto" w:fill="CCEEFF"/>
          </w:tcPr>
          <w:p>
            <w:pPr>
              <w:jc w:val="right"/>
              <w:ind w:right="6"/>
              <w:spacing w:after="0" w:line="149" w:lineRule="exact"/>
              <w:rPr>
                <w:sz w:val="20"/>
                <w:szCs w:val="20"/>
                <w:color w:val="auto"/>
              </w:rPr>
            </w:pPr>
            <w:r>
              <w:rPr>
                <w:rFonts w:ascii="Arial" w:cs="Arial" w:eastAsia="Arial" w:hAnsi="Arial"/>
                <w:sz w:val="14"/>
                <w:szCs w:val="14"/>
                <w:color w:val="auto"/>
              </w:rPr>
              <w:t>19,676</w:t>
            </w:r>
            <w:r>
              <w:rPr>
                <w:rFonts w:ascii="Arial" w:cs="Arial" w:eastAsia="Arial" w:hAnsi="Arial"/>
                <w:sz w:val="12"/>
                <w:szCs w:val="12"/>
                <w:color w:val="auto"/>
              </w:rPr>
              <w:t>(8)</w:t>
            </w:r>
          </w:p>
        </w:tc>
        <w:tc>
          <w:tcPr>
            <w:tcW w:w="128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$1,814,914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22,536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22,536</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117.77</w:t>
            </w:r>
          </w:p>
        </w:tc>
        <w:tc>
          <w:tcPr>
            <w:tcW w:w="9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5/28/2016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r>
              <w:rPr>
                <w:rFonts w:ascii="Arial" w:cs="Arial" w:eastAsia="Arial" w:hAnsi="Arial"/>
                <w:sz w:val="12"/>
                <w:szCs w:val="12"/>
                <w:color w:val="auto"/>
              </w:rPr>
              <w:t>(10)</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845,564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tcBorders>
              <w:left w:val="single" w:sz="8" w:color="auto"/>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10,086</w:t>
            </w: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30,260</w:t>
            </w:r>
            <w:r>
              <w:rPr>
                <w:rFonts w:ascii="Arial" w:cs="Arial" w:eastAsia="Arial" w:hAnsi="Arial"/>
                <w:sz w:val="12"/>
                <w:szCs w:val="12"/>
                <w:color w:val="auto"/>
              </w:rPr>
              <w:t>(4)</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79.79</w:t>
            </w:r>
          </w:p>
        </w:tc>
        <w:tc>
          <w:tcPr>
            <w:tcW w:w="96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5/27/2017</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3.853</w:t>
            </w:r>
            <w:r>
              <w:rPr>
                <w:rFonts w:ascii="Arial" w:cs="Arial" w:eastAsia="Arial" w:hAnsi="Arial"/>
                <w:sz w:val="12"/>
                <w:szCs w:val="12"/>
                <w:color w:val="auto"/>
              </w:rPr>
              <w:t>(11)</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355,401</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80" w:hanging="261"/>
        <w:spacing w:after="0"/>
        <w:tabs>
          <w:tab w:leader="none" w:pos="1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the closing price of our common stock as of December 31, 2010 ($92.24)</w:t>
      </w:r>
    </w:p>
    <w:p>
      <w:pPr>
        <w:spacing w:after="0" w:line="41" w:lineRule="exact"/>
        <w:rPr>
          <w:rFonts w:ascii="Arial" w:cs="Arial" w:eastAsia="Arial" w:hAnsi="Arial"/>
          <w:sz w:val="14"/>
          <w:szCs w:val="14"/>
          <w:color w:val="auto"/>
        </w:rPr>
      </w:pPr>
    </w:p>
    <w:p>
      <w:pPr>
        <w:ind w:left="1280" w:hanging="261"/>
        <w:spacing w:after="0"/>
        <w:tabs>
          <w:tab w:leader="none" w:pos="1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22, 2011.</w:t>
      </w:r>
    </w:p>
    <w:p>
      <w:pPr>
        <w:spacing w:after="0" w:line="41" w:lineRule="exact"/>
        <w:rPr>
          <w:rFonts w:ascii="Arial" w:cs="Arial" w:eastAsia="Arial" w:hAnsi="Arial"/>
          <w:sz w:val="14"/>
          <w:szCs w:val="14"/>
          <w:color w:val="auto"/>
        </w:rPr>
      </w:pPr>
    </w:p>
    <w:p>
      <w:pPr>
        <w:ind w:left="1280" w:hanging="261"/>
        <w:spacing w:after="0"/>
        <w:tabs>
          <w:tab w:leader="none" w:pos="1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28, 2011 and 2012.</w:t>
      </w:r>
    </w:p>
    <w:p>
      <w:pPr>
        <w:spacing w:after="0" w:line="41" w:lineRule="exact"/>
        <w:rPr>
          <w:rFonts w:ascii="Arial" w:cs="Arial" w:eastAsia="Arial" w:hAnsi="Arial"/>
          <w:sz w:val="14"/>
          <w:szCs w:val="14"/>
          <w:color w:val="auto"/>
        </w:rPr>
      </w:pPr>
    </w:p>
    <w:p>
      <w:pPr>
        <w:ind w:left="1280" w:hanging="261"/>
        <w:spacing w:after="0"/>
        <w:tabs>
          <w:tab w:leader="none" w:pos="1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27, 2011, 2012 and 2013.</w:t>
      </w:r>
    </w:p>
    <w:p>
      <w:pPr>
        <w:spacing w:after="0" w:line="41" w:lineRule="exact"/>
        <w:rPr>
          <w:rFonts w:ascii="Arial" w:cs="Arial" w:eastAsia="Arial" w:hAnsi="Arial"/>
          <w:sz w:val="14"/>
          <w:szCs w:val="14"/>
          <w:color w:val="auto"/>
        </w:rPr>
      </w:pPr>
    </w:p>
    <w:p>
      <w:pPr>
        <w:ind w:left="1280" w:hanging="261"/>
        <w:spacing w:after="0"/>
        <w:tabs>
          <w:tab w:leader="none" w:pos="12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27, 2011, 2012, 2013 and 2014.</w:t>
      </w:r>
    </w:p>
    <w:p>
      <w:pPr>
        <w:spacing w:after="0" w:line="214"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1471930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hanging="254"/>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22, 2011.</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28, 2012.</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27, 2013.</w:t>
      </w:r>
    </w:p>
    <w:p>
      <w:pPr>
        <w:spacing w:after="0" w:line="41" w:lineRule="exact"/>
        <w:rPr>
          <w:rFonts w:ascii="Arial" w:cs="Arial" w:eastAsia="Arial" w:hAnsi="Arial"/>
          <w:sz w:val="14"/>
          <w:szCs w:val="14"/>
          <w:color w:val="auto"/>
        </w:rPr>
      </w:pPr>
    </w:p>
    <w:p>
      <w:pPr>
        <w:ind w:left="1300" w:hanging="254"/>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27, 2014.</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2011.</w:t>
      </w:r>
    </w:p>
    <w:p>
      <w:pPr>
        <w:spacing w:after="0" w:line="41" w:lineRule="exact"/>
        <w:rPr>
          <w:rFonts w:ascii="Arial" w:cs="Arial" w:eastAsia="Arial" w:hAnsi="Arial"/>
          <w:sz w:val="14"/>
          <w:szCs w:val="14"/>
          <w:color w:val="auto"/>
        </w:rPr>
      </w:pPr>
    </w:p>
    <w:p>
      <w:pPr>
        <w:ind w:left="1300" w:hanging="321"/>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2012.</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2011.</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2012.</w:t>
      </w:r>
    </w:p>
    <w:p>
      <w:pPr>
        <w:spacing w:after="0" w:line="41" w:lineRule="exact"/>
        <w:rPr>
          <w:rFonts w:ascii="Arial" w:cs="Arial" w:eastAsia="Arial" w:hAnsi="Arial"/>
          <w:sz w:val="14"/>
          <w:szCs w:val="14"/>
          <w:color w:val="auto"/>
        </w:rPr>
      </w:pPr>
    </w:p>
    <w:p>
      <w:pPr>
        <w:ind w:left="1300" w:hanging="326"/>
        <w:spacing w:after="0"/>
        <w:tabs>
          <w:tab w:leader="none" w:pos="1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Restricted stock units restrictions lapse on August 21, 2011.</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Option Exercises and Stock Vested</w:t>
      </w:r>
    </w:p>
    <w:p>
      <w:pPr>
        <w:spacing w:after="0" w:line="121" w:lineRule="exact"/>
        <w:rPr>
          <w:sz w:val="20"/>
          <w:szCs w:val="20"/>
          <w:color w:val="auto"/>
        </w:rPr>
      </w:pPr>
    </w:p>
    <w:p>
      <w:pPr>
        <w:jc w:val="both"/>
        <w:ind w:left="980" w:right="100" w:firstLine="609"/>
        <w:spacing w:after="0" w:line="246" w:lineRule="auto"/>
        <w:rPr>
          <w:sz w:val="20"/>
          <w:szCs w:val="20"/>
          <w:color w:val="auto"/>
        </w:rPr>
      </w:pPr>
      <w:r>
        <w:rPr>
          <w:rFonts w:ascii="Arial" w:cs="Arial" w:eastAsia="Arial" w:hAnsi="Arial"/>
          <w:sz w:val="20"/>
          <w:szCs w:val="20"/>
          <w:color w:val="auto"/>
        </w:rPr>
        <w:t>The table below shows on an aggregated basis for each of the named executive officers information on (1) the exercise of options for the purchase of the Corporation’s common stock and (2) the vesting of stock, including restricted stock units and Incentive Stock Plan units, during the last completed fiscal year. There are no awards of stock appreciation rights (“SARs”) for the Corporation’s common stock or other similar instruments.</w:t>
      </w:r>
    </w:p>
    <w:p>
      <w:pPr>
        <w:spacing w:after="0" w:line="307"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OPTION EXERCISES AND STOCK VESTED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62"/>
        </w:trPr>
        <w:tc>
          <w:tcPr>
            <w:tcW w:w="3640" w:type="dxa"/>
            <w:vAlign w:val="bottom"/>
            <w:tcBorders>
              <w:top w:val="single" w:sz="8" w:color="auto"/>
              <w:left w:val="single" w:sz="8" w:color="auto"/>
            </w:tcBorders>
          </w:tcPr>
          <w:p>
            <w:pPr>
              <w:spacing w:after="0"/>
              <w:rPr>
                <w:sz w:val="14"/>
                <w:szCs w:val="14"/>
                <w:color w:val="auto"/>
              </w:rPr>
            </w:pPr>
          </w:p>
        </w:tc>
        <w:tc>
          <w:tcPr>
            <w:tcW w:w="260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OPTION AWARDS</w:t>
            </w:r>
          </w:p>
        </w:tc>
        <w:tc>
          <w:tcPr>
            <w:tcW w:w="420" w:type="dxa"/>
            <w:vAlign w:val="bottom"/>
            <w:tcBorders>
              <w:top w:val="single" w:sz="8" w:color="auto"/>
            </w:tcBorders>
          </w:tcPr>
          <w:p>
            <w:pPr>
              <w:spacing w:after="0"/>
              <w:rPr>
                <w:sz w:val="14"/>
                <w:szCs w:val="14"/>
                <w:color w:val="auto"/>
              </w:rPr>
            </w:pPr>
          </w:p>
        </w:tc>
        <w:tc>
          <w:tcPr>
            <w:tcW w:w="238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Borders>
              <w:left w:val="single" w:sz="8" w:color="auto"/>
            </w:tcBorders>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420" w:type="dxa"/>
            <w:vAlign w:val="bottom"/>
          </w:tcPr>
          <w:p>
            <w:pPr>
              <w:spacing w:after="0"/>
              <w:rPr>
                <w:sz w:val="10"/>
                <w:szCs w:val="10"/>
                <w:color w:val="auto"/>
              </w:rPr>
            </w:pPr>
          </w:p>
        </w:tc>
        <w:tc>
          <w:tcPr>
            <w:tcW w:w="238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tcBorders>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4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420" w:type="dxa"/>
            <w:vAlign w:val="bottom"/>
          </w:tcPr>
          <w:p>
            <w:pPr>
              <w:spacing w:after="0"/>
              <w:rPr>
                <w:sz w:val="12"/>
                <w:szCs w:val="12"/>
                <w:color w:val="auto"/>
              </w:rPr>
            </w:pPr>
          </w:p>
        </w:tc>
        <w:tc>
          <w:tcPr>
            <w:tcW w:w="23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1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0" w:type="dxa"/>
            <w:vAlign w:val="bottom"/>
          </w:tcPr>
          <w:p>
            <w:pPr>
              <w:spacing w:after="0"/>
              <w:rPr>
                <w:sz w:val="1"/>
                <w:szCs w:val="1"/>
                <w:color w:val="auto"/>
              </w:rPr>
            </w:pPr>
          </w:p>
        </w:tc>
      </w:tr>
      <w:tr>
        <w:trPr>
          <w:trHeight w:val="162"/>
        </w:trPr>
        <w:tc>
          <w:tcPr>
            <w:tcW w:w="3640" w:type="dxa"/>
            <w:vAlign w:val="bottom"/>
            <w:tcBorders>
              <w:lef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Name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4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4"/>
                <w:szCs w:val="14"/>
                <w:color w:val="auto"/>
              </w:rPr>
            </w:pPr>
          </w:p>
        </w:tc>
        <w:tc>
          <w:tcPr>
            <w:tcW w:w="23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on Vesting</w:t>
            </w:r>
          </w:p>
        </w:tc>
        <w:tc>
          <w:tcPr>
            <w:tcW w:w="1120" w:type="dxa"/>
            <w:vAlign w:val="bottom"/>
          </w:tcPr>
          <w:p>
            <w:pPr>
              <w:jc w:val="center"/>
              <w:ind w:right="220"/>
              <w:spacing w:after="0"/>
              <w:rPr>
                <w:sz w:val="20"/>
                <w:szCs w:val="20"/>
                <w:color w:val="auto"/>
              </w:rPr>
            </w:pPr>
            <w:r>
              <w:rPr>
                <w:rFonts w:ascii="Arial" w:cs="Arial" w:eastAsia="Arial" w:hAnsi="Arial"/>
                <w:sz w:val="14"/>
                <w:szCs w:val="14"/>
                <w:b w:val="1"/>
                <w:bCs w:val="1"/>
                <w:color w:val="auto"/>
                <w:w w:val="88"/>
              </w:rPr>
              <w:t>Vesting</w:t>
            </w:r>
            <w:r>
              <w:rPr>
                <w:rFonts w:ascii="Arial" w:cs="Arial" w:eastAsia="Arial" w:hAnsi="Arial"/>
                <w:sz w:val="12"/>
                <w:szCs w:val="12"/>
                <w:b w:val="1"/>
                <w:bCs w:val="1"/>
                <w:color w:val="auto"/>
                <w:w w:val="88"/>
              </w:rPr>
              <w:t>(1)</w:t>
            </w:r>
          </w:p>
        </w:tc>
        <w:tc>
          <w:tcPr>
            <w:tcW w:w="0" w:type="dxa"/>
            <w:vAlign w:val="bottom"/>
          </w:tcPr>
          <w:p>
            <w:pPr>
              <w:spacing w:after="0"/>
              <w:rPr>
                <w:sz w:val="1"/>
                <w:szCs w:val="1"/>
                <w:color w:val="auto"/>
              </w:rPr>
            </w:pPr>
          </w:p>
        </w:tc>
      </w:tr>
      <w:tr>
        <w:trPr>
          <w:trHeight w:val="171"/>
        </w:trPr>
        <w:tc>
          <w:tcPr>
            <w:tcW w:w="3640" w:type="dxa"/>
            <w:vAlign w:val="bottom"/>
            <w:tcBorders>
              <w:left w:val="single" w:sz="8" w:color="auto"/>
            </w:tcBorders>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2"/>
          </w:tcPr>
          <w:p>
            <w:pPr>
              <w:jc w:val="center"/>
              <w:ind w:left="333"/>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bottom w:val="single" w:sz="8" w:color="auto"/>
            </w:tcBorders>
          </w:tcPr>
          <w:p>
            <w:pPr>
              <w:ind w:left="1560"/>
              <w:spacing w:after="0" w:line="142" w:lineRule="exact"/>
              <w:rPr>
                <w:sz w:val="20"/>
                <w:szCs w:val="20"/>
                <w:color w:val="auto"/>
              </w:rPr>
            </w:pPr>
            <w:r>
              <w:rPr>
                <w:rFonts w:ascii="Arial" w:cs="Arial" w:eastAsia="Arial" w:hAnsi="Arial"/>
                <w:sz w:val="14"/>
                <w:szCs w:val="14"/>
                <w:b w:val="1"/>
                <w:bCs w:val="1"/>
                <w:color w:val="auto"/>
              </w:rPr>
              <w:t>(a)</w:t>
            </w: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4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420" w:type="dxa"/>
            <w:vAlign w:val="bottom"/>
            <w:tcBorders>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w:t>
            </w:r>
          </w:p>
        </w:tc>
        <w:tc>
          <w:tcPr>
            <w:tcW w:w="44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 Howard Nye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79"/>
              </w:rPr>
              <w:t>0</w:t>
            </w:r>
          </w:p>
        </w:tc>
        <w:tc>
          <w:tcPr>
            <w:tcW w:w="206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5,617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337,561</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Anne H. Lloyd</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gridSpan w:val="2"/>
          </w:tcPr>
          <w:p>
            <w:pPr>
              <w:jc w:val="center"/>
              <w:ind w:left="353"/>
              <w:spacing w:after="0"/>
              <w:rPr>
                <w:sz w:val="20"/>
                <w:szCs w:val="20"/>
                <w:color w:val="auto"/>
              </w:rPr>
            </w:pPr>
            <w:r>
              <w:rPr>
                <w:rFonts w:ascii="Arial" w:cs="Arial" w:eastAsia="Arial" w:hAnsi="Arial"/>
                <w:sz w:val="18"/>
                <w:szCs w:val="18"/>
                <w:color w:val="auto"/>
                <w:w w:val="79"/>
              </w:rPr>
              <w:t>0</w:t>
            </w:r>
          </w:p>
        </w:tc>
        <w:tc>
          <w:tcPr>
            <w:tcW w:w="2060" w:type="dxa"/>
            <w:vAlign w:val="bottom"/>
            <w:gridSpan w:val="2"/>
          </w:tcPr>
          <w:p>
            <w:pPr>
              <w:jc w:val="right"/>
              <w:ind w:right="489"/>
              <w:spacing w:after="0"/>
              <w:rPr>
                <w:sz w:val="20"/>
                <w:szCs w:val="20"/>
                <w:color w:val="auto"/>
              </w:rPr>
            </w:pPr>
            <w:r>
              <w:rPr>
                <w:rFonts w:ascii="Arial" w:cs="Arial" w:eastAsia="Arial" w:hAnsi="Arial"/>
                <w:sz w:val="18"/>
                <w:szCs w:val="18"/>
                <w:color w:val="auto"/>
              </w:rPr>
              <w:t>6,683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60"/>
              <w:spacing w:after="0"/>
              <w:rPr>
                <w:sz w:val="20"/>
                <w:szCs w:val="20"/>
                <w:color w:val="auto"/>
              </w:rPr>
            </w:pPr>
            <w:r>
              <w:rPr>
                <w:rFonts w:ascii="Arial" w:cs="Arial" w:eastAsia="Arial" w:hAnsi="Arial"/>
                <w:sz w:val="18"/>
                <w:szCs w:val="18"/>
                <w:color w:val="auto"/>
              </w:rPr>
              <w:t>532,527</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Daniel G. Shephard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79"/>
              </w:rPr>
              <w:t>0</w:t>
            </w:r>
          </w:p>
        </w:tc>
        <w:tc>
          <w:tcPr>
            <w:tcW w:w="2060" w:type="dxa"/>
            <w:vAlign w:val="bottom"/>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8,135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620,937</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Bruce A. Vaio</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gridSpan w:val="2"/>
          </w:tcPr>
          <w:p>
            <w:pPr>
              <w:jc w:val="center"/>
              <w:ind w:left="353"/>
              <w:spacing w:after="0"/>
              <w:rPr>
                <w:sz w:val="20"/>
                <w:szCs w:val="20"/>
                <w:color w:val="auto"/>
              </w:rPr>
            </w:pPr>
            <w:r>
              <w:rPr>
                <w:rFonts w:ascii="Arial" w:cs="Arial" w:eastAsia="Arial" w:hAnsi="Arial"/>
                <w:sz w:val="18"/>
                <w:szCs w:val="18"/>
                <w:color w:val="auto"/>
                <w:w w:val="79"/>
              </w:rPr>
              <w:t>0</w:t>
            </w:r>
          </w:p>
        </w:tc>
        <w:tc>
          <w:tcPr>
            <w:tcW w:w="2060" w:type="dxa"/>
            <w:vAlign w:val="bottom"/>
            <w:gridSpan w:val="2"/>
          </w:tcPr>
          <w:p>
            <w:pPr>
              <w:jc w:val="right"/>
              <w:ind w:right="489"/>
              <w:spacing w:after="0"/>
              <w:rPr>
                <w:sz w:val="20"/>
                <w:szCs w:val="20"/>
                <w:color w:val="auto"/>
              </w:rPr>
            </w:pPr>
            <w:r>
              <w:rPr>
                <w:rFonts w:ascii="Arial" w:cs="Arial" w:eastAsia="Arial" w:hAnsi="Arial"/>
                <w:sz w:val="18"/>
                <w:szCs w:val="18"/>
                <w:color w:val="auto"/>
              </w:rPr>
              <w:t>7,935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60"/>
              <w:spacing w:after="0"/>
              <w:rPr>
                <w:sz w:val="20"/>
                <w:szCs w:val="20"/>
                <w:color w:val="auto"/>
              </w:rPr>
            </w:pPr>
            <w:r>
              <w:rPr>
                <w:rFonts w:ascii="Arial" w:cs="Arial" w:eastAsia="Arial" w:hAnsi="Arial"/>
                <w:sz w:val="18"/>
                <w:szCs w:val="18"/>
                <w:color w:val="auto"/>
              </w:rPr>
              <w:t>620,937</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Stephen P. Zelnak, Jr.</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20" w:type="dxa"/>
            <w:vAlign w:val="bottom"/>
            <w:tcBorders>
              <w:bottom w:val="single" w:sz="8" w:color="auto"/>
            </w:tcBorders>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79"/>
              </w:rPr>
              <w:t>0</w:t>
            </w:r>
          </w:p>
        </w:tc>
        <w:tc>
          <w:tcPr>
            <w:tcW w:w="2060" w:type="dxa"/>
            <w:vAlign w:val="bottom"/>
            <w:tcBorders>
              <w:bottom w:val="single" w:sz="8" w:color="auto"/>
            </w:tcBorders>
            <w:gridSpan w:val="2"/>
            <w:shd w:val="clear" w:color="auto" w:fill="CCEEFF"/>
          </w:tcPr>
          <w:p>
            <w:pPr>
              <w:jc w:val="right"/>
              <w:ind w:right="489"/>
              <w:spacing w:after="0"/>
              <w:rPr>
                <w:sz w:val="20"/>
                <w:szCs w:val="20"/>
                <w:color w:val="auto"/>
              </w:rPr>
            </w:pPr>
            <w:r>
              <w:rPr>
                <w:rFonts w:ascii="Arial" w:cs="Arial" w:eastAsia="Arial" w:hAnsi="Arial"/>
                <w:sz w:val="18"/>
                <w:szCs w:val="18"/>
                <w:color w:val="auto"/>
              </w:rPr>
              <w:t>34,597</w:t>
            </w:r>
          </w:p>
        </w:tc>
        <w:tc>
          <w:tcPr>
            <w:tcW w:w="4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94"/>
              </w:rPr>
              <w:t>2,312,495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80" w:right="780" w:hanging="303"/>
        <w:spacing w:after="0" w:line="277" w:lineRule="auto"/>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column (e) include the value of restricted stock unit awards at the time of vesting and the appreciation of both mandatory and voluntary contributions under the Incentive Stock Plan.</w:t>
      </w:r>
    </w:p>
    <w:p>
      <w:pPr>
        <w:spacing w:after="0" w:line="17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3143885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Pension Benefits</w:t>
      </w:r>
    </w:p>
    <w:p>
      <w:pPr>
        <w:spacing w:after="0" w:line="121" w:lineRule="exact"/>
        <w:rPr>
          <w:sz w:val="20"/>
          <w:szCs w:val="20"/>
          <w:color w:val="auto"/>
        </w:rPr>
      </w:pPr>
    </w:p>
    <w:p>
      <w:pPr>
        <w:ind w:left="980" w:right="80" w:firstLine="609"/>
        <w:spacing w:after="0" w:line="246" w:lineRule="auto"/>
        <w:rPr>
          <w:sz w:val="20"/>
          <w:szCs w:val="20"/>
          <w:color w:val="auto"/>
        </w:rPr>
      </w:pPr>
      <w:r>
        <w:rPr>
          <w:rFonts w:ascii="Arial" w:cs="Arial" w:eastAsia="Arial" w:hAnsi="Arial"/>
          <w:sz w:val="20"/>
          <w:szCs w:val="20"/>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the Corporation’s financial statements.</w:t>
      </w:r>
    </w:p>
    <w:p>
      <w:pPr>
        <w:spacing w:after="0" w:line="307"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PENSION BENEFITS TABLE</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000" w:type="dxa"/>
            <w:vAlign w:val="bottom"/>
            <w:tcBorders>
              <w:top w:val="single" w:sz="8" w:color="auto"/>
              <w:left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Numbers of</w:t>
            </w:r>
          </w:p>
        </w:tc>
        <w:tc>
          <w:tcPr>
            <w:tcW w:w="2060" w:type="dxa"/>
            <w:vAlign w:val="bottom"/>
            <w:tcBorders>
              <w:top w:val="single" w:sz="8" w:color="auto"/>
            </w:tcBorders>
          </w:tcPr>
          <w:p>
            <w:pPr>
              <w:jc w:val="center"/>
              <w:ind w:left="275"/>
              <w:spacing w:after="0" w:line="139" w:lineRule="exact"/>
              <w:rPr>
                <w:sz w:val="20"/>
                <w:szCs w:val="20"/>
                <w:color w:val="auto"/>
              </w:rPr>
            </w:pPr>
            <w:r>
              <w:rPr>
                <w:rFonts w:ascii="Arial" w:cs="Arial" w:eastAsia="Arial" w:hAnsi="Arial"/>
                <w:sz w:val="14"/>
                <w:szCs w:val="14"/>
                <w:b w:val="1"/>
                <w:bCs w:val="1"/>
                <w:color w:val="auto"/>
                <w:w w:val="92"/>
              </w:rPr>
              <w:t>Present Value</w:t>
            </w:r>
          </w:p>
        </w:tc>
        <w:tc>
          <w:tcPr>
            <w:tcW w:w="1900" w:type="dxa"/>
            <w:vAlign w:val="bottom"/>
            <w:tcBorders>
              <w:top w:val="single" w:sz="8" w:color="auto"/>
            </w:tcBorders>
          </w:tcPr>
          <w:p>
            <w:pPr>
              <w:jc w:val="center"/>
              <w:ind w:left="302"/>
              <w:spacing w:after="0" w:line="13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tcBorders>
            <w:vMerge w:val="restart"/>
          </w:tcPr>
          <w:p>
            <w:pPr>
              <w:ind w:left="13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1440" w:type="dxa"/>
            <w:vAlign w:val="bottom"/>
            <w:vMerge w:val="restart"/>
          </w:tcPr>
          <w:p>
            <w:pPr>
              <w:jc w:val="center"/>
              <w:ind w:right="273"/>
              <w:spacing w:after="0"/>
              <w:rPr>
                <w:sz w:val="20"/>
                <w:szCs w:val="20"/>
                <w:color w:val="auto"/>
              </w:rPr>
            </w:pPr>
            <w:r>
              <w:rPr>
                <w:rFonts w:ascii="Arial" w:cs="Arial" w:eastAsia="Arial" w:hAnsi="Arial"/>
                <w:sz w:val="14"/>
                <w:szCs w:val="14"/>
                <w:b w:val="1"/>
                <w:bCs w:val="1"/>
                <w:color w:val="auto"/>
                <w:w w:val="94"/>
              </w:rPr>
              <w:t>Plan Name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2060" w:type="dxa"/>
            <w:vAlign w:val="bottom"/>
          </w:tcPr>
          <w:p>
            <w:pPr>
              <w:jc w:val="center"/>
              <w:ind w:left="275"/>
              <w:spacing w:after="0" w:line="149" w:lineRule="exact"/>
              <w:rPr>
                <w:sz w:val="20"/>
                <w:szCs w:val="20"/>
                <w:color w:val="auto"/>
              </w:rPr>
            </w:pPr>
            <w:r>
              <w:rPr>
                <w:rFonts w:ascii="Arial" w:cs="Arial" w:eastAsia="Arial" w:hAnsi="Arial"/>
                <w:sz w:val="14"/>
                <w:szCs w:val="14"/>
                <w:b w:val="1"/>
                <w:bCs w:val="1"/>
                <w:color w:val="auto"/>
                <w:w w:val="93"/>
              </w:rPr>
              <w:t>of Accumulated</w:t>
            </w:r>
          </w:p>
        </w:tc>
        <w:tc>
          <w:tcPr>
            <w:tcW w:w="190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7"/>
              </w:rPr>
              <w:t>During Last</w:t>
            </w: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Service (#)</w:t>
            </w:r>
          </w:p>
        </w:tc>
        <w:tc>
          <w:tcPr>
            <w:tcW w:w="2060" w:type="dxa"/>
            <w:vAlign w:val="bottom"/>
          </w:tcPr>
          <w:p>
            <w:pPr>
              <w:jc w:val="center"/>
              <w:ind w:left="275"/>
              <w:spacing w:after="0" w:line="149" w:lineRule="exact"/>
              <w:rPr>
                <w:sz w:val="20"/>
                <w:szCs w:val="20"/>
                <w:color w:val="auto"/>
              </w:rPr>
            </w:pPr>
            <w:r>
              <w:rPr>
                <w:rFonts w:ascii="Arial" w:cs="Arial" w:eastAsia="Arial" w:hAnsi="Arial"/>
                <w:sz w:val="14"/>
                <w:szCs w:val="14"/>
                <w:b w:val="1"/>
                <w:bCs w:val="1"/>
                <w:color w:val="auto"/>
                <w:w w:val="93"/>
              </w:rPr>
              <w:t>Benefit ($)</w:t>
            </w:r>
            <w:r>
              <w:rPr>
                <w:rFonts w:ascii="Arial" w:cs="Arial" w:eastAsia="Arial" w:hAnsi="Arial"/>
                <w:sz w:val="12"/>
                <w:szCs w:val="12"/>
                <w:b w:val="1"/>
                <w:bCs w:val="1"/>
                <w:color w:val="auto"/>
                <w:w w:val="93"/>
              </w:rPr>
              <w:t>(1)</w:t>
            </w:r>
          </w:p>
        </w:tc>
        <w:tc>
          <w:tcPr>
            <w:tcW w:w="190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2"/>
              </w:rPr>
              <w:t>Fiscal Year ($)</w:t>
            </w:r>
          </w:p>
        </w:tc>
        <w:tc>
          <w:tcPr>
            <w:tcW w:w="0" w:type="dxa"/>
            <w:vAlign w:val="bottom"/>
          </w:tcPr>
          <w:p>
            <w:pPr>
              <w:spacing w:after="0"/>
              <w:rPr>
                <w:sz w:val="1"/>
                <w:szCs w:val="1"/>
                <w:color w:val="auto"/>
              </w:rPr>
            </w:pPr>
          </w:p>
        </w:tc>
      </w:tr>
      <w:tr>
        <w:trPr>
          <w:trHeight w:val="185"/>
        </w:trPr>
        <w:tc>
          <w:tcPr>
            <w:tcW w:w="3000" w:type="dxa"/>
            <w:vAlign w:val="bottom"/>
            <w:tcBorders>
              <w:left w:val="single" w:sz="8" w:color="auto"/>
              <w:bottom w:val="single" w:sz="8" w:color="auto"/>
            </w:tcBorders>
          </w:tcPr>
          <w:p>
            <w:pPr>
              <w:ind w:left="1520"/>
              <w:spacing w:after="0"/>
              <w:rPr>
                <w:sz w:val="20"/>
                <w:szCs w:val="20"/>
                <w:color w:val="auto"/>
              </w:rPr>
            </w:pPr>
            <w:r>
              <w:rPr>
                <w:rFonts w:ascii="Arial" w:cs="Arial" w:eastAsia="Arial" w:hAnsi="Arial"/>
                <w:sz w:val="12"/>
                <w:szCs w:val="12"/>
                <w:b w:val="1"/>
                <w:bCs w:val="1"/>
                <w:color w:val="auto"/>
              </w:rPr>
              <w:t>(a)</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rPr>
              <w:t>(b)</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060" w:type="dxa"/>
            <w:vAlign w:val="bottom"/>
            <w:tcBorders>
              <w:bottom w:val="single" w:sz="8" w:color="auto"/>
            </w:tcBorders>
          </w:tcPr>
          <w:p>
            <w:pPr>
              <w:jc w:val="center"/>
              <w:ind w:left="275"/>
              <w:spacing w:after="0"/>
              <w:rPr>
                <w:sz w:val="20"/>
                <w:szCs w:val="20"/>
                <w:color w:val="auto"/>
              </w:rPr>
            </w:pPr>
            <w:r>
              <w:rPr>
                <w:rFonts w:ascii="Arial" w:cs="Arial" w:eastAsia="Arial" w:hAnsi="Arial"/>
                <w:sz w:val="14"/>
                <w:szCs w:val="14"/>
                <w:b w:val="1"/>
                <w:bCs w:val="1"/>
                <w:color w:val="auto"/>
              </w:rPr>
              <w:t>(d)</w:t>
            </w:r>
          </w:p>
        </w:tc>
        <w:tc>
          <w:tcPr>
            <w:tcW w:w="190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23"/>
        </w:trPr>
        <w:tc>
          <w:tcPr>
            <w:tcW w:w="3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 Howard Nye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8"/>
              </w:rPr>
              <w:t>Pension Plan</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4.417</w:t>
            </w:r>
          </w:p>
        </w:tc>
        <w:tc>
          <w:tcPr>
            <w:tcW w:w="2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76,314</w:t>
            </w: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President and CEO</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SERP</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4.417</w:t>
            </w:r>
          </w:p>
        </w:tc>
        <w:tc>
          <w:tcPr>
            <w:tcW w:w="2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355,841</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Anne H. Lloyd</w:t>
            </w:r>
          </w:p>
        </w:tc>
        <w:tc>
          <w:tcPr>
            <w:tcW w:w="360" w:type="dxa"/>
            <w:vAlign w:val="bottom"/>
          </w:tcPr>
          <w:p>
            <w:pPr>
              <w:spacing w:after="0"/>
              <w:rPr>
                <w:sz w:val="17"/>
                <w:szCs w:val="17"/>
                <w:color w:val="auto"/>
              </w:rPr>
            </w:pPr>
          </w:p>
        </w:tc>
        <w:tc>
          <w:tcPr>
            <w:tcW w:w="1440" w:type="dxa"/>
            <w:vAlign w:val="bottom"/>
          </w:tcPr>
          <w:p>
            <w:pPr>
              <w:jc w:val="center"/>
              <w:ind w:right="253"/>
              <w:spacing w:after="0" w:line="201" w:lineRule="exact"/>
              <w:rPr>
                <w:sz w:val="20"/>
                <w:szCs w:val="20"/>
                <w:color w:val="auto"/>
              </w:rPr>
            </w:pPr>
            <w:r>
              <w:rPr>
                <w:rFonts w:ascii="Arial" w:cs="Arial" w:eastAsia="Arial" w:hAnsi="Arial"/>
                <w:sz w:val="18"/>
                <w:szCs w:val="18"/>
                <w:color w:val="auto"/>
                <w:w w:val="88"/>
              </w:rPr>
              <w:t>Pension Plan</w:t>
            </w:r>
          </w:p>
        </w:tc>
        <w:tc>
          <w:tcPr>
            <w:tcW w:w="1400" w:type="dxa"/>
            <w:vAlign w:val="bottom"/>
          </w:tcPr>
          <w:p>
            <w:pPr>
              <w:jc w:val="right"/>
              <w:ind w:right="15"/>
              <w:spacing w:after="0" w:line="201" w:lineRule="exact"/>
              <w:rPr>
                <w:sz w:val="20"/>
                <w:szCs w:val="20"/>
                <w:color w:val="auto"/>
              </w:rPr>
            </w:pPr>
            <w:r>
              <w:rPr>
                <w:rFonts w:ascii="Arial" w:cs="Arial" w:eastAsia="Arial" w:hAnsi="Arial"/>
                <w:sz w:val="18"/>
                <w:szCs w:val="18"/>
                <w:color w:val="auto"/>
              </w:rPr>
              <w:t>12.583</w:t>
            </w:r>
          </w:p>
        </w:tc>
        <w:tc>
          <w:tcPr>
            <w:tcW w:w="2060" w:type="dxa"/>
            <w:vAlign w:val="bottom"/>
          </w:tcPr>
          <w:p>
            <w:pPr>
              <w:jc w:val="right"/>
              <w:ind w:right="395"/>
              <w:spacing w:after="0" w:line="201" w:lineRule="exact"/>
              <w:rPr>
                <w:sz w:val="20"/>
                <w:szCs w:val="20"/>
                <w:color w:val="auto"/>
              </w:rPr>
            </w:pPr>
            <w:r>
              <w:rPr>
                <w:rFonts w:ascii="Arial" w:cs="Arial" w:eastAsia="Arial" w:hAnsi="Arial"/>
                <w:sz w:val="18"/>
                <w:szCs w:val="18"/>
                <w:color w:val="auto"/>
              </w:rPr>
              <w:t>242,944</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360" w:type="dxa"/>
            <w:vAlign w:val="bottom"/>
          </w:tcPr>
          <w:p>
            <w:pPr>
              <w:spacing w:after="0"/>
              <w:rPr>
                <w:sz w:val="18"/>
                <w:szCs w:val="18"/>
                <w:color w:val="auto"/>
              </w:rPr>
            </w:pPr>
          </w:p>
        </w:tc>
        <w:tc>
          <w:tcPr>
            <w:tcW w:w="1440" w:type="dxa"/>
            <w:vAlign w:val="bottom"/>
          </w:tcPr>
          <w:p>
            <w:pPr>
              <w:jc w:val="center"/>
              <w:ind w:right="253"/>
              <w:spacing w:after="0"/>
              <w:rPr>
                <w:sz w:val="20"/>
                <w:szCs w:val="20"/>
                <w:color w:val="auto"/>
              </w:rPr>
            </w:pPr>
            <w:r>
              <w:rPr>
                <w:rFonts w:ascii="Arial" w:cs="Arial" w:eastAsia="Arial" w:hAnsi="Arial"/>
                <w:sz w:val="18"/>
                <w:szCs w:val="18"/>
                <w:color w:val="auto"/>
                <w:w w:val="85"/>
              </w:rPr>
              <w:t>SERP</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12.583</w:t>
            </w:r>
          </w:p>
        </w:tc>
        <w:tc>
          <w:tcPr>
            <w:tcW w:w="2060" w:type="dxa"/>
            <w:vAlign w:val="bottom"/>
          </w:tcPr>
          <w:p>
            <w:pPr>
              <w:jc w:val="right"/>
              <w:ind w:right="395"/>
              <w:spacing w:after="0"/>
              <w:rPr>
                <w:sz w:val="20"/>
                <w:szCs w:val="20"/>
                <w:color w:val="auto"/>
              </w:rPr>
            </w:pPr>
            <w:r>
              <w:rPr>
                <w:rFonts w:ascii="Arial" w:cs="Arial" w:eastAsia="Arial" w:hAnsi="Arial"/>
                <w:sz w:val="18"/>
                <w:szCs w:val="18"/>
                <w:color w:val="auto"/>
              </w:rPr>
              <w:t>602,648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CFO and Treasurer</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Daniel G. Shephard</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8"/>
              </w:rPr>
              <w:t>Pension Plan</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21.917</w:t>
            </w:r>
          </w:p>
        </w:tc>
        <w:tc>
          <w:tcPr>
            <w:tcW w:w="2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473,025</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Executive Vice President</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5"/>
              </w:rPr>
              <w:t>SERP</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21.917</w:t>
            </w:r>
          </w:p>
        </w:tc>
        <w:tc>
          <w:tcPr>
            <w:tcW w:w="2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1,241,764</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Bruce A. Vaio</w:t>
            </w:r>
          </w:p>
        </w:tc>
        <w:tc>
          <w:tcPr>
            <w:tcW w:w="360" w:type="dxa"/>
            <w:vAlign w:val="bottom"/>
          </w:tcPr>
          <w:p>
            <w:pPr>
              <w:spacing w:after="0"/>
              <w:rPr>
                <w:sz w:val="17"/>
                <w:szCs w:val="17"/>
                <w:color w:val="auto"/>
              </w:rPr>
            </w:pPr>
          </w:p>
        </w:tc>
        <w:tc>
          <w:tcPr>
            <w:tcW w:w="1440" w:type="dxa"/>
            <w:vAlign w:val="bottom"/>
          </w:tcPr>
          <w:p>
            <w:pPr>
              <w:jc w:val="center"/>
              <w:ind w:right="253"/>
              <w:spacing w:after="0" w:line="201" w:lineRule="exact"/>
              <w:rPr>
                <w:sz w:val="20"/>
                <w:szCs w:val="20"/>
                <w:color w:val="auto"/>
              </w:rPr>
            </w:pPr>
            <w:r>
              <w:rPr>
                <w:rFonts w:ascii="Arial" w:cs="Arial" w:eastAsia="Arial" w:hAnsi="Arial"/>
                <w:sz w:val="18"/>
                <w:szCs w:val="18"/>
                <w:color w:val="auto"/>
                <w:w w:val="88"/>
              </w:rPr>
              <w:t>Pension Plan</w:t>
            </w:r>
          </w:p>
        </w:tc>
        <w:tc>
          <w:tcPr>
            <w:tcW w:w="1400" w:type="dxa"/>
            <w:vAlign w:val="bottom"/>
          </w:tcPr>
          <w:p>
            <w:pPr>
              <w:jc w:val="right"/>
              <w:ind w:right="15"/>
              <w:spacing w:after="0" w:line="201" w:lineRule="exact"/>
              <w:rPr>
                <w:sz w:val="20"/>
                <w:szCs w:val="20"/>
                <w:color w:val="auto"/>
              </w:rPr>
            </w:pPr>
            <w:r>
              <w:rPr>
                <w:rFonts w:ascii="Arial" w:cs="Arial" w:eastAsia="Arial" w:hAnsi="Arial"/>
                <w:sz w:val="18"/>
                <w:szCs w:val="18"/>
                <w:color w:val="auto"/>
              </w:rPr>
              <w:t>14.583</w:t>
            </w:r>
          </w:p>
        </w:tc>
        <w:tc>
          <w:tcPr>
            <w:tcW w:w="2060" w:type="dxa"/>
            <w:vAlign w:val="bottom"/>
          </w:tcPr>
          <w:p>
            <w:pPr>
              <w:jc w:val="right"/>
              <w:ind w:right="395"/>
              <w:spacing w:after="0" w:line="201" w:lineRule="exact"/>
              <w:rPr>
                <w:sz w:val="20"/>
                <w:szCs w:val="20"/>
                <w:color w:val="auto"/>
              </w:rPr>
            </w:pPr>
            <w:r>
              <w:rPr>
                <w:rFonts w:ascii="Arial" w:cs="Arial" w:eastAsia="Arial" w:hAnsi="Arial"/>
                <w:sz w:val="18"/>
                <w:szCs w:val="18"/>
                <w:color w:val="auto"/>
              </w:rPr>
              <w:t>278,776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360" w:type="dxa"/>
            <w:vAlign w:val="bottom"/>
          </w:tcPr>
          <w:p>
            <w:pPr>
              <w:spacing w:after="0"/>
              <w:rPr>
                <w:sz w:val="20"/>
                <w:szCs w:val="20"/>
                <w:color w:val="auto"/>
              </w:rPr>
            </w:pPr>
          </w:p>
        </w:tc>
        <w:tc>
          <w:tcPr>
            <w:tcW w:w="1440" w:type="dxa"/>
            <w:vAlign w:val="bottom"/>
          </w:tcPr>
          <w:p>
            <w:pPr>
              <w:jc w:val="center"/>
              <w:ind w:right="253"/>
              <w:spacing w:after="0"/>
              <w:rPr>
                <w:sz w:val="20"/>
                <w:szCs w:val="20"/>
                <w:color w:val="auto"/>
              </w:rPr>
            </w:pPr>
            <w:r>
              <w:rPr>
                <w:rFonts w:ascii="Arial" w:cs="Arial" w:eastAsia="Arial" w:hAnsi="Arial"/>
                <w:sz w:val="18"/>
                <w:szCs w:val="18"/>
                <w:color w:val="auto"/>
                <w:w w:val="85"/>
              </w:rPr>
              <w:t>SERP</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14.583</w:t>
            </w:r>
          </w:p>
        </w:tc>
        <w:tc>
          <w:tcPr>
            <w:tcW w:w="2060" w:type="dxa"/>
            <w:vAlign w:val="bottom"/>
          </w:tcPr>
          <w:p>
            <w:pPr>
              <w:jc w:val="right"/>
              <w:ind w:right="395"/>
              <w:spacing w:after="0"/>
              <w:rPr>
                <w:sz w:val="20"/>
                <w:szCs w:val="20"/>
                <w:color w:val="auto"/>
              </w:rPr>
            </w:pPr>
            <w:r>
              <w:rPr>
                <w:rFonts w:ascii="Arial" w:cs="Arial" w:eastAsia="Arial" w:hAnsi="Arial"/>
                <w:sz w:val="18"/>
                <w:szCs w:val="18"/>
                <w:color w:val="auto"/>
              </w:rPr>
              <w:t>733,688</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Stephen P. Zelnak, Jr.</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253"/>
              <w:spacing w:after="0"/>
              <w:rPr>
                <w:sz w:val="20"/>
                <w:szCs w:val="20"/>
                <w:color w:val="auto"/>
              </w:rPr>
            </w:pPr>
            <w:r>
              <w:rPr>
                <w:rFonts w:ascii="Arial" w:cs="Arial" w:eastAsia="Arial" w:hAnsi="Arial"/>
                <w:sz w:val="18"/>
                <w:szCs w:val="18"/>
                <w:color w:val="auto"/>
                <w:w w:val="88"/>
              </w:rPr>
              <w:t>Pension Plan</w:t>
            </w:r>
          </w:p>
        </w:tc>
        <w:tc>
          <w:tcPr>
            <w:tcW w:w="1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29.083</w:t>
            </w:r>
          </w:p>
        </w:tc>
        <w:tc>
          <w:tcPr>
            <w:tcW w:w="2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989,304</w:t>
            </w:r>
          </w:p>
        </w:tc>
        <w:tc>
          <w:tcPr>
            <w:tcW w:w="190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53,995</w:t>
            </w: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Executive Chairman</w:t>
            </w:r>
          </w:p>
        </w:tc>
        <w:tc>
          <w:tcPr>
            <w:tcW w:w="3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right="253"/>
              <w:spacing w:after="0"/>
              <w:rPr>
                <w:sz w:val="20"/>
                <w:szCs w:val="20"/>
                <w:color w:val="auto"/>
              </w:rPr>
            </w:pPr>
            <w:r>
              <w:rPr>
                <w:rFonts w:ascii="Arial" w:cs="Arial" w:eastAsia="Arial" w:hAnsi="Arial"/>
                <w:sz w:val="18"/>
                <w:szCs w:val="18"/>
                <w:color w:val="auto"/>
                <w:w w:val="85"/>
              </w:rPr>
              <w:t>SERP</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29.083</w:t>
            </w:r>
          </w:p>
        </w:tc>
        <w:tc>
          <w:tcPr>
            <w:tcW w:w="20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rPr>
              <w:t>0</w:t>
            </w:r>
          </w:p>
        </w:tc>
        <w:tc>
          <w:tcPr>
            <w:tcW w:w="190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10,981,289</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220" w:right="240" w:hanging="242"/>
        <w:spacing w:after="0" w:line="238" w:lineRule="auto"/>
        <w:tabs>
          <w:tab w:leader="none" w:pos="1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the Corporation’s audited financial statements for the fiscal year ended December 31, 2010, included in the Corporation’s Annual Report on Form 10-K filed with the Securities and Exchange Commission on February 25, 2011.</w:t>
      </w:r>
    </w:p>
    <w:p>
      <w:pPr>
        <w:spacing w:after="0" w:line="20" w:lineRule="exact"/>
        <w:rPr>
          <w:rFonts w:ascii="Arial" w:cs="Arial" w:eastAsia="Arial" w:hAnsi="Arial"/>
          <w:sz w:val="14"/>
          <w:szCs w:val="14"/>
          <w:color w:val="auto"/>
        </w:rPr>
      </w:pPr>
    </w:p>
    <w:p>
      <w:pPr>
        <w:ind w:left="1220" w:hanging="242"/>
        <w:spacing w:after="0"/>
        <w:tabs>
          <w:tab w:leader="none" w:pos="1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table includes the present value of the pension plan and SERP benefit for Mr. Zelnak, who retired on May 27, 2010 with unreduced benefits.</w:t>
      </w:r>
    </w:p>
    <w:p>
      <w:pPr>
        <w:spacing w:after="0" w:line="111"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The Pension Plan is a defined benefit plan sponsored by the Corporation and covers all of the Corporation’s executive officers, including the named executive officers, and substantially all of the salaried employees of the Corporation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up to 35 years and 1.50% of average compensation over social security covered compensation up to or over 35 years.) Benefits payable under the Pension Plan are subject to current Internal Revenue Code limitation, including a limitation on the amount of annual compensation for purposes of calculating eligible remuneration for a participant under a qualified retirement plan ($245,000 in 2010). The Corporation’s Supplemental Excess Retirement Plan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None of the named executive officers are eligible for early retirement, which allows for payment to employees who are age 55 with at least five years of service at a reduced benefit based on the number of years of service and the number of years prior to age 62 at which the benefits began. The named executive officers, other than Mr. Zelnak, are not yet eligible</w:t>
      </w:r>
    </w:p>
    <w:p>
      <w:pPr>
        <w:spacing w:after="0" w:line="18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956945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240"/>
        <w:spacing w:after="0" w:line="258" w:lineRule="auto"/>
        <w:rPr>
          <w:sz w:val="20"/>
          <w:szCs w:val="20"/>
          <w:color w:val="auto"/>
        </w:rPr>
      </w:pPr>
      <w:r>
        <w:rPr>
          <w:rFonts w:ascii="Arial" w:cs="Arial" w:eastAsia="Arial" w:hAnsi="Arial"/>
          <w:sz w:val="19"/>
          <w:szCs w:val="19"/>
          <w:color w:val="auto"/>
        </w:rPr>
        <w:t>for early retirement, but would still be eligible for payments at age 55 at a reduced benefit based on the number of years of service and the number of years prior to age 65 at which the benefits began. The present value of the Pension plan and SERP benefit, respectively, for Mr. Nye, Ms. Lloyd, Mr. Shephard and Mr. Vaio, who are not yet retirement eligible, if they had terminated on December 31, 2010 and began collecting benefits at age 55 would be as follows: Mr. Nye, $0 and $0, respectively; Ms. Lloyd, $231,020 and $601,814, respectively; Mr. Shephard, $529,570 and $1,435,799, respectively; and Mr. Vaio, $279,003 and $758,338 respectively. The amounts listed in the foregoing table are not subject to any deduction for Social Security benefits or other offset amounts.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left="980" w:firstLine="609"/>
        <w:spacing w:after="0" w:line="274" w:lineRule="auto"/>
        <w:rPr>
          <w:sz w:val="20"/>
          <w:szCs w:val="20"/>
          <w:color w:val="auto"/>
        </w:rPr>
      </w:pPr>
      <w:r>
        <w:rPr>
          <w:rFonts w:ascii="Arial" w:cs="Arial" w:eastAsia="Arial" w:hAnsi="Arial"/>
          <w:sz w:val="18"/>
          <w:szCs w:val="18"/>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 cause termination, normal retirement, early retirement, in the event of disability or death of the executive, and termination following a change of control. The amounts assume that such termination was effective as of December 31, 2010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the Corporation.</w:t>
      </w:r>
    </w:p>
    <w:p>
      <w:pPr>
        <w:spacing w:after="0" w:line="75" w:lineRule="exact"/>
        <w:rPr>
          <w:sz w:val="20"/>
          <w:szCs w:val="20"/>
          <w:color w:val="auto"/>
        </w:rPr>
      </w:pPr>
    </w:p>
    <w:p>
      <w:pPr>
        <w:ind w:left="980" w:firstLine="609"/>
        <w:spacing w:after="0" w:line="244" w:lineRule="auto"/>
        <w:rPr>
          <w:sz w:val="20"/>
          <w:szCs w:val="20"/>
          <w:color w:val="auto"/>
        </w:rPr>
      </w:pPr>
      <w:r>
        <w:rPr>
          <w:rFonts w:ascii="Arial" w:cs="Arial" w:eastAsia="Arial" w:hAnsi="Arial"/>
          <w:sz w:val="20"/>
          <w:szCs w:val="20"/>
          <w:i w:val="1"/>
          <w:iCs w:val="1"/>
          <w:u w:val="single" w:color="auto"/>
          <w:color w:val="auto"/>
        </w:rPr>
        <w:t>Payments Upon Any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the manner in which the employment of a named executive officer</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terminates, he or she is entitled to receive the amounts earned during the term of employment, including cash compensation earned during the fiscal year, amounts contributed by the employee and the Corporation’s matching contributions to the Performance Sharing Plan, unused earned vacation pay and amounts accrued and vested through the Corporation’s Pension Plan and Supplemental Excess Retirement Plan.</w:t>
      </w:r>
    </w:p>
    <w:p>
      <w:pPr>
        <w:spacing w:after="0" w:line="100" w:lineRule="exact"/>
        <w:rPr>
          <w:sz w:val="20"/>
          <w:szCs w:val="20"/>
          <w:color w:val="auto"/>
        </w:rPr>
      </w:pPr>
    </w:p>
    <w:p>
      <w:pPr>
        <w:ind w:left="980" w:right="60" w:firstLine="609"/>
        <w:spacing w:after="0" w:line="244" w:lineRule="auto"/>
        <w:rPr>
          <w:sz w:val="20"/>
          <w:szCs w:val="20"/>
          <w:color w:val="auto"/>
        </w:rPr>
      </w:pPr>
      <w:r>
        <w:rPr>
          <w:rFonts w:ascii="Arial" w:cs="Arial" w:eastAsia="Arial" w:hAnsi="Arial"/>
          <w:sz w:val="20"/>
          <w:szCs w:val="20"/>
          <w:i w:val="1"/>
          <w:iCs w:val="1"/>
          <w:u w:val="single" w:color="auto"/>
          <w:color w:val="auto"/>
        </w:rPr>
        <w:t>Payments Upon Voluntary Termination</w:t>
      </w:r>
      <w:r>
        <w:rPr>
          <w:rFonts w:ascii="Arial" w:cs="Arial" w:eastAsia="Arial" w:hAnsi="Arial"/>
          <w:sz w:val="20"/>
          <w:szCs w:val="20"/>
          <w:i w:val="1"/>
          <w:iCs w:val="1"/>
          <w:color w:val="auto"/>
        </w:rPr>
        <w:t xml:space="preserve">. </w:t>
      </w:r>
      <w:r>
        <w:rPr>
          <w:rFonts w:ascii="Arial" w:cs="Arial" w:eastAsia="Arial" w:hAnsi="Arial"/>
          <w:sz w:val="20"/>
          <w:szCs w:val="20"/>
          <w:color w:val="auto"/>
        </w:rPr>
        <w:t>In addition to the amounts described under the heading Payments Upon Any</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the Corporation’s common stock on the date of termination.</w:t>
      </w:r>
    </w:p>
    <w:p>
      <w:pPr>
        <w:spacing w:after="0" w:line="100" w:lineRule="exact"/>
        <w:rPr>
          <w:sz w:val="20"/>
          <w:szCs w:val="20"/>
          <w:color w:val="auto"/>
        </w:rPr>
      </w:pPr>
    </w:p>
    <w:p>
      <w:pPr>
        <w:ind w:left="980" w:right="200" w:firstLine="609"/>
        <w:spacing w:after="0" w:line="282" w:lineRule="auto"/>
        <w:rPr>
          <w:sz w:val="20"/>
          <w:szCs w:val="20"/>
          <w:color w:val="auto"/>
        </w:rPr>
      </w:pPr>
      <w:r>
        <w:rPr>
          <w:rFonts w:ascii="Arial" w:cs="Arial" w:eastAsia="Arial" w:hAnsi="Arial"/>
          <w:sz w:val="18"/>
          <w:szCs w:val="18"/>
          <w:i w:val="1"/>
          <w:iCs w:val="1"/>
          <w:u w:val="single" w:color="auto"/>
          <w:color w:val="auto"/>
        </w:rPr>
        <w:t>Payments Upon Involuntary Not-For-Cause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67" w:lineRule="exact"/>
        <w:rPr>
          <w:sz w:val="20"/>
          <w:szCs w:val="20"/>
          <w:color w:val="auto"/>
        </w:rPr>
      </w:pPr>
    </w:p>
    <w:p>
      <w:pPr>
        <w:ind w:left="980" w:firstLine="609"/>
        <w:spacing w:after="0" w:line="269" w:lineRule="auto"/>
        <w:rPr>
          <w:sz w:val="20"/>
          <w:szCs w:val="20"/>
          <w:color w:val="auto"/>
        </w:rPr>
      </w:pPr>
      <w:r>
        <w:rPr>
          <w:rFonts w:ascii="Arial" w:cs="Arial" w:eastAsia="Arial" w:hAnsi="Arial"/>
          <w:sz w:val="19"/>
          <w:szCs w:val="19"/>
          <w:i w:val="1"/>
          <w:iCs w:val="1"/>
          <w:u w:val="single" w:color="auto"/>
          <w:color w:val="auto"/>
        </w:rPr>
        <w:t>Payments Upon Involuntary For-Cause Termination</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event of involuntary termination for cause, which is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Employment Protection Agreement and the Stock-Based Award Plan, the named executive officer would be entitled to receive the payments and benefits described under the heading Payments Upon Voluntary Termination.</w:t>
      </w:r>
    </w:p>
    <w:p>
      <w:pPr>
        <w:spacing w:after="0" w:line="76" w:lineRule="exact"/>
        <w:rPr>
          <w:sz w:val="20"/>
          <w:szCs w:val="20"/>
          <w:color w:val="auto"/>
        </w:rPr>
      </w:pPr>
    </w:p>
    <w:p>
      <w:pPr>
        <w:ind w:left="980" w:right="100" w:firstLine="609"/>
        <w:spacing w:after="0" w:line="243" w:lineRule="auto"/>
        <w:rPr>
          <w:sz w:val="20"/>
          <w:szCs w:val="20"/>
          <w:color w:val="auto"/>
        </w:rPr>
      </w:pPr>
      <w:r>
        <w:rPr>
          <w:rFonts w:ascii="Arial" w:cs="Arial" w:eastAsia="Arial" w:hAnsi="Arial"/>
          <w:sz w:val="20"/>
          <w:szCs w:val="20"/>
          <w:i w:val="1"/>
          <w:iCs w:val="1"/>
          <w:u w:val="single" w:color="auto"/>
          <w:color w:val="auto"/>
        </w:rPr>
        <w:t>Payments Upon Retirement</w:t>
      </w:r>
      <w:r>
        <w:rPr>
          <w:rFonts w:ascii="Arial" w:cs="Arial" w:eastAsia="Arial" w:hAnsi="Arial"/>
          <w:sz w:val="20"/>
          <w:szCs w:val="20"/>
          <w:i w:val="1"/>
          <w:iCs w:val="1"/>
          <w:color w:val="auto"/>
        </w:rPr>
        <w:t xml:space="preserve">. </w:t>
      </w:r>
      <w:r>
        <w:rPr>
          <w:rFonts w:ascii="Arial" w:cs="Arial" w:eastAsia="Arial" w:hAnsi="Arial"/>
          <w:sz w:val="20"/>
          <w:szCs w:val="20"/>
          <w:color w:val="auto"/>
        </w:rPr>
        <w:t>In the event of the retirement at age 62 or above of a named executive officer, in addition</w:t>
      </w:r>
      <w:r>
        <w:rPr>
          <w:rFonts w:ascii="Arial" w:cs="Arial" w:eastAsia="Arial" w:hAnsi="Arial"/>
          <w:sz w:val="20"/>
          <w:szCs w:val="20"/>
          <w:i w:val="1"/>
          <w:iCs w:val="1"/>
          <w:color w:val="auto"/>
        </w:rPr>
        <w:t xml:space="preserve"> </w:t>
      </w:r>
      <w:r>
        <w:rPr>
          <w:rFonts w:ascii="Arial" w:cs="Arial" w:eastAsia="Arial" w:hAnsi="Arial"/>
          <w:sz w:val="20"/>
          <w:szCs w:val="20"/>
          <w:color w:val="auto"/>
        </w:rPr>
        <w:t>to the items described under the heading Payments Upon Any Termination,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LTIP restricted stock units; will vest in all outstanding awards of common stock units under the</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1214755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60" w:lineRule="auto"/>
        <w:rPr>
          <w:sz w:val="20"/>
          <w:szCs w:val="20"/>
          <w:color w:val="auto"/>
        </w:rPr>
      </w:pPr>
      <w:r>
        <w:rPr>
          <w:rFonts w:ascii="Arial" w:cs="Arial" w:eastAsia="Arial" w:hAnsi="Arial"/>
          <w:sz w:val="20"/>
          <w:szCs w:val="20"/>
          <w:color w:val="auto"/>
        </w:rPr>
        <w:t>Incentive Stock Plan; will be eligible to receive health and welfare benefits as described under the heading Retiree Medical; and will continue to receive life insurance coverage until his or her death.</w:t>
      </w:r>
    </w:p>
    <w:p>
      <w:pPr>
        <w:spacing w:after="0" w:line="82" w:lineRule="exact"/>
        <w:rPr>
          <w:sz w:val="20"/>
          <w:szCs w:val="20"/>
          <w:color w:val="auto"/>
        </w:rPr>
      </w:pPr>
    </w:p>
    <w:p>
      <w:pPr>
        <w:ind w:left="980" w:firstLine="609"/>
        <w:spacing w:after="0" w:line="282" w:lineRule="auto"/>
        <w:rPr>
          <w:sz w:val="20"/>
          <w:szCs w:val="20"/>
          <w:color w:val="auto"/>
        </w:rPr>
      </w:pPr>
      <w:r>
        <w:rPr>
          <w:rFonts w:ascii="Arial" w:cs="Arial" w:eastAsia="Arial" w:hAnsi="Arial"/>
          <w:sz w:val="18"/>
          <w:szCs w:val="18"/>
          <w:i w:val="1"/>
          <w:iCs w:val="1"/>
          <w:u w:val="single" w:color="auto"/>
          <w:color w:val="auto"/>
        </w:rPr>
        <w:t>Payments Made Upon Early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retirement prior to reaching age 62 but on or after reaching</w:t>
      </w:r>
      <w:r>
        <w:rPr>
          <w:rFonts w:ascii="Arial" w:cs="Arial" w:eastAsia="Arial" w:hAnsi="Arial"/>
          <w:sz w:val="18"/>
          <w:szCs w:val="18"/>
          <w:i w:val="1"/>
          <w:iCs w:val="1"/>
          <w:color w:val="auto"/>
        </w:rPr>
        <w:t xml:space="preserve"> </w:t>
      </w:r>
      <w:r>
        <w:rPr>
          <w:rFonts w:ascii="Arial" w:cs="Arial" w:eastAsia="Arial" w:hAnsi="Arial"/>
          <w:sz w:val="18"/>
          <w:szCs w:val="18"/>
          <w:color w:val="auto"/>
        </w:rPr>
        <w:t>age 55, the named executive officer will receive benefits as described under the heading Payments Upon Voluntary Termination. In addition, the named executive officer will receive reduced benefits of the type described under Pension Benefits on page 48 and may be eligible for benefits described under the heading Retiree Medical on page 40 at a higher cost.</w:t>
      </w:r>
    </w:p>
    <w:p>
      <w:pPr>
        <w:spacing w:after="0" w:line="67" w:lineRule="exact"/>
        <w:rPr>
          <w:sz w:val="20"/>
          <w:szCs w:val="20"/>
          <w:color w:val="auto"/>
        </w:rPr>
      </w:pPr>
    </w:p>
    <w:p>
      <w:pPr>
        <w:ind w:left="980" w:right="40" w:firstLine="609"/>
        <w:spacing w:after="0" w:line="278" w:lineRule="auto"/>
        <w:rPr>
          <w:sz w:val="20"/>
          <w:szCs w:val="20"/>
          <w:color w:val="auto"/>
        </w:rPr>
      </w:pPr>
      <w:r>
        <w:rPr>
          <w:rFonts w:ascii="Arial" w:cs="Arial" w:eastAsia="Arial" w:hAnsi="Arial"/>
          <w:sz w:val="18"/>
          <w:szCs w:val="18"/>
          <w:i w:val="1"/>
          <w:iCs w:val="1"/>
          <w:u w:val="single" w:color="auto"/>
          <w:color w:val="auto"/>
        </w:rPr>
        <w:t>Payments Upon Death or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death or disability of a named executive officer,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payments and benefits under the headings Payments Upon Any Termination, the named executive officer or their estate will receive benefits under the Corporation’s long-term disability plan or life insurance plan, as appropriate, and a death benefit payment equal to the then-current base salary of such employee paid under the Pension Plan. In addition, all awards of restricted stock units and options will vest and the executive or their estate will have one year to exercise the options.</w:t>
      </w:r>
    </w:p>
    <w:p>
      <w:pPr>
        <w:spacing w:after="0" w:line="71" w:lineRule="exact"/>
        <w:rPr>
          <w:sz w:val="20"/>
          <w:szCs w:val="20"/>
          <w:color w:val="auto"/>
        </w:rPr>
      </w:pPr>
    </w:p>
    <w:p>
      <w:pPr>
        <w:ind w:left="980" w:right="200" w:firstLine="609"/>
        <w:spacing w:after="0" w:line="272" w:lineRule="auto"/>
        <w:rPr>
          <w:sz w:val="20"/>
          <w:szCs w:val="20"/>
          <w:color w:val="auto"/>
        </w:rPr>
      </w:pPr>
      <w:r>
        <w:rPr>
          <w:rFonts w:ascii="Arial" w:cs="Arial" w:eastAsia="Arial" w:hAnsi="Arial"/>
          <w:sz w:val="18"/>
          <w:szCs w:val="18"/>
          <w:i w:val="1"/>
          <w:iCs w:val="1"/>
          <w:u w:val="single" w:color="auto"/>
          <w:color w:val="auto"/>
        </w:rPr>
        <w:t>Payments Upon a Change of Control</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has entered into Employment Protection Agreements,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77" w:lineRule="exact"/>
        <w:rPr>
          <w:sz w:val="20"/>
          <w:szCs w:val="20"/>
          <w:color w:val="auto"/>
        </w:rPr>
      </w:pPr>
    </w:p>
    <w:p>
      <w:pPr>
        <w:ind w:left="980" w:firstLine="609"/>
        <w:spacing w:after="0" w:line="268" w:lineRule="auto"/>
        <w:rPr>
          <w:sz w:val="20"/>
          <w:szCs w:val="20"/>
          <w:color w:val="auto"/>
        </w:rPr>
      </w:pPr>
      <w:r>
        <w:rPr>
          <w:rFonts w:ascii="Arial" w:cs="Arial" w:eastAsia="Arial" w:hAnsi="Arial"/>
          <w:sz w:val="18"/>
          <w:szCs w:val="18"/>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annual bonus, perquisites and the Corporation’s match to the defined contribution plan; the payment of a pro-rata annual bonus in the year of termination; and a continuation of health, medical and other insurance benefits for a period of three years following termination. The rationale for selecting these triggers is to encourage the named executive officers to remain focused on the Corporation,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the Corporation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The Corporation must also continue to provide the executive all benefits provided under the Corporation’s defined benefit and defined contribution retirement plans and provide the</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1076960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300"/>
        <w:spacing w:after="0" w:line="243" w:lineRule="auto"/>
        <w:rPr>
          <w:sz w:val="20"/>
          <w:szCs w:val="20"/>
          <w:color w:val="auto"/>
        </w:rPr>
      </w:pPr>
      <w:r>
        <w:rPr>
          <w:rFonts w:ascii="Arial" w:cs="Arial" w:eastAsia="Arial" w:hAnsi="Arial"/>
          <w:sz w:val="20"/>
          <w:szCs w:val="20"/>
          <w:color w:val="auto"/>
        </w:rPr>
        <w:t>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the Corporation.</w:t>
      </w:r>
    </w:p>
    <w:p>
      <w:pPr>
        <w:spacing w:after="0" w:line="102" w:lineRule="exact"/>
        <w:rPr>
          <w:sz w:val="20"/>
          <w:szCs w:val="20"/>
          <w:color w:val="auto"/>
        </w:rPr>
      </w:pPr>
    </w:p>
    <w:p>
      <w:pPr>
        <w:ind w:left="980" w:right="100" w:firstLine="609"/>
        <w:spacing w:after="0" w:line="244" w:lineRule="auto"/>
        <w:rPr>
          <w:sz w:val="20"/>
          <w:szCs w:val="20"/>
          <w:color w:val="auto"/>
        </w:rPr>
      </w:pPr>
      <w:r>
        <w:rPr>
          <w:rFonts w:ascii="Arial" w:cs="Arial" w:eastAsia="Arial" w:hAnsi="Arial"/>
          <w:sz w:val="20"/>
          <w:szCs w:val="20"/>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00" w:lineRule="exact"/>
        <w:rPr>
          <w:sz w:val="20"/>
          <w:szCs w:val="20"/>
          <w:color w:val="auto"/>
        </w:rPr>
      </w:pPr>
    </w:p>
    <w:p>
      <w:pPr>
        <w:ind w:left="980" w:right="120" w:firstLine="609"/>
        <w:spacing w:after="0" w:line="246" w:lineRule="auto"/>
        <w:rPr>
          <w:sz w:val="20"/>
          <w:szCs w:val="20"/>
          <w:color w:val="auto"/>
        </w:rPr>
      </w:pPr>
      <w:r>
        <w:rPr>
          <w:rFonts w:ascii="Arial" w:cs="Arial" w:eastAsia="Arial" w:hAnsi="Arial"/>
          <w:sz w:val="20"/>
          <w:szCs w:val="20"/>
          <w:i w:val="1"/>
          <w:iCs w:val="1"/>
          <w:u w:val="single" w:color="auto"/>
          <w:color w:val="auto"/>
        </w:rPr>
        <w:t>Value of Payments Upon Termination</w:t>
      </w:r>
      <w:r>
        <w:rPr>
          <w:rFonts w:ascii="Arial" w:cs="Arial" w:eastAsia="Arial" w:hAnsi="Arial"/>
          <w:sz w:val="20"/>
          <w:szCs w:val="20"/>
          <w:color w:val="auto"/>
        </w:rPr>
        <w:t>. The following tables show the potential incremental payments to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named executive officers upon termination, including in the event of a change of control of the Corporation, assuming a December 31, 2010 termination date and, where applicable, using the New York Stock Exchange closing price of our common stock of $92.24.</w:t>
      </w:r>
    </w:p>
    <w:p>
      <w:pPr>
        <w:spacing w:after="0" w:line="145"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POTENTIAL PAYMENTS UPON TERMINATION OF CHANGE IN CONTROL</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AT DECEMBER 31, 2010</w:t>
      </w:r>
    </w:p>
    <w:p>
      <w:pPr>
        <w:spacing w:after="0" w:line="116" w:lineRule="exact"/>
        <w:rPr>
          <w:sz w:val="20"/>
          <w:szCs w:val="20"/>
          <w:color w:val="auto"/>
        </w:rPr>
      </w:pPr>
    </w:p>
    <w:tbl>
      <w:tblPr>
        <w:tblLayout w:type="fixed"/>
        <w:tblInd w:w="970" w:type="dxa"/>
        <w:tblCellMar>
          <w:top w:w="0" w:type="dxa"/>
          <w:left w:w="0" w:type="dxa"/>
          <w:bottom w:w="0" w:type="dxa"/>
          <w:right w:w="0" w:type="dxa"/>
        </w:tblCellMar>
      </w:tblPr>
      <w:tr>
        <w:trPr>
          <w:trHeight w:val="130"/>
        </w:trPr>
        <w:tc>
          <w:tcPr>
            <w:tcW w:w="1680" w:type="dxa"/>
            <w:vAlign w:val="bottom"/>
            <w:tcBorders>
              <w:top w:val="single" w:sz="8" w:color="auto"/>
              <w:lef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left="12"/>
              <w:spacing w:after="0" w:line="131" w:lineRule="exact"/>
              <w:rPr>
                <w:sz w:val="20"/>
                <w:szCs w:val="20"/>
                <w:color w:val="auto"/>
              </w:rPr>
            </w:pPr>
            <w:r>
              <w:rPr>
                <w:rFonts w:ascii="Arial" w:cs="Arial" w:eastAsia="Arial" w:hAnsi="Arial"/>
                <w:sz w:val="13"/>
                <w:szCs w:val="13"/>
                <w:b w:val="1"/>
                <w:bCs w:val="1"/>
                <w:color w:val="auto"/>
                <w:w w:val="91"/>
              </w:rPr>
              <w:t>Involuntary</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2"/>
                <w:szCs w:val="12"/>
                <w:color w:val="auto"/>
              </w:rPr>
            </w:pPr>
          </w:p>
        </w:tc>
        <w:tc>
          <w:tcPr>
            <w:tcW w:w="2760" w:type="dxa"/>
            <w:vAlign w:val="bottom"/>
            <w:vMerge w:val="restart"/>
          </w:tcPr>
          <w:p>
            <w:pPr>
              <w:ind w:left="1380"/>
              <w:spacing w:after="0"/>
              <w:rPr>
                <w:sz w:val="20"/>
                <w:szCs w:val="20"/>
                <w:color w:val="auto"/>
              </w:rPr>
            </w:pPr>
            <w:r>
              <w:rPr>
                <w:rFonts w:ascii="Arial" w:cs="Arial" w:eastAsia="Arial" w:hAnsi="Arial"/>
                <w:sz w:val="13"/>
                <w:szCs w:val="13"/>
                <w:b w:val="1"/>
                <w:bCs w:val="1"/>
                <w:color w:val="auto"/>
              </w:rPr>
              <w:t>Benefit or Payment</w:t>
            </w:r>
            <w:r>
              <w:rPr>
                <w:rFonts w:ascii="Arial" w:cs="Arial" w:eastAsia="Arial" w:hAnsi="Arial"/>
                <w:sz w:val="10"/>
                <w:szCs w:val="10"/>
                <w:b w:val="1"/>
                <w:bCs w:val="1"/>
                <w:color w:val="auto"/>
              </w:rPr>
              <w:t>(1)</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jc w:val="center"/>
              <w:ind w:left="12"/>
              <w:spacing w:after="0"/>
              <w:rPr>
                <w:sz w:val="20"/>
                <w:szCs w:val="20"/>
                <w:color w:val="auto"/>
              </w:rPr>
            </w:pPr>
            <w:r>
              <w:rPr>
                <w:rFonts w:ascii="Arial" w:cs="Arial" w:eastAsia="Arial" w:hAnsi="Arial"/>
                <w:sz w:val="13"/>
                <w:szCs w:val="13"/>
                <w:b w:val="1"/>
                <w:bCs w:val="1"/>
                <w:color w:val="auto"/>
                <w:w w:val="88"/>
              </w:rPr>
              <w:t>Not-For-Cause</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209"/>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60"/>
        </w:trPr>
        <w:tc>
          <w:tcPr>
            <w:tcW w:w="1680" w:type="dxa"/>
            <w:vAlign w:val="bottom"/>
            <w:tcBorders>
              <w:left w:val="single" w:sz="8" w:color="auto"/>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Retirement</w:t>
            </w:r>
            <w:r>
              <w:rPr>
                <w:rFonts w:ascii="Arial" w:cs="Arial" w:eastAsia="Arial" w:hAnsi="Arial"/>
                <w:sz w:val="10"/>
                <w:szCs w:val="10"/>
                <w:b w:val="1"/>
                <w:bCs w:val="1"/>
                <w:color w:val="auto"/>
              </w:rPr>
              <w:t>(9)</w:t>
            </w:r>
          </w:p>
        </w:tc>
        <w:tc>
          <w:tcPr>
            <w:tcW w:w="1240" w:type="dxa"/>
            <w:vAlign w:val="bottom"/>
            <w:tcBorders>
              <w:bottom w:val="single" w:sz="8" w:color="auto"/>
            </w:tcBorders>
          </w:tcPr>
          <w:p>
            <w:pPr>
              <w:jc w:val="center"/>
              <w:ind w:left="32"/>
              <w:spacing w:after="0"/>
              <w:rPr>
                <w:sz w:val="20"/>
                <w:szCs w:val="20"/>
                <w:color w:val="auto"/>
              </w:rPr>
            </w:pPr>
            <w:r>
              <w:rPr>
                <w:rFonts w:ascii="Arial" w:cs="Arial" w:eastAsia="Arial" w:hAnsi="Arial"/>
                <w:sz w:val="13"/>
                <w:szCs w:val="13"/>
                <w:b w:val="1"/>
                <w:bCs w:val="1"/>
                <w:color w:val="auto"/>
                <w:w w:val="88"/>
              </w:rPr>
              <w:t>Termination</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6"/>
              </w:rPr>
              <w:t>Disability</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Death</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85"/>
              </w:rPr>
              <w:t>of-Control</w:t>
            </w:r>
          </w:p>
        </w:tc>
        <w:tc>
          <w:tcPr>
            <w:tcW w:w="0" w:type="dxa"/>
            <w:vAlign w:val="bottom"/>
          </w:tcPr>
          <w:p>
            <w:pPr>
              <w:spacing w:after="0"/>
              <w:rPr>
                <w:sz w:val="1"/>
                <w:szCs w:val="1"/>
                <w:color w:val="auto"/>
              </w:rPr>
            </w:pPr>
          </w:p>
        </w:tc>
      </w:tr>
      <w:tr>
        <w:trPr>
          <w:trHeight w:val="292"/>
        </w:trPr>
        <w:tc>
          <w:tcPr>
            <w:tcW w:w="1680" w:type="dxa"/>
            <w:vAlign w:val="bottom"/>
            <w:tcBorders>
              <w:left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C. Howard Nye</w:t>
            </w:r>
          </w:p>
        </w:tc>
        <w:tc>
          <w:tcPr>
            <w:tcW w:w="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9"/>
              </w:rPr>
              <w:t>3,951,846</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w w:val="89"/>
              </w:rPr>
              <w:t>4,239,351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4,239,351</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140,427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140,427</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w w:val="93"/>
              </w:rPr>
              <w:t>73,058</w:t>
            </w: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$36,316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73,058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73,058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73,058</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6"/>
              </w:rPr>
              <w:t>1,443,907</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3,038,953</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53,691</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Excise Tax &amp; Gross-up</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9"/>
              </w:rPr>
              <w:t>4,128,544</w:t>
            </w:r>
          </w:p>
        </w:tc>
        <w:tc>
          <w:tcPr>
            <w:tcW w:w="0" w:type="dxa"/>
            <w:vAlign w:val="bottom"/>
          </w:tcPr>
          <w:p>
            <w:pPr>
              <w:spacing w:after="0"/>
              <w:rPr>
                <w:sz w:val="1"/>
                <w:szCs w:val="1"/>
                <w:color w:val="auto"/>
              </w:rPr>
            </w:pPr>
          </w:p>
        </w:tc>
      </w:tr>
      <w:tr>
        <w:trPr>
          <w:trHeight w:val="130"/>
        </w:trPr>
        <w:tc>
          <w:tcPr>
            <w:tcW w:w="16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Anne H. Lloyd</w:t>
            </w:r>
          </w:p>
        </w:tc>
        <w:tc>
          <w:tcPr>
            <w:tcW w:w="80" w:type="dxa"/>
            <w:vAlign w:val="bottom"/>
          </w:tcPr>
          <w:p>
            <w:pPr>
              <w:spacing w:after="0"/>
              <w:rPr>
                <w:sz w:val="11"/>
                <w:szCs w:val="11"/>
                <w:color w:val="auto"/>
              </w:rPr>
            </w:pPr>
          </w:p>
        </w:tc>
        <w:tc>
          <w:tcPr>
            <w:tcW w:w="2760" w:type="dxa"/>
            <w:vAlign w:val="bottom"/>
          </w:tcPr>
          <w:p>
            <w:pPr>
              <w:spacing w:after="0" w:line="130"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30" w:lineRule="exact"/>
              <w:rPr>
                <w:sz w:val="20"/>
                <w:szCs w:val="20"/>
                <w:color w:val="auto"/>
              </w:rPr>
            </w:pPr>
            <w:r>
              <w:rPr>
                <w:rFonts w:ascii="Arial" w:cs="Arial" w:eastAsia="Arial" w:hAnsi="Arial"/>
                <w:sz w:val="14"/>
                <w:szCs w:val="14"/>
                <w:color w:val="auto"/>
                <w:w w:val="89"/>
              </w:rPr>
              <w:t>2,506,647</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w w:val="89"/>
              </w:rPr>
              <w:t>1,955,486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1,955,486</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84,598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84,598</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$38,897</w:t>
            </w:r>
          </w:p>
        </w:tc>
        <w:tc>
          <w:tcPr>
            <w:tcW w:w="12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$20,040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38,897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38,897</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38,897</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529,254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190,068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2,998,118</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Excise Tax &amp; Gross-up</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w w:val="89"/>
              </w:rPr>
              <w:t>2,796,971</w:t>
            </w:r>
          </w:p>
        </w:tc>
        <w:tc>
          <w:tcPr>
            <w:tcW w:w="0" w:type="dxa"/>
            <w:vAlign w:val="bottom"/>
          </w:tcPr>
          <w:p>
            <w:pPr>
              <w:spacing w:after="0"/>
              <w:rPr>
                <w:sz w:val="1"/>
                <w:szCs w:val="1"/>
                <w:color w:val="auto"/>
              </w:rPr>
            </w:pPr>
          </w:p>
        </w:tc>
      </w:tr>
      <w:tr>
        <w:trPr>
          <w:trHeight w:val="130"/>
        </w:trPr>
        <w:tc>
          <w:tcPr>
            <w:tcW w:w="1680" w:type="dxa"/>
            <w:vAlign w:val="bottom"/>
            <w:tcBorders>
              <w:left w:val="single" w:sz="8" w:color="auto"/>
            </w:tcBorders>
            <w:shd w:val="clear" w:color="auto" w:fill="CCEEFF"/>
          </w:tcPr>
          <w:p>
            <w:pPr>
              <w:ind w:left="60"/>
              <w:spacing w:after="0" w:line="130" w:lineRule="exact"/>
              <w:rPr>
                <w:sz w:val="20"/>
                <w:szCs w:val="20"/>
                <w:color w:val="auto"/>
              </w:rPr>
            </w:pPr>
            <w:r>
              <w:rPr>
                <w:rFonts w:ascii="Arial" w:cs="Arial" w:eastAsia="Arial" w:hAnsi="Arial"/>
                <w:sz w:val="14"/>
                <w:szCs w:val="14"/>
                <w:b w:val="1"/>
                <w:bCs w:val="1"/>
                <w:color w:val="auto"/>
              </w:rPr>
              <w:t>Daniel G. Shephard</w:t>
            </w: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30" w:lineRule="exact"/>
              <w:rPr>
                <w:sz w:val="20"/>
                <w:szCs w:val="20"/>
                <w:color w:val="auto"/>
              </w:rPr>
            </w:pPr>
            <w:r>
              <w:rPr>
                <w:rFonts w:ascii="Arial" w:cs="Arial" w:eastAsia="Arial" w:hAnsi="Arial"/>
                <w:sz w:val="14"/>
                <w:szCs w:val="14"/>
                <w:color w:val="auto"/>
                <w:w w:val="89"/>
              </w:rPr>
              <w:t>2,477,835</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w w:val="89"/>
              </w:rPr>
              <w:t>1,944,510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1,944,510</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84,598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84,598</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$68,365</w:t>
            </w:r>
          </w:p>
        </w:tc>
        <w:tc>
          <w:tcPr>
            <w:tcW w:w="12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$34,125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68,365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68,365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68,365</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220,828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67,063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9"/>
              </w:rPr>
              <w:t>4,109,728</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53,691</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49,332</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Excise Tax &amp; Gross-up</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9"/>
              </w:rPr>
              <w:t>3,569,815</w:t>
            </w:r>
          </w:p>
        </w:tc>
        <w:tc>
          <w:tcPr>
            <w:tcW w:w="0" w:type="dxa"/>
            <w:vAlign w:val="bottom"/>
          </w:tcPr>
          <w:p>
            <w:pPr>
              <w:spacing w:after="0"/>
              <w:rPr>
                <w:sz w:val="1"/>
                <w:szCs w:val="1"/>
                <w:color w:val="auto"/>
              </w:rPr>
            </w:pPr>
          </w:p>
        </w:tc>
      </w:tr>
      <w:tr>
        <w:trPr>
          <w:trHeight w:val="130"/>
        </w:trPr>
        <w:tc>
          <w:tcPr>
            <w:tcW w:w="168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Bruce A. Vaio</w:t>
            </w:r>
          </w:p>
        </w:tc>
        <w:tc>
          <w:tcPr>
            <w:tcW w:w="80" w:type="dxa"/>
            <w:vAlign w:val="bottom"/>
          </w:tcPr>
          <w:p>
            <w:pPr>
              <w:spacing w:after="0"/>
              <w:rPr>
                <w:sz w:val="11"/>
                <w:szCs w:val="11"/>
                <w:color w:val="auto"/>
              </w:rPr>
            </w:pPr>
          </w:p>
        </w:tc>
        <w:tc>
          <w:tcPr>
            <w:tcW w:w="2760" w:type="dxa"/>
            <w:vAlign w:val="bottom"/>
          </w:tcPr>
          <w:p>
            <w:pPr>
              <w:spacing w:after="0" w:line="130" w:lineRule="exact"/>
              <w:rPr>
                <w:sz w:val="20"/>
                <w:szCs w:val="20"/>
                <w:color w:val="auto"/>
              </w:rPr>
            </w:pPr>
            <w:r>
              <w:rPr>
                <w:rFonts w:ascii="Arial" w:cs="Arial" w:eastAsia="Arial" w:hAnsi="Arial"/>
                <w:sz w:val="14"/>
                <w:szCs w:val="14"/>
                <w:color w:val="auto"/>
              </w:rPr>
              <w:t>Cash Severance</w:t>
            </w:r>
            <w:r>
              <w:rPr>
                <w:rFonts w:ascii="Arial" w:cs="Arial" w:eastAsia="Arial" w:hAnsi="Arial"/>
                <w:sz w:val="12"/>
                <w:szCs w:val="12"/>
                <w:color w:val="auto"/>
              </w:rPr>
              <w:t>(2)</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30" w:lineRule="exact"/>
              <w:rPr>
                <w:sz w:val="20"/>
                <w:szCs w:val="20"/>
                <w:color w:val="auto"/>
              </w:rPr>
            </w:pPr>
            <w:r>
              <w:rPr>
                <w:rFonts w:ascii="Arial" w:cs="Arial" w:eastAsia="Arial" w:hAnsi="Arial"/>
                <w:sz w:val="14"/>
                <w:szCs w:val="14"/>
                <w:color w:val="auto"/>
                <w:w w:val="89"/>
              </w:rPr>
              <w:t>2,423,310</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12"/>
                <w:szCs w:val="12"/>
                <w:color w:val="auto"/>
              </w:rPr>
              <w:t>(3)</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w w:val="89"/>
              </w:rPr>
              <w:t>1,944,510</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1,944,510</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12"/>
                <w:szCs w:val="12"/>
                <w:color w:val="auto"/>
              </w:rPr>
              <w:t>(4)</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84,598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84,598</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12"/>
                <w:szCs w:val="12"/>
                <w:color w:val="auto"/>
              </w:rPr>
              <w:t>(5)</w:t>
            </w: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$69,832</w:t>
            </w:r>
          </w:p>
        </w:tc>
        <w:tc>
          <w:tcPr>
            <w:tcW w:w="12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$33,199</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69,832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69,832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69,832</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Retirement Plans</w:t>
            </w:r>
            <w:r>
              <w:rPr>
                <w:rFonts w:ascii="Arial" w:cs="Arial" w:eastAsia="Arial" w:hAnsi="Arial"/>
                <w:sz w:val="12"/>
                <w:szCs w:val="12"/>
                <w:color w:val="auto"/>
              </w:rPr>
              <w:t>(6)</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489,954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104,418</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9"/>
              </w:rPr>
              <w:t>3,154,742</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12"/>
                <w:szCs w:val="12"/>
                <w:color w:val="auto"/>
              </w:rPr>
              <w:t>(7)</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53,691</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12"/>
                <w:szCs w:val="12"/>
                <w:color w:val="auto"/>
              </w:rPr>
              <w:t>(8)</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51,252</w:t>
            </w:r>
          </w:p>
        </w:tc>
        <w:tc>
          <w:tcPr>
            <w:tcW w:w="0" w:type="dxa"/>
            <w:vAlign w:val="bottom"/>
          </w:tcPr>
          <w:p>
            <w:pPr>
              <w:spacing w:after="0"/>
              <w:rPr>
                <w:sz w:val="1"/>
                <w:szCs w:val="1"/>
                <w:color w:val="auto"/>
              </w:rPr>
            </w:pPr>
          </w:p>
        </w:tc>
      </w:tr>
      <w:tr>
        <w:trPr>
          <w:trHeight w:val="167"/>
        </w:trPr>
        <w:tc>
          <w:tcPr>
            <w:tcW w:w="1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Excise Tax &amp; Gross-up</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89"/>
              </w:rPr>
              <w:t>2,238,864</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1102995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20" w:right="140" w:hanging="242"/>
        <w:spacing w:after="0" w:line="253"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spacing w:after="0" w:line="11" w:lineRule="exact"/>
        <w:rPr>
          <w:rFonts w:ascii="Arial" w:cs="Arial" w:eastAsia="Arial" w:hAnsi="Arial"/>
          <w:sz w:val="14"/>
          <w:szCs w:val="14"/>
          <w:color w:val="auto"/>
        </w:rPr>
      </w:pPr>
    </w:p>
    <w:p>
      <w:pPr>
        <w:ind w:left="1220" w:hanging="242"/>
        <w:spacing w:after="0"/>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w:t>
      </w:r>
    </w:p>
    <w:p>
      <w:pPr>
        <w:spacing w:after="0" w:line="41" w:lineRule="exact"/>
        <w:rPr>
          <w:rFonts w:ascii="Arial" w:cs="Arial" w:eastAsia="Arial" w:hAnsi="Arial"/>
          <w:sz w:val="14"/>
          <w:szCs w:val="14"/>
          <w:color w:val="auto"/>
        </w:rPr>
      </w:pPr>
    </w:p>
    <w:p>
      <w:pPr>
        <w:ind w:left="1220" w:hanging="242"/>
        <w:spacing w:after="0"/>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spacing w:after="0" w:line="41" w:lineRule="exact"/>
        <w:rPr>
          <w:rFonts w:ascii="Arial" w:cs="Arial" w:eastAsia="Arial" w:hAnsi="Arial"/>
          <w:sz w:val="14"/>
          <w:szCs w:val="14"/>
          <w:color w:val="auto"/>
        </w:rPr>
      </w:pPr>
    </w:p>
    <w:p>
      <w:pPr>
        <w:ind w:left="1220" w:right="60" w:hanging="242"/>
        <w:spacing w:after="0" w:line="253"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difference between the value of the unvested Incentive Stock Plan share units at year-end and the amount of cash invested by the executive officer in the share units.</w:t>
      </w:r>
    </w:p>
    <w:p>
      <w:pPr>
        <w:spacing w:after="0" w:line="11" w:lineRule="exact"/>
        <w:rPr>
          <w:rFonts w:ascii="Arial" w:cs="Arial" w:eastAsia="Arial" w:hAnsi="Arial"/>
          <w:sz w:val="14"/>
          <w:szCs w:val="14"/>
          <w:color w:val="auto"/>
        </w:rPr>
      </w:pPr>
    </w:p>
    <w:p>
      <w:pPr>
        <w:ind w:left="1220" w:right="20" w:hanging="242"/>
        <w:spacing w:after="0" w:line="231"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incremental value of the benefit (including three times the Corporation’s match to the defined contribution plan)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48, or (ii) the Incentive Stock Plan, which is disclosed in the Outstanding Equity Awards at Fiscal Year-End Table on page 46.</w:t>
      </w:r>
    </w:p>
    <w:p>
      <w:pPr>
        <w:spacing w:after="0" w:line="22" w:lineRule="exact"/>
        <w:rPr>
          <w:rFonts w:ascii="Arial" w:cs="Arial" w:eastAsia="Arial" w:hAnsi="Arial"/>
          <w:sz w:val="14"/>
          <w:szCs w:val="14"/>
          <w:color w:val="auto"/>
        </w:rPr>
      </w:pPr>
    </w:p>
    <w:p>
      <w:pPr>
        <w:ind w:left="1220" w:right="280" w:hanging="242"/>
        <w:spacing w:after="0" w:line="253"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the Corporation’s health and welfare plans, including long-term disability and life insurance.</w:t>
      </w:r>
    </w:p>
    <w:p>
      <w:pPr>
        <w:spacing w:after="0" w:line="11" w:lineRule="exact"/>
        <w:rPr>
          <w:rFonts w:ascii="Arial" w:cs="Arial" w:eastAsia="Arial" w:hAnsi="Arial"/>
          <w:sz w:val="14"/>
          <w:szCs w:val="14"/>
          <w:color w:val="auto"/>
        </w:rPr>
      </w:pPr>
    </w:p>
    <w:p>
      <w:pPr>
        <w:ind w:left="1220" w:right="220" w:hanging="242"/>
        <w:spacing w:after="0" w:line="253"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11" w:lineRule="exact"/>
        <w:rPr>
          <w:rFonts w:ascii="Arial" w:cs="Arial" w:eastAsia="Arial" w:hAnsi="Arial"/>
          <w:sz w:val="14"/>
          <w:szCs w:val="14"/>
          <w:color w:val="auto"/>
        </w:rPr>
      </w:pPr>
    </w:p>
    <w:p>
      <w:pPr>
        <w:ind w:left="1220" w:right="180" w:hanging="242"/>
        <w:spacing w:after="0" w:line="231" w:lineRule="auto"/>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Zelnak retired with an unreduced benefit on May 27, 2010 and became entitled to (a) a lump sum payment of $10,981,289, which represented the value of his SERP benefit and was paid on December 1, 2010 in accordance with Section 409A of the IRS Code, and (b) monthly payments of $7,714 from the qualified retirement plan, which commenced on June 15, 2010. In addition, Mr. Zelnak will continue to vest in all of his outstanding restricted stock units and in-the-money stock options in accordance with the terms of the agreements relating to such awards, the aggregate value of which was $7,527,851 as of February 15, 2011. Messrs. Nye, Shephard and Vaio and Ms. Lloyd were not eligible to retire on December 31, 2010.</w:t>
      </w:r>
    </w:p>
    <w:p>
      <w:pPr>
        <w:spacing w:after="0" w:line="30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PROPOSAL 3</w:t>
      </w:r>
    </w:p>
    <w:p>
      <w:pPr>
        <w:spacing w:after="0" w:line="21"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ADVISORY VOTE ON THE</w:t>
      </w:r>
    </w:p>
    <w:p>
      <w:pPr>
        <w:jc w:val="center"/>
        <w:ind w:left="680"/>
        <w:spacing w:after="0"/>
        <w:rPr>
          <w:sz w:val="20"/>
          <w:szCs w:val="20"/>
          <w:color w:val="auto"/>
        </w:rPr>
      </w:pPr>
      <w:r>
        <w:rPr>
          <w:rFonts w:ascii="Arial" w:cs="Arial" w:eastAsia="Arial" w:hAnsi="Arial"/>
          <w:sz w:val="20"/>
          <w:szCs w:val="20"/>
          <w:b w:val="1"/>
          <w:bCs w:val="1"/>
          <w:color w:val="auto"/>
        </w:rPr>
        <w:t>COMPENSATION OF OUR</w:t>
      </w:r>
    </w:p>
    <w:p>
      <w:pPr>
        <w:jc w:val="center"/>
        <w:ind w:left="680"/>
        <w:spacing w:after="0"/>
        <w:rPr>
          <w:sz w:val="20"/>
          <w:szCs w:val="20"/>
          <w:color w:val="auto"/>
        </w:rPr>
      </w:pPr>
      <w:r>
        <w:rPr>
          <w:rFonts w:ascii="Arial" w:cs="Arial" w:eastAsia="Arial" w:hAnsi="Arial"/>
          <w:sz w:val="20"/>
          <w:szCs w:val="20"/>
          <w:b w:val="1"/>
          <w:bCs w:val="1"/>
          <w:color w:val="auto"/>
        </w:rPr>
        <w:t>NAMED EXECUTIVE OFFICERS</w:t>
      </w:r>
    </w:p>
    <w:p>
      <w:pPr>
        <w:jc w:val="center"/>
        <w:ind w:left="680"/>
        <w:spacing w:after="0"/>
        <w:rPr>
          <w:sz w:val="20"/>
          <w:szCs w:val="20"/>
          <w:color w:val="auto"/>
        </w:rPr>
      </w:pPr>
      <w:r>
        <w:rPr>
          <w:rFonts w:ascii="Arial" w:cs="Arial" w:eastAsia="Arial" w:hAnsi="Arial"/>
          <w:sz w:val="20"/>
          <w:szCs w:val="20"/>
          <w:b w:val="1"/>
          <w:bCs w:val="1"/>
          <w:i w:val="1"/>
          <w:iCs w:val="1"/>
          <w:color w:val="auto"/>
        </w:rPr>
        <w:t>(Item 3 on Proxy Card)</w:t>
      </w:r>
    </w:p>
    <w:p>
      <w:pPr>
        <w:spacing w:after="0" w:line="105" w:lineRule="exact"/>
        <w:rPr>
          <w:sz w:val="20"/>
          <w:szCs w:val="20"/>
          <w:color w:val="auto"/>
        </w:rPr>
      </w:pPr>
    </w:p>
    <w:p>
      <w:pPr>
        <w:ind w:left="980" w:right="20" w:firstLine="609"/>
        <w:spacing w:after="0" w:line="250" w:lineRule="auto"/>
        <w:rPr>
          <w:sz w:val="20"/>
          <w:szCs w:val="20"/>
          <w:color w:val="auto"/>
        </w:rPr>
      </w:pPr>
      <w:r>
        <w:rPr>
          <w:rFonts w:ascii="Arial" w:cs="Arial" w:eastAsia="Arial" w:hAnsi="Arial"/>
          <w:sz w:val="20"/>
          <w:szCs w:val="20"/>
          <w:color w:val="auto"/>
        </w:rPr>
        <w:t>Recently enacted legislation requires that public companies provide their shareholders with an opportunity to endorse or not endorse our executive officer pay program and policies (commonly known as the “Say-On-Pay” proposal) through the following non-binding resolution:</w:t>
      </w:r>
    </w:p>
    <w:p>
      <w:pPr>
        <w:spacing w:after="0" w:line="92" w:lineRule="exact"/>
        <w:rPr>
          <w:sz w:val="20"/>
          <w:szCs w:val="20"/>
          <w:color w:val="auto"/>
        </w:rPr>
      </w:pPr>
    </w:p>
    <w:p>
      <w:pPr>
        <w:ind w:left="1380" w:firstLine="390"/>
        <w:spacing w:after="0" w:line="246" w:lineRule="auto"/>
        <w:rPr>
          <w:sz w:val="20"/>
          <w:szCs w:val="20"/>
          <w:color w:val="auto"/>
        </w:rPr>
      </w:pPr>
      <w:r>
        <w:rPr>
          <w:rFonts w:ascii="Arial" w:cs="Arial" w:eastAsia="Arial" w:hAnsi="Arial"/>
          <w:sz w:val="20"/>
          <w:szCs w:val="20"/>
          <w:color w:val="auto"/>
        </w:rPr>
        <w:t>“RESOLVED, that the shareholders approve, on an advisory basis, the overall compensation paid to the Corporation’s named executive officers, as disclosed pursuant to Item 402 of Regulation S-K in this Proxy Statement in the Compensation Discussion and Analysis and in the narrative and tabular disclosure under the heading “Executive Compensation.”</w:t>
      </w:r>
    </w:p>
    <w:p>
      <w:pPr>
        <w:spacing w:after="0" w:line="97" w:lineRule="exact"/>
        <w:rPr>
          <w:sz w:val="20"/>
          <w:szCs w:val="20"/>
          <w:color w:val="auto"/>
        </w:rPr>
      </w:pPr>
    </w:p>
    <w:p>
      <w:pPr>
        <w:ind w:left="980" w:right="40" w:firstLine="609"/>
        <w:spacing w:after="0" w:line="257" w:lineRule="auto"/>
        <w:rPr>
          <w:sz w:val="20"/>
          <w:szCs w:val="20"/>
          <w:color w:val="auto"/>
        </w:rPr>
      </w:pPr>
      <w:r>
        <w:rPr>
          <w:rFonts w:ascii="Arial" w:cs="Arial" w:eastAsia="Arial" w:hAnsi="Arial"/>
          <w:sz w:val="19"/>
          <w:szCs w:val="19"/>
          <w:color w:val="auto"/>
        </w:rPr>
        <w:t>Shareholders are urged to read the Compensation Discussion and Analysis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2010 was appropriate and aligned with 2010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189"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THE BOARD UNANIMOUSLY RECOMMENDS</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 xml:space="preserve">A VOTE </w:t>
      </w:r>
      <w:r>
        <w:rPr>
          <w:rFonts w:ascii="Arial" w:cs="Arial" w:eastAsia="Arial" w:hAnsi="Arial"/>
          <w:sz w:val="20"/>
          <w:szCs w:val="20"/>
          <w:b w:val="1"/>
          <w:bCs w:val="1"/>
          <w:i w:val="1"/>
          <w:iCs w:val="1"/>
          <w:u w:val="single" w:color="auto"/>
          <w:color w:val="auto"/>
        </w:rPr>
        <w:t>“FOR”</w:t>
      </w:r>
      <w:r>
        <w:rPr>
          <w:rFonts w:ascii="Arial" w:cs="Arial" w:eastAsia="Arial" w:hAnsi="Arial"/>
          <w:sz w:val="20"/>
          <w:szCs w:val="20"/>
          <w:b w:val="1"/>
          <w:bCs w:val="1"/>
          <w:color w:val="auto"/>
        </w:rPr>
        <w:t xml:space="preserve"> THIS PROPOSAL</w:t>
      </w:r>
    </w:p>
    <w:p>
      <w:pPr>
        <w:spacing w:after="0" w:line="276"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1240155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PROPOSAL 4</w:t>
      </w:r>
    </w:p>
    <w:p>
      <w:pPr>
        <w:spacing w:after="0" w:line="21"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auto"/>
        </w:rPr>
        <w:t>ADVISORY VOTE ON THE</w:t>
      </w:r>
    </w:p>
    <w:p>
      <w:pPr>
        <w:jc w:val="center"/>
        <w:ind w:left="680"/>
        <w:spacing w:after="0"/>
        <w:rPr>
          <w:sz w:val="20"/>
          <w:szCs w:val="20"/>
          <w:color w:val="auto"/>
        </w:rPr>
      </w:pPr>
      <w:r>
        <w:rPr>
          <w:rFonts w:ascii="Arial" w:cs="Arial" w:eastAsia="Arial" w:hAnsi="Arial"/>
          <w:sz w:val="20"/>
          <w:szCs w:val="20"/>
          <w:b w:val="1"/>
          <w:bCs w:val="1"/>
          <w:color w:val="auto"/>
        </w:rPr>
        <w:t>FREQUENCY OF THE EXECUTIVE</w:t>
      </w:r>
    </w:p>
    <w:p>
      <w:pPr>
        <w:jc w:val="center"/>
        <w:ind w:left="680"/>
        <w:spacing w:after="0"/>
        <w:rPr>
          <w:sz w:val="20"/>
          <w:szCs w:val="20"/>
          <w:color w:val="auto"/>
        </w:rPr>
      </w:pPr>
      <w:r>
        <w:rPr>
          <w:rFonts w:ascii="Arial" w:cs="Arial" w:eastAsia="Arial" w:hAnsi="Arial"/>
          <w:sz w:val="20"/>
          <w:szCs w:val="20"/>
          <w:b w:val="1"/>
          <w:bCs w:val="1"/>
          <w:color w:val="auto"/>
        </w:rPr>
        <w:t>COMPENSATION VOTE</w:t>
      </w:r>
    </w:p>
    <w:p>
      <w:pPr>
        <w:jc w:val="center"/>
        <w:ind w:left="680"/>
        <w:spacing w:after="0"/>
        <w:rPr>
          <w:sz w:val="20"/>
          <w:szCs w:val="20"/>
          <w:color w:val="auto"/>
        </w:rPr>
      </w:pPr>
      <w:r>
        <w:rPr>
          <w:rFonts w:ascii="Arial" w:cs="Arial" w:eastAsia="Arial" w:hAnsi="Arial"/>
          <w:sz w:val="20"/>
          <w:szCs w:val="20"/>
          <w:b w:val="1"/>
          <w:bCs w:val="1"/>
          <w:i w:val="1"/>
          <w:iCs w:val="1"/>
          <w:color w:val="auto"/>
        </w:rPr>
        <w:t>(Item 4 on Proxy Card)</w:t>
      </w:r>
    </w:p>
    <w:p>
      <w:pPr>
        <w:spacing w:after="0" w:line="105" w:lineRule="exact"/>
        <w:rPr>
          <w:sz w:val="20"/>
          <w:szCs w:val="20"/>
          <w:color w:val="auto"/>
        </w:rPr>
      </w:pPr>
    </w:p>
    <w:p>
      <w:pPr>
        <w:ind w:left="980" w:firstLine="609"/>
        <w:spacing w:after="0" w:line="243" w:lineRule="auto"/>
        <w:rPr>
          <w:sz w:val="20"/>
          <w:szCs w:val="20"/>
          <w:color w:val="auto"/>
        </w:rPr>
      </w:pPr>
      <w:r>
        <w:rPr>
          <w:rFonts w:ascii="Arial" w:cs="Arial" w:eastAsia="Arial" w:hAnsi="Arial"/>
          <w:sz w:val="20"/>
          <w:szCs w:val="20"/>
          <w:color w:val="auto"/>
        </w:rPr>
        <w:t>This proposal gives shareholders the opportunity to vote, on an advisory basis, on the frequency with which the Corporation should include in its annual meeting proxy statement an advisory vote, similar to the Say-On-Pay advisory vote in Proposal 3 above, to approve or not approve the compensation of the named executive officers. By voting on this proposal, shareholders may indicate whether they prefer that the Corporation seek such an advisory vote every one, two, or three years. Under recently enacted legislation, we are required to include this advisory shareholder vote this year and at least once every six years.</w:t>
      </w:r>
    </w:p>
    <w:p>
      <w:pPr>
        <w:spacing w:after="0" w:line="102" w:lineRule="exact"/>
        <w:rPr>
          <w:sz w:val="20"/>
          <w:szCs w:val="20"/>
          <w:color w:val="auto"/>
        </w:rPr>
      </w:pPr>
    </w:p>
    <w:p>
      <w:pPr>
        <w:ind w:left="980" w:right="100" w:firstLine="609"/>
        <w:spacing w:after="0" w:line="250" w:lineRule="auto"/>
        <w:rPr>
          <w:sz w:val="20"/>
          <w:szCs w:val="20"/>
          <w:color w:val="auto"/>
        </w:rPr>
      </w:pPr>
      <w:r>
        <w:rPr>
          <w:rFonts w:ascii="Arial" w:cs="Arial" w:eastAsia="Arial" w:hAnsi="Arial"/>
          <w:sz w:val="20"/>
          <w:szCs w:val="20"/>
          <w:color w:val="auto"/>
        </w:rPr>
        <w:t>The enclosed proxy card gives you four choices for voting on this item. You can choose whether the Say-On-Pay advisory vote should be conducted every year, every 2 years, or every 3 years. You may also abstain from voting. You are not voting to approve or disapprove the Board’s recommendation on this item.</w:t>
      </w:r>
    </w:p>
    <w:p>
      <w:pPr>
        <w:spacing w:after="0" w:line="92" w:lineRule="exact"/>
        <w:rPr>
          <w:sz w:val="20"/>
          <w:szCs w:val="20"/>
          <w:color w:val="auto"/>
        </w:rPr>
      </w:pPr>
    </w:p>
    <w:p>
      <w:pPr>
        <w:ind w:left="980" w:right="280" w:firstLine="609"/>
        <w:spacing w:after="0" w:line="250" w:lineRule="auto"/>
        <w:rPr>
          <w:sz w:val="20"/>
          <w:szCs w:val="20"/>
          <w:color w:val="auto"/>
        </w:rPr>
      </w:pPr>
      <w:r>
        <w:rPr>
          <w:rFonts w:ascii="Arial" w:cs="Arial" w:eastAsia="Arial" w:hAnsi="Arial"/>
          <w:sz w:val="20"/>
          <w:szCs w:val="20"/>
          <w:color w:val="auto"/>
        </w:rPr>
        <w:t>The Board of Directors recommends that shareholders vote in favor of conducting the Say-On-Pay vote every three years. The Board has determined that this would best serve shareholders and is the best approach based on a number of considerations, including, among other things, the following:</w:t>
      </w:r>
    </w:p>
    <w:p>
      <w:pPr>
        <w:spacing w:after="0" w:line="92" w:lineRule="exact"/>
        <w:rPr>
          <w:sz w:val="20"/>
          <w:szCs w:val="20"/>
          <w:color w:val="auto"/>
        </w:rPr>
      </w:pPr>
    </w:p>
    <w:p>
      <w:pPr>
        <w:ind w:left="1800" w:right="80" w:hanging="208"/>
        <w:spacing w:after="0" w:line="246" w:lineRule="auto"/>
        <w:tabs>
          <w:tab w:leader="none" w:pos="18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compensation program is designed to support long-term value creation and ties a substantial portion of the compensation provided to our named executive officers to awards with multi-year performance and service periods that have a minimum of three years. A triennial vote would allow our executive compensation programs to be evaluated by shareholders over a similar time-frame.</w:t>
      </w:r>
    </w:p>
    <w:p>
      <w:pPr>
        <w:spacing w:after="0" w:line="83" w:lineRule="exact"/>
        <w:rPr>
          <w:rFonts w:ascii="Arial" w:cs="Arial" w:eastAsia="Arial" w:hAnsi="Arial"/>
          <w:sz w:val="20"/>
          <w:szCs w:val="20"/>
          <w:color w:val="auto"/>
        </w:rPr>
      </w:pPr>
    </w:p>
    <w:p>
      <w:pPr>
        <w:ind w:left="1800" w:right="140" w:hanging="208"/>
        <w:spacing w:after="0" w:line="260" w:lineRule="auto"/>
        <w:tabs>
          <w:tab w:leader="none" w:pos="18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triennial vote would provide our Board with the time to review and respond to shareholders’ views on executive compensation and implement appropriate changes.</w:t>
      </w:r>
    </w:p>
    <w:p>
      <w:pPr>
        <w:spacing w:after="0" w:line="82" w:lineRule="exact"/>
        <w:rPr>
          <w:sz w:val="20"/>
          <w:szCs w:val="20"/>
          <w:color w:val="auto"/>
        </w:rPr>
      </w:pPr>
    </w:p>
    <w:p>
      <w:pPr>
        <w:ind w:left="980" w:right="100" w:firstLine="609"/>
        <w:spacing w:after="0" w:line="291" w:lineRule="auto"/>
        <w:rPr>
          <w:sz w:val="20"/>
          <w:szCs w:val="20"/>
          <w:color w:val="auto"/>
        </w:rPr>
      </w:pPr>
      <w:r>
        <w:rPr>
          <w:rFonts w:ascii="Arial" w:cs="Arial" w:eastAsia="Arial" w:hAnsi="Arial"/>
          <w:sz w:val="18"/>
          <w:szCs w:val="18"/>
          <w:color w:val="auto"/>
        </w:rPr>
        <w:t>The results of the vote on this resolution are advisory and will not be binding upon the Board of Directions. However, the Board values our shareholders’ opinions, and consistent with our record of shareholder engagement, will consider the outcome of the vote in making a determination concerning the frequency of advisory votes on executive compensation.</w:t>
      </w:r>
    </w:p>
    <w:p>
      <w:pPr>
        <w:spacing w:after="0" w:line="159" w:lineRule="exact"/>
        <w:rPr>
          <w:sz w:val="20"/>
          <w:szCs w:val="20"/>
          <w:color w:val="auto"/>
        </w:rPr>
      </w:pPr>
    </w:p>
    <w:p>
      <w:pPr>
        <w:jc w:val="center"/>
        <w:ind w:left="1320" w:right="1640"/>
        <w:spacing w:after="0" w:line="273" w:lineRule="auto"/>
        <w:rPr>
          <w:sz w:val="20"/>
          <w:szCs w:val="20"/>
          <w:color w:val="auto"/>
        </w:rPr>
      </w:pPr>
      <w:r>
        <w:rPr>
          <w:rFonts w:ascii="Arial" w:cs="Arial" w:eastAsia="Arial" w:hAnsi="Arial"/>
          <w:sz w:val="19"/>
          <w:szCs w:val="19"/>
          <w:b w:val="1"/>
          <w:bCs w:val="1"/>
          <w:color w:val="auto"/>
        </w:rPr>
        <w:t xml:space="preserve">THE BOARD UNANIMOUSLY RECOMMENDS SHAREHOLDERS SELECT </w:t>
      </w:r>
      <w:r>
        <w:rPr>
          <w:rFonts w:ascii="Arial" w:cs="Arial" w:eastAsia="Arial" w:hAnsi="Arial"/>
          <w:sz w:val="19"/>
          <w:szCs w:val="19"/>
          <w:b w:val="1"/>
          <w:bCs w:val="1"/>
          <w:u w:val="single" w:color="auto"/>
          <w:color w:val="auto"/>
        </w:rPr>
        <w:t>3</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u w:val="single" w:color="auto"/>
          <w:color w:val="auto"/>
        </w:rPr>
        <w:t>YEARS</w:t>
      </w:r>
      <w:r>
        <w:rPr>
          <w:rFonts w:ascii="Arial" w:cs="Arial" w:eastAsia="Arial" w:hAnsi="Arial"/>
          <w:sz w:val="19"/>
          <w:szCs w:val="19"/>
          <w:b w:val="1"/>
          <w:bCs w:val="1"/>
          <w:color w:val="auto"/>
        </w:rPr>
        <w:t xml:space="preserve"> ON THE PROPOSAL RECOMMENDING THE FREQUENCY OF ADVISORY VOTES ON EXECUTIVE COMPENSATION</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Securities Authorized for Issuance Under Equity Compensation Plans</w:t>
      </w:r>
    </w:p>
    <w:p>
      <w:pPr>
        <w:spacing w:after="0" w:line="121" w:lineRule="exact"/>
        <w:rPr>
          <w:sz w:val="20"/>
          <w:szCs w:val="20"/>
          <w:color w:val="auto"/>
        </w:rPr>
      </w:pPr>
    </w:p>
    <w:p>
      <w:pPr>
        <w:ind w:left="980" w:right="100" w:firstLine="609"/>
        <w:spacing w:after="0" w:line="272" w:lineRule="auto"/>
        <w:rPr>
          <w:sz w:val="20"/>
          <w:szCs w:val="20"/>
          <w:color w:val="auto"/>
        </w:rPr>
      </w:pPr>
      <w:r>
        <w:rPr>
          <w:rFonts w:ascii="Arial" w:cs="Arial" w:eastAsia="Arial" w:hAnsi="Arial"/>
          <w:sz w:val="18"/>
          <w:szCs w:val="18"/>
          <w:color w:val="auto"/>
        </w:rPr>
        <w:t>The following table shows information as of December 31, 2010 regarding the Corporation’s compensation plans that allow the Corporation to issue its equity securities. The Corporation’s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Incentive Stock Plan (the “Incentive Stock Plan”) was adopted, the Martin Marietta Materials, Inc. Amended Omnibus Securities Award Plan (the “Omnibus Securities Award Plan”), and the Martin Marietta Materials, Inc. Shareholder Value Achievement Plan (the “Achievement Plan”). The Corporation’s shareholders have approved all of these plans. The Corporation has not entered into any individual compensation arrangements that would allow it to issue its equity securities to employees or non-employees in exchange for goods or services.</w:t>
      </w:r>
    </w:p>
    <w:p>
      <w:pPr>
        <w:spacing w:after="0" w:line="18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845820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8" w:lineRule="exact"/>
        <w:rPr>
          <w:sz w:val="20"/>
          <w:szCs w:val="20"/>
          <w:color w:val="auto"/>
        </w:rPr>
      </w:pPr>
    </w:p>
    <w:tbl>
      <w:tblPr>
        <w:tblLayout w:type="fixed"/>
        <w:tblInd w:w="970" w:type="dxa"/>
        <w:tblCellMar>
          <w:top w:w="0" w:type="dxa"/>
          <w:left w:w="0" w:type="dxa"/>
          <w:bottom w:w="0" w:type="dxa"/>
          <w:right w:w="0" w:type="dxa"/>
        </w:tblCellMar>
      </w:tblPr>
      <w:tr>
        <w:trPr>
          <w:trHeight w:val="139"/>
        </w:trPr>
        <w:tc>
          <w:tcPr>
            <w:tcW w:w="3280" w:type="dxa"/>
            <w:vAlign w:val="bottom"/>
            <w:tcBorders>
              <w:top w:val="single" w:sz="8" w:color="auto"/>
              <w:left w:val="single" w:sz="8" w:color="auto"/>
            </w:tcBorders>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Number of Securities to be</w:t>
            </w: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Weighted-Average Exercise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tcBorders>
          </w:tcPr>
          <w:p>
            <w:pPr>
              <w:spacing w:after="0"/>
              <w:rPr>
                <w:sz w:val="12"/>
                <w:szCs w:val="12"/>
                <w:color w:val="auto"/>
              </w:rPr>
            </w:pPr>
          </w:p>
        </w:tc>
        <w:tc>
          <w:tcPr>
            <w:tcW w:w="2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52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62"/>
        </w:trPr>
        <w:tc>
          <w:tcPr>
            <w:tcW w:w="328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Plan Category</w:t>
            </w:r>
          </w:p>
        </w:tc>
        <w:tc>
          <w:tcPr>
            <w:tcW w:w="2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Outstanding</w:t>
            </w:r>
          </w:p>
        </w:tc>
        <w:tc>
          <w:tcPr>
            <w:tcW w:w="2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Price of Outstanding 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71"/>
        </w:trPr>
        <w:tc>
          <w:tcPr>
            <w:tcW w:w="3280" w:type="dxa"/>
            <w:vAlign w:val="bottom"/>
            <w:tcBorders>
              <w:left w:val="single" w:sz="8" w:color="auto"/>
            </w:tcBorders>
            <w:vMerge w:val="continue"/>
          </w:tcPr>
          <w:p>
            <w:pPr>
              <w:spacing w:after="0"/>
              <w:rPr>
                <w:sz w:val="14"/>
                <w:szCs w:val="14"/>
                <w:color w:val="auto"/>
              </w:rPr>
            </w:pPr>
          </w:p>
        </w:tc>
        <w:tc>
          <w:tcPr>
            <w:tcW w:w="2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Options, Warrants, and Rights</w:t>
            </w: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 and Rights</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w:t>
            </w:r>
            <w:r>
              <w:rPr>
                <w:rFonts w:ascii="Arial" w:cs="Arial" w:eastAsia="Arial" w:hAnsi="Arial"/>
                <w:sz w:val="12"/>
                <w:szCs w:val="12"/>
                <w:b w:val="1"/>
                <w:bCs w:val="1"/>
                <w:color w:val="auto"/>
                <w:w w:val="94"/>
              </w:rPr>
              <w:t>(1)</w:t>
            </w:r>
          </w:p>
        </w:tc>
        <w:tc>
          <w:tcPr>
            <w:tcW w:w="420" w:type="dxa"/>
            <w:vAlign w:val="bottom"/>
            <w:tcBorders>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(b)</w:t>
            </w:r>
            <w:r>
              <w:rPr>
                <w:rFonts w:ascii="Arial" w:cs="Arial" w:eastAsia="Arial" w:hAnsi="Arial"/>
                <w:sz w:val="12"/>
                <w:szCs w:val="12"/>
                <w:b w:val="1"/>
                <w:bCs w:val="1"/>
                <w:color w:val="auto"/>
                <w:w w:val="98"/>
              </w:rPr>
              <w:t>(2)</w:t>
            </w:r>
          </w:p>
        </w:tc>
        <w:tc>
          <w:tcPr>
            <w:tcW w:w="400" w:type="dxa"/>
            <w:vAlign w:val="bottom"/>
            <w:tcBorders>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w:t>
            </w:r>
            <w:r>
              <w:rPr>
                <w:rFonts w:ascii="Arial" w:cs="Arial" w:eastAsia="Arial" w:hAnsi="Arial"/>
                <w:sz w:val="12"/>
                <w:szCs w:val="12"/>
                <w:b w:val="1"/>
                <w:bCs w:val="1"/>
                <w:color w:val="auto"/>
                <w:w w:val="94"/>
              </w:rPr>
              <w:t>(3)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280" w:type="dxa"/>
            <w:vAlign w:val="bottom"/>
            <w:tcBorders>
              <w:left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rPr>
              <w:t>Equity compensation plans approved by</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shareholders</w:t>
            </w:r>
          </w:p>
        </w:tc>
        <w:tc>
          <w:tcPr>
            <w:tcW w:w="2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1,562,197</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65.92</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626,631</w:t>
            </w:r>
          </w:p>
        </w:tc>
        <w:tc>
          <w:tcPr>
            <w:tcW w:w="0" w:type="dxa"/>
            <w:vAlign w:val="bottom"/>
          </w:tcPr>
          <w:p>
            <w:pPr>
              <w:spacing w:after="0"/>
              <w:rPr>
                <w:sz w:val="1"/>
                <w:szCs w:val="1"/>
                <w:color w:val="auto"/>
              </w:rPr>
            </w:pPr>
          </w:p>
        </w:tc>
      </w:tr>
      <w:tr>
        <w:trPr>
          <w:trHeight w:val="202"/>
        </w:trPr>
        <w:tc>
          <w:tcPr>
            <w:tcW w:w="3280" w:type="dxa"/>
            <w:vAlign w:val="bottom"/>
          </w:tcPr>
          <w:p>
            <w:pPr>
              <w:ind w:left="20"/>
              <w:spacing w:after="0" w:line="201" w:lineRule="exact"/>
              <w:rPr>
                <w:sz w:val="20"/>
                <w:szCs w:val="20"/>
                <w:color w:val="auto"/>
              </w:rPr>
            </w:pPr>
            <w:r>
              <w:rPr>
                <w:rFonts w:ascii="Arial" w:cs="Arial" w:eastAsia="Arial" w:hAnsi="Arial"/>
                <w:sz w:val="18"/>
                <w:szCs w:val="18"/>
                <w:color w:val="auto"/>
                <w:w w:val="99"/>
              </w:rPr>
              <w:t>Equity compensation plans not approved</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by shareholders</w:t>
            </w:r>
          </w:p>
        </w:tc>
        <w:tc>
          <w:tcPr>
            <w:tcW w:w="2560" w:type="dxa"/>
            <w:vAlign w:val="bottom"/>
            <w:gridSpan w:val="2"/>
          </w:tcPr>
          <w:p>
            <w:pPr>
              <w:jc w:val="right"/>
              <w:ind w:right="420"/>
              <w:spacing w:after="0"/>
              <w:rPr>
                <w:sz w:val="20"/>
                <w:szCs w:val="20"/>
                <w:color w:val="auto"/>
              </w:rPr>
            </w:pPr>
            <w:r>
              <w:rPr>
                <w:rFonts w:ascii="Arial" w:cs="Arial" w:eastAsia="Arial" w:hAnsi="Arial"/>
                <w:sz w:val="18"/>
                <w:szCs w:val="18"/>
                <w:color w:val="auto"/>
              </w:rPr>
              <w:t>None</w:t>
            </w:r>
          </w:p>
        </w:tc>
        <w:tc>
          <w:tcPr>
            <w:tcW w:w="252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28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1,562,197</w:t>
            </w:r>
          </w:p>
        </w:tc>
        <w:tc>
          <w:tcPr>
            <w:tcW w:w="2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65.92</w:t>
            </w:r>
          </w:p>
        </w:tc>
        <w:tc>
          <w:tcPr>
            <w:tcW w:w="1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20" w:right="40" w:hanging="242"/>
        <w:spacing w:after="0" w:line="234" w:lineRule="auto"/>
        <w:tabs>
          <w:tab w:leader="none" w:pos="1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1,143,285 stock options that have a weighted-average exercise price of $88.49; 390,220 restricted stock units that have a $0 exercise price; and 28,692 stock units granted in accordance with the Corporation’s Incentive Stock Plan that are credited to participants at an average weighted cost of $63.40.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spacing w:after="0" w:line="20" w:lineRule="exact"/>
        <w:rPr>
          <w:rFonts w:ascii="Arial" w:cs="Arial" w:eastAsia="Arial" w:hAnsi="Arial"/>
          <w:sz w:val="14"/>
          <w:szCs w:val="14"/>
          <w:color w:val="auto"/>
        </w:rPr>
      </w:pPr>
    </w:p>
    <w:p>
      <w:pPr>
        <w:ind w:left="1220" w:hanging="242"/>
        <w:spacing w:after="0"/>
        <w:tabs>
          <w:tab w:leader="none" w:pos="1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41" w:lineRule="exact"/>
        <w:rPr>
          <w:rFonts w:ascii="Arial" w:cs="Arial" w:eastAsia="Arial" w:hAnsi="Arial"/>
          <w:sz w:val="14"/>
          <w:szCs w:val="14"/>
          <w:color w:val="auto"/>
        </w:rPr>
      </w:pPr>
    </w:p>
    <w:p>
      <w:pPr>
        <w:ind w:left="1220" w:right="140" w:hanging="242"/>
        <w:spacing w:after="0" w:line="231" w:lineRule="auto"/>
        <w:tabs>
          <w:tab w:leader="none" w:pos="1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shares of the Corporation’s common stock available for issuance (other than those reported in column (a)) under the Corporation’s equity compensation plans as of December 31, 2010 in the following amounts: Directors’ Plan (163,499 shares), Stock-Based Award Plan (2,188,828 shares), and Achievement Plan (207,975 shares). The Directors’ Plan provides that nonemployee directors may elect to receive all or a portion of their fees in the form of common stock. Under the Achievement Plant, awards can be granted to key senior employees based on certain common stock performance over a long-term period. No awards have been granted under this plan since 2000.</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Where can I find voting results for the Annual Meeting?</w:t>
      </w:r>
    </w:p>
    <w:p>
      <w:pPr>
        <w:spacing w:after="0" w:line="121" w:lineRule="exact"/>
        <w:rPr>
          <w:sz w:val="20"/>
          <w:szCs w:val="20"/>
          <w:color w:val="auto"/>
        </w:rPr>
      </w:pPr>
    </w:p>
    <w:p>
      <w:pPr>
        <w:ind w:left="980" w:right="300" w:firstLine="609"/>
        <w:spacing w:after="0" w:line="316"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Where can I find out more information about Martin Marietta Materials?</w:t>
      </w:r>
    </w:p>
    <w:p>
      <w:pPr>
        <w:spacing w:after="0" w:line="121" w:lineRule="exact"/>
        <w:rPr>
          <w:sz w:val="20"/>
          <w:szCs w:val="20"/>
          <w:color w:val="auto"/>
        </w:rPr>
      </w:pPr>
    </w:p>
    <w:p>
      <w:pPr>
        <w:ind w:left="980" w:firstLine="609"/>
        <w:spacing w:after="0" w:line="256" w:lineRule="auto"/>
        <w:rPr>
          <w:sz w:val="20"/>
          <w:szCs w:val="20"/>
          <w:color w:val="auto"/>
        </w:rPr>
      </w:pPr>
      <w:r>
        <w:rPr>
          <w:rFonts w:ascii="Arial" w:cs="Arial" w:eastAsia="Arial" w:hAnsi="Arial"/>
          <w:sz w:val="19"/>
          <w:szCs w:val="19"/>
          <w:color w:val="auto"/>
        </w:rPr>
        <w:t xml:space="preserve">The Corporation maintains a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xml:space="preserve"> where you can find additional information about the Corporation. Visitors to the website can view and print copies of the Corporation’s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Arial" w:cs="Arial" w:eastAsia="Arial" w:hAnsi="Arial"/>
          <w:sz w:val="19"/>
          <w:szCs w:val="19"/>
          <w:i w:val="1"/>
          <w:iCs w:val="1"/>
          <w:color w:val="auto"/>
        </w:rPr>
        <w:t>Code of Ethics and Standards of Conduct</w:t>
      </w:r>
      <w:r>
        <w:rPr>
          <w:rFonts w:ascii="Arial" w:cs="Arial" w:eastAsia="Arial" w:hAnsi="Arial"/>
          <w:sz w:val="19"/>
          <w:szCs w:val="19"/>
          <w:color w:val="auto"/>
        </w:rPr>
        <w:t xml:space="preserve"> are all available through the website. Alternatively, </w:t>
      </w:r>
      <w:r>
        <w:rPr>
          <w:rFonts w:ascii="Arial" w:cs="Arial" w:eastAsia="Arial" w:hAnsi="Arial"/>
          <w:sz w:val="19"/>
          <w:szCs w:val="19"/>
          <w:b w:val="1"/>
          <w:bCs w:val="1"/>
          <w:i w:val="1"/>
          <w:iCs w:val="1"/>
          <w:color w:val="auto"/>
        </w:rPr>
        <w:t>our shareholders and other interested parties may obtain, without charge, copies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of all of these documents by writing to the Corporate Secretary, Martin Marietta Materials, Inc., 2710 Wycliff Road, Raleigh, NC 27607</w:t>
      </w:r>
      <w:r>
        <w:rPr>
          <w:rFonts w:ascii="Arial" w:cs="Arial" w:eastAsia="Arial" w:hAnsi="Arial"/>
          <w:sz w:val="19"/>
          <w:szCs w:val="19"/>
          <w:color w:val="auto"/>
        </w:rPr>
        <w:t>. Please note that the information contained on the Corporation’s website is not incorporated by reference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considered to be a part of, this document.</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Who is paying for this proxy statement?</w:t>
      </w:r>
    </w:p>
    <w:p>
      <w:pPr>
        <w:spacing w:after="0" w:line="121" w:lineRule="exact"/>
        <w:rPr>
          <w:sz w:val="20"/>
          <w:szCs w:val="20"/>
          <w:color w:val="auto"/>
        </w:rPr>
      </w:pPr>
    </w:p>
    <w:p>
      <w:pPr>
        <w:ind w:left="980" w:right="20" w:firstLine="609"/>
        <w:spacing w:after="0" w:line="243" w:lineRule="auto"/>
        <w:rPr>
          <w:sz w:val="20"/>
          <w:szCs w:val="20"/>
          <w:color w:val="auto"/>
        </w:rPr>
      </w:pPr>
      <w:r>
        <w:rPr>
          <w:rFonts w:ascii="Arial" w:cs="Arial" w:eastAsia="Arial" w:hAnsi="Arial"/>
          <w:sz w:val="20"/>
          <w:szCs w:val="20"/>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LLC, 470 West Avenue, Stamford, CT 06902, a professional soliciting organization, to assist in obtaining in person</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862965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140"/>
        <w:spacing w:after="0" w:line="342" w:lineRule="auto"/>
        <w:rPr>
          <w:sz w:val="20"/>
          <w:szCs w:val="20"/>
          <w:color w:val="auto"/>
        </w:rPr>
      </w:pPr>
      <w:r>
        <w:rPr>
          <w:rFonts w:ascii="Arial" w:cs="Arial" w:eastAsia="Arial" w:hAnsi="Arial"/>
          <w:sz w:val="16"/>
          <w:szCs w:val="16"/>
          <w:color w:val="auto"/>
        </w:rPr>
        <w:t>or by proxy the largest number of shareholder votes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20"/>
          <w:szCs w:val="20"/>
          <w:b w:val="1"/>
          <w:bCs w:val="1"/>
          <w:i w:val="1"/>
          <w:iCs w:val="1"/>
          <w:color w:val="auto"/>
        </w:rPr>
        <w:t>Will any other matters be presented at the annual meeting?</w:t>
      </w:r>
    </w:p>
    <w:p>
      <w:pPr>
        <w:spacing w:after="0" w:line="121" w:lineRule="exact"/>
        <w:rPr>
          <w:sz w:val="20"/>
          <w:szCs w:val="20"/>
          <w:color w:val="auto"/>
        </w:rPr>
      </w:pPr>
    </w:p>
    <w:p>
      <w:pPr>
        <w:ind w:left="980" w:right="160" w:firstLine="609"/>
        <w:spacing w:after="0" w:line="321"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249"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INCORPORATION BY REFERENCE</w:t>
      </w:r>
    </w:p>
    <w:p>
      <w:pPr>
        <w:spacing w:after="0" w:line="127" w:lineRule="exact"/>
        <w:rPr>
          <w:sz w:val="20"/>
          <w:szCs w:val="20"/>
          <w:color w:val="auto"/>
        </w:rPr>
      </w:pPr>
    </w:p>
    <w:p>
      <w:pPr>
        <w:ind w:left="980" w:right="160" w:firstLine="609"/>
        <w:spacing w:after="0" w:line="321" w:lineRule="auto"/>
        <w:rPr>
          <w:sz w:val="20"/>
          <w:szCs w:val="20"/>
          <w:color w:val="auto"/>
        </w:rPr>
      </w:pPr>
      <w:r>
        <w:rPr>
          <w:rFonts w:ascii="Arial" w:cs="Arial" w:eastAsia="Arial" w:hAnsi="Arial"/>
          <w:sz w:val="16"/>
          <w:szCs w:val="16"/>
          <w:color w:val="auto"/>
        </w:rPr>
        <w:t>The Audit Committee Report beginning on page 25 and the Management Development and Compensation Committee Report beginning on page 41 do not constitute soliciting material and should not be deemed filed or incorporated by reference into any other filing by the Corporation under the Securities Act of 1933 or the Securities Exchange Act of 1934, or subject to Regulation 14A or to the liabilities of Section 18 of the Exchange Act, except to the extent that the Corporation specifically requests that the information be treated as soliciting material or specifically incorporates such information by reference.</w:t>
      </w:r>
    </w:p>
    <w:p>
      <w:pPr>
        <w:spacing w:after="0" w:line="249"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SHAREHOLDERS’ PROPOSALS FOR 2012 ANNUAL MEETING</w:t>
      </w:r>
    </w:p>
    <w:p>
      <w:pPr>
        <w:spacing w:after="0" w:line="127" w:lineRule="exact"/>
        <w:rPr>
          <w:sz w:val="20"/>
          <w:szCs w:val="20"/>
          <w:color w:val="auto"/>
        </w:rPr>
      </w:pPr>
    </w:p>
    <w:p>
      <w:pPr>
        <w:ind w:left="980" w:firstLine="609"/>
        <w:spacing w:after="0" w:line="269" w:lineRule="auto"/>
        <w:rPr>
          <w:sz w:val="20"/>
          <w:szCs w:val="20"/>
          <w:color w:val="auto"/>
        </w:rPr>
      </w:pPr>
      <w:r>
        <w:rPr>
          <w:rFonts w:ascii="Arial" w:cs="Arial" w:eastAsia="Arial" w:hAnsi="Arial"/>
          <w:sz w:val="18"/>
          <w:szCs w:val="18"/>
          <w:color w:val="auto"/>
        </w:rPr>
        <w:t>Proposals by shareholders for nominations for Directors or other matters intended to be presented at the 2012 Annual Meeting of Shareholders of the Corporation must be received by the Secretary of the Corporation no later than December 10, 2011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2012 Annual Meeting of Shareholders, proposals must be received by the Secretary of the Corporation no earlier than January 9, 2012 and no later than February 8, 2012.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399"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MARTIN MARIETTA MATERIALS, INC.</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April 8, 2011</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1034415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218440</wp:posOffset>
            </wp:positionV>
            <wp:extent cx="6950710" cy="7910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4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21"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GUIDELINES FOR POTENTIAL NEW BOARD MEMBERS</w:t>
      </w:r>
    </w:p>
    <w:p>
      <w:pPr>
        <w:spacing w:after="0" w:line="105" w:lineRule="exact"/>
        <w:rPr>
          <w:sz w:val="20"/>
          <w:szCs w:val="20"/>
          <w:color w:val="auto"/>
        </w:rPr>
      </w:pPr>
    </w:p>
    <w:p>
      <w:pPr>
        <w:ind w:left="980" w:firstLine="609"/>
        <w:spacing w:after="0" w:line="272" w:lineRule="auto"/>
        <w:rPr>
          <w:sz w:val="20"/>
          <w:szCs w:val="20"/>
          <w:color w:val="auto"/>
        </w:rPr>
      </w:pPr>
      <w:r>
        <w:rPr>
          <w:rFonts w:ascii="Arial" w:cs="Arial" w:eastAsia="Arial" w:hAnsi="Arial"/>
          <w:sz w:val="18"/>
          <w:szCs w:val="18"/>
          <w:i w:val="1"/>
          <w:iCs w:val="1"/>
          <w:u w:val="single" w:color="auto"/>
          <w:color w:val="auto"/>
        </w:rPr>
        <w:t>Preamble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considerations are one of the tools used to assist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the exercise of its responsibility to evaluate the suitability of new potential candidates for the Board of Directors, consistent with any criteria set out in the Corporation’s Corporate Governance Guidelines</w:t>
      </w:r>
      <w:r>
        <w:rPr>
          <w:rFonts w:ascii="Arial" w:cs="Arial" w:eastAsia="Arial" w:hAnsi="Arial"/>
          <w:sz w:val="18"/>
          <w:szCs w:val="18"/>
          <w:i w:val="1"/>
          <w:iCs w:val="1"/>
          <w:color w:val="auto"/>
        </w:rPr>
        <w:t>. In evaluating a new 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77" w:lineRule="exact"/>
        <w:rPr>
          <w:sz w:val="20"/>
          <w:szCs w:val="20"/>
          <w:color w:val="auto"/>
        </w:rPr>
      </w:pPr>
    </w:p>
    <w:p>
      <w:pPr>
        <w:ind w:left="980" w:right="100" w:firstLine="600"/>
        <w:spacing w:after="0" w:line="260"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Candidates should have a long-term history of the highest integrity and should ascribe fully to the ethics program of the Corporation.</w:t>
      </w:r>
    </w:p>
    <w:p>
      <w:pPr>
        <w:spacing w:after="0" w:line="82" w:lineRule="exact"/>
        <w:rPr>
          <w:rFonts w:ascii="Arial" w:cs="Arial" w:eastAsia="Arial" w:hAnsi="Arial"/>
          <w:sz w:val="20"/>
          <w:szCs w:val="20"/>
          <w:color w:val="auto"/>
        </w:rPr>
      </w:pPr>
    </w:p>
    <w:p>
      <w:pPr>
        <w:ind w:left="980" w:right="240" w:firstLine="600"/>
        <w:spacing w:after="0" w:line="260"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Candidates should be experienced, seasoned and have mature business judgment. It would be desirable of they are still active in their careers.</w:t>
      </w:r>
    </w:p>
    <w:p>
      <w:pPr>
        <w:spacing w:after="0" w:line="82" w:lineRule="exact"/>
        <w:rPr>
          <w:rFonts w:ascii="Arial" w:cs="Arial" w:eastAsia="Arial" w:hAnsi="Arial"/>
          <w:sz w:val="20"/>
          <w:szCs w:val="20"/>
          <w:color w:val="auto"/>
        </w:rPr>
      </w:pPr>
    </w:p>
    <w:p>
      <w:pPr>
        <w:ind w:left="980" w:right="60" w:firstLine="600"/>
        <w:spacing w:after="0" w:line="260"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Consideration should be given to matching the geographic base of the candidate with the geographic coverage of the Corporation.</w:t>
      </w:r>
    </w:p>
    <w:p>
      <w:pPr>
        <w:spacing w:after="0" w:line="82" w:lineRule="exact"/>
        <w:rPr>
          <w:rFonts w:ascii="Arial" w:cs="Arial" w:eastAsia="Arial" w:hAnsi="Arial"/>
          <w:sz w:val="20"/>
          <w:szCs w:val="20"/>
          <w:color w:val="auto"/>
        </w:rPr>
      </w:pPr>
    </w:p>
    <w:p>
      <w:pPr>
        <w:ind w:left="980" w:right="160" w:firstLine="600"/>
        <w:spacing w:after="0" w:line="250"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Consideration should be given to diversity on the Board. Such diversity may include type of experience, education, skill sets, ethnic origin, gender and other items that will enable the Board to have broad knowledge base and diverse viewpoints.</w:t>
      </w:r>
    </w:p>
    <w:p>
      <w:pPr>
        <w:spacing w:after="0" w:line="91" w:lineRule="exact"/>
        <w:rPr>
          <w:rFonts w:ascii="Arial" w:cs="Arial" w:eastAsia="Arial" w:hAnsi="Arial"/>
          <w:sz w:val="20"/>
          <w:szCs w:val="20"/>
          <w:color w:val="auto"/>
        </w:rPr>
      </w:pPr>
    </w:p>
    <w:p>
      <w:pPr>
        <w:ind w:left="980" w:right="260" w:firstLine="600"/>
        <w:spacing w:after="0" w:line="260"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Generally, candidates should not come from firms or companies that are significant sellers or buyers of goods and services to or from the Corporation.</w:t>
      </w:r>
    </w:p>
    <w:p>
      <w:pPr>
        <w:spacing w:after="0" w:line="82" w:lineRule="exact"/>
        <w:rPr>
          <w:rFonts w:ascii="Arial" w:cs="Arial" w:eastAsia="Arial" w:hAnsi="Arial"/>
          <w:sz w:val="20"/>
          <w:szCs w:val="20"/>
          <w:color w:val="auto"/>
        </w:rPr>
      </w:pPr>
    </w:p>
    <w:p>
      <w:pPr>
        <w:ind w:left="980" w:right="60" w:firstLine="600"/>
        <w:spacing w:after="0" w:line="342" w:lineRule="auto"/>
        <w:tabs>
          <w:tab w:leader="none" w:pos="17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w:t>
      </w:r>
    </w:p>
    <w:p>
      <w:pPr>
        <w:spacing w:after="0" w:line="23" w:lineRule="exact"/>
        <w:rPr>
          <w:rFonts w:ascii="Arial" w:cs="Arial" w:eastAsia="Arial" w:hAnsi="Arial"/>
          <w:sz w:val="16"/>
          <w:szCs w:val="16"/>
          <w:color w:val="auto"/>
        </w:rPr>
      </w:pPr>
    </w:p>
    <w:p>
      <w:pPr>
        <w:jc w:val="both"/>
        <w:ind w:left="980" w:right="160" w:firstLine="600"/>
        <w:spacing w:after="0" w:line="246"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96" w:lineRule="exact"/>
        <w:rPr>
          <w:rFonts w:ascii="Arial" w:cs="Arial" w:eastAsia="Arial" w:hAnsi="Arial"/>
          <w:sz w:val="20"/>
          <w:szCs w:val="20"/>
          <w:color w:val="auto"/>
        </w:rPr>
      </w:pPr>
    </w:p>
    <w:p>
      <w:pPr>
        <w:jc w:val="both"/>
        <w:ind w:left="980" w:right="60" w:firstLine="600"/>
        <w:spacing w:after="0" w:line="246" w:lineRule="auto"/>
        <w:tabs>
          <w:tab w:leader="none" w:pos="1787"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96" w:lineRule="exact"/>
        <w:rPr>
          <w:rFonts w:ascii="Arial" w:cs="Arial" w:eastAsia="Arial" w:hAnsi="Arial"/>
          <w:sz w:val="20"/>
          <w:szCs w:val="20"/>
          <w:color w:val="auto"/>
        </w:rPr>
      </w:pPr>
    </w:p>
    <w:p>
      <w:pPr>
        <w:ind w:left="1780" w:hanging="200"/>
        <w:spacing w:after="0"/>
        <w:tabs>
          <w:tab w:leader="none" w:pos="17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Public company experience is highly desirable.</w:t>
      </w:r>
    </w:p>
    <w:p>
      <w:pPr>
        <w:spacing w:after="0" w:line="121" w:lineRule="exact"/>
        <w:rPr>
          <w:rFonts w:ascii="Arial" w:cs="Arial" w:eastAsia="Arial" w:hAnsi="Arial"/>
          <w:sz w:val="20"/>
          <w:szCs w:val="20"/>
          <w:color w:val="auto"/>
        </w:rPr>
      </w:pPr>
    </w:p>
    <w:p>
      <w:pPr>
        <w:ind w:left="980" w:right="400" w:firstLine="600"/>
        <w:spacing w:after="0" w:line="260" w:lineRule="auto"/>
        <w:tabs>
          <w:tab w:leader="none" w:pos="1886"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Candidates from education or nonprofit organizations will be considered where there is a specific priority need identified by the Board and where such a candidate can add value.</w:t>
      </w:r>
    </w:p>
    <w:p>
      <w:pPr>
        <w:spacing w:after="0" w:line="82" w:lineRule="exact"/>
        <w:rPr>
          <w:rFonts w:ascii="Arial" w:cs="Arial" w:eastAsia="Arial" w:hAnsi="Arial"/>
          <w:sz w:val="20"/>
          <w:szCs w:val="20"/>
          <w:color w:val="auto"/>
        </w:rPr>
      </w:pPr>
    </w:p>
    <w:p>
      <w:pPr>
        <w:ind w:left="980" w:firstLine="600"/>
        <w:spacing w:after="0" w:line="260" w:lineRule="auto"/>
        <w:tabs>
          <w:tab w:leader="none" w:pos="18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Board candidates ideally would serve on no more than three for-profit boards inclusive of Martin Marietta Materials to assure adequate time to discharge the duties of a Board member.</w:t>
      </w:r>
    </w:p>
    <w:p>
      <w:pPr>
        <w:sectPr>
          <w:pgSz w:w="11900" w:h="16838" w:orient="portrait"/>
          <w:cols w:equalWidth="0" w:num="1">
            <w:col w:w="11060"/>
          </w:cols>
          <w:pgMar w:left="240" w:top="419"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213995</wp:posOffset>
            </wp:positionV>
            <wp:extent cx="3713480" cy="6261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5"/>
          <w:szCs w:val="15"/>
          <w:color w:val="auto"/>
        </w:rPr>
        <w:t>Martin Marietta Materials, Inc.</w:t>
      </w:r>
    </w:p>
    <w:p>
      <w:pPr>
        <w:spacing w:after="0" w:line="34"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2710 Wycliff Road</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Raleigh, NC 27607</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919-781-4550</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www.martinmarietta.com</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NYSE Stock Symbol: MLM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 FOLD AND DETACH HERE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to be held May 12, 2011</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12, 2011, and at any adjournment thereof.</w:t>
      </w:r>
    </w:p>
    <w:p>
      <w:pPr>
        <w:spacing w:after="0" w:line="53" w:lineRule="exact"/>
        <w:rPr>
          <w:sz w:val="20"/>
          <w:szCs w:val="20"/>
          <w:color w:val="auto"/>
        </w:rPr>
      </w:pPr>
    </w:p>
    <w:p>
      <w:pPr>
        <w:jc w:val="both"/>
        <w:ind w:left="460" w:right="460"/>
        <w:spacing w:after="0" w:line="266" w:lineRule="auto"/>
        <w:rPr>
          <w:sz w:val="20"/>
          <w:szCs w:val="20"/>
          <w:color w:val="auto"/>
        </w:rPr>
      </w:pPr>
      <w:r>
        <w:rPr>
          <w:rFonts w:ascii="Arial" w:cs="Arial" w:eastAsia="Arial" w:hAnsi="Arial"/>
          <w:sz w:val="18"/>
          <w:szCs w:val="18"/>
          <w:b w:val="1"/>
          <w:bCs w:val="1"/>
          <w:color w:val="auto"/>
        </w:rPr>
        <w:t>YOU DO NOT NEED TO MARK ANY BOXES IF YOU WISH TO VOTE IN ACCORDANCE WITH THE BOARD OF DIRECTORS’ RECOMMENDATIONS. PLEASE DATE AND SIGN THE PROXY AND RETURN IT PROMPTLY IN THE ENCLOSED ENVELOPE.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ITEMS 1, 2 AND 3:</w:t>
      </w:r>
    </w:p>
    <w:p>
      <w:pPr>
        <w:spacing w:after="0" w:line="121" w:lineRule="exact"/>
        <w:rPr>
          <w:sz w:val="20"/>
          <w:szCs w:val="20"/>
          <w:color w:val="auto"/>
        </w:rPr>
      </w:pPr>
    </w:p>
    <w:p>
      <w:pPr>
        <w:ind w:left="46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Election of Directors: Nominees are Sue W. Cole, Michael J. Quillen, and Stephen P. Zelnak, Jr., for the terms described in the Martin Marietta Materials, Inc. Proxy Statement dated April 8, 2011.</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206375</wp:posOffset>
            </wp:positionV>
            <wp:extent cx="4707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Withhold Authority</w:t>
      </w:r>
      <w:r>
        <w:rPr>
          <w:rFonts w:ascii="Arial" w:cs="Arial" w:eastAsia="Arial" w:hAnsi="Arial"/>
          <w:sz w:val="18"/>
          <w:szCs w:val="18"/>
          <w:color w:val="auto"/>
        </w:rPr>
        <w:t xml:space="preserve"> to vote for the listed nominees</w:t>
      </w:r>
    </w:p>
    <w:p>
      <w:pPr>
        <w:spacing w:after="0" w:line="22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Ratification of selection of Ernst &amp; Young LLP as independent auditors.</w:t>
      </w:r>
    </w:p>
    <w:p>
      <w:pPr>
        <w:spacing w:after="0" w:line="221" w:lineRule="exact"/>
        <w:rPr>
          <w:sz w:val="20"/>
          <w:szCs w:val="20"/>
          <w:color w:val="auto"/>
        </w:rPr>
      </w:pPr>
    </w:p>
    <w:p>
      <w:pPr>
        <w:ind w:left="1520"/>
        <w:spacing w:after="0"/>
        <w:tabs>
          <w:tab w:leader="none" w:pos="5340" w:val="left"/>
          <w:tab w:leader="none" w:pos="93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color w:val="auto"/>
        </w:rPr>
        <w:t xml:space="preserve">o </w:t>
      </w:r>
      <w:r>
        <w:rPr>
          <w:rFonts w:ascii="Arial" w:cs="Arial" w:eastAsia="Arial" w:hAnsi="Arial"/>
          <w:sz w:val="16"/>
          <w:szCs w:val="16"/>
          <w:b w:val="1"/>
          <w:bCs w:val="1"/>
          <w:color w:val="auto"/>
        </w:rPr>
        <w:t>Abstain</w:t>
      </w:r>
    </w:p>
    <w:p>
      <w:pPr>
        <w:spacing w:after="0" w:line="22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Corporation’s named executive officers.</w:t>
      </w:r>
    </w:p>
    <w:p>
      <w:pPr>
        <w:spacing w:after="0" w:line="221" w:lineRule="exact"/>
        <w:rPr>
          <w:sz w:val="20"/>
          <w:szCs w:val="20"/>
          <w:color w:val="auto"/>
        </w:rPr>
      </w:pPr>
    </w:p>
    <w:p>
      <w:pPr>
        <w:ind w:left="1520"/>
        <w:spacing w:after="0"/>
        <w:tabs>
          <w:tab w:leader="none" w:pos="5340" w:val="left"/>
          <w:tab w:leader="none" w:pos="932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color w:val="auto"/>
        </w:rPr>
        <w:t xml:space="preserve">o </w:t>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color w:val="auto"/>
        </w:rPr>
        <w:t xml:space="preserve">o </w:t>
      </w:r>
      <w:r>
        <w:rPr>
          <w:rFonts w:ascii="Arial" w:cs="Arial" w:eastAsia="Arial" w:hAnsi="Arial"/>
          <w:sz w:val="16"/>
          <w:szCs w:val="16"/>
          <w:b w:val="1"/>
          <w:bCs w:val="1"/>
          <w:color w:val="auto"/>
        </w:rPr>
        <w:t>Abstain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EVERY 3 YEARS:</w:t>
      </w:r>
    </w:p>
    <w:p>
      <w:pPr>
        <w:spacing w:after="0" w:line="12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approve, on an advisory basis, the frequency of the vote on the compensation of the Corporation’s named executive officers.</w:t>
      </w:r>
    </w:p>
    <w:p>
      <w:pPr>
        <w:spacing w:after="0" w:line="221" w:lineRule="exact"/>
        <w:rPr>
          <w:sz w:val="20"/>
          <w:szCs w:val="20"/>
          <w:color w:val="auto"/>
        </w:rPr>
      </w:pPr>
    </w:p>
    <w:p>
      <w:pPr>
        <w:ind w:left="1060"/>
        <w:spacing w:after="0"/>
        <w:tabs>
          <w:tab w:leader="none" w:pos="3740" w:val="left"/>
          <w:tab w:leader="none" w:pos="6460" w:val="left"/>
          <w:tab w:leader="none" w:pos="9360"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Every 3 Years</w:t>
      </w:r>
      <w:r>
        <w:rPr>
          <w:sz w:val="20"/>
          <w:szCs w:val="20"/>
          <w:color w:val="auto"/>
        </w:rPr>
        <w:tab/>
      </w:r>
      <w:r>
        <w:rPr>
          <w:rFonts w:ascii="Arial" w:cs="Arial" w:eastAsia="Arial" w:hAnsi="Arial"/>
          <w:sz w:val="18"/>
          <w:szCs w:val="18"/>
          <w:color w:val="auto"/>
        </w:rPr>
        <w:t xml:space="preserve">o </w:t>
      </w:r>
      <w:r>
        <w:rPr>
          <w:rFonts w:ascii="Arial" w:cs="Arial" w:eastAsia="Arial" w:hAnsi="Arial"/>
          <w:sz w:val="18"/>
          <w:szCs w:val="18"/>
          <w:b w:val="1"/>
          <w:bCs w:val="1"/>
          <w:color w:val="auto"/>
        </w:rPr>
        <w:t>Every 2 Years</w:t>
      </w:r>
      <w:r>
        <w:rPr>
          <w:sz w:val="20"/>
          <w:szCs w:val="20"/>
          <w:color w:val="auto"/>
        </w:rPr>
        <w:tab/>
      </w:r>
      <w:r>
        <w:rPr>
          <w:rFonts w:ascii="Arial" w:cs="Arial" w:eastAsia="Arial" w:hAnsi="Arial"/>
          <w:sz w:val="18"/>
          <w:szCs w:val="18"/>
          <w:color w:val="auto"/>
        </w:rPr>
        <w:t xml:space="preserve">o </w:t>
      </w:r>
      <w:r>
        <w:rPr>
          <w:rFonts w:ascii="Arial" w:cs="Arial" w:eastAsia="Arial" w:hAnsi="Arial"/>
          <w:sz w:val="18"/>
          <w:szCs w:val="18"/>
          <w:b w:val="1"/>
          <w:bCs w:val="1"/>
          <w:color w:val="auto"/>
        </w:rPr>
        <w:t>Every 1 Year</w:t>
      </w:r>
      <w:r>
        <w:rPr>
          <w:sz w:val="20"/>
          <w:szCs w:val="20"/>
          <w:color w:val="auto"/>
        </w:rPr>
        <w:tab/>
      </w:r>
      <w:r>
        <w:rPr>
          <w:rFonts w:ascii="Arial" w:cs="Arial" w:eastAsia="Arial" w:hAnsi="Arial"/>
          <w:sz w:val="16"/>
          <w:szCs w:val="16"/>
          <w:color w:val="auto"/>
        </w:rPr>
        <w:t xml:space="preserve">o </w:t>
      </w:r>
      <w:r>
        <w:rPr>
          <w:rFonts w:ascii="Arial" w:cs="Arial" w:eastAsia="Arial" w:hAnsi="Arial"/>
          <w:sz w:val="16"/>
          <w:szCs w:val="16"/>
          <w:b w:val="1"/>
          <w:bCs w:val="1"/>
          <w:color w:val="auto"/>
        </w:rPr>
        <w:t>Abstain</w:t>
      </w:r>
    </w:p>
    <w:p>
      <w:pPr>
        <w:spacing w:after="0" w:line="22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MARTIN MARIETTA MATERIALS, INC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FOLD AND DETACH HERE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1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Please date and sign exactly as printed below and</w:t>
      </w:r>
    </w:p>
    <w:p>
      <w:pPr>
        <w:spacing w:after="0" w:line="49"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return promptly in the enclosed postage paid</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envelope</w:t>
      </w:r>
    </w:p>
    <w:p>
      <w:pPr>
        <w:spacing w:after="0" w:line="217"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Dated: ___________________________,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275590</wp:posOffset>
            </wp:positionV>
            <wp:extent cx="21697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9100"/>
        <w:spacing w:after="0"/>
        <w:rPr>
          <w:sz w:val="20"/>
          <w:szCs w:val="20"/>
          <w:color w:val="auto"/>
        </w:rPr>
      </w:pPr>
      <w:r>
        <w:rPr>
          <w:rFonts w:ascii="Arial" w:cs="Arial" w:eastAsia="Arial" w:hAnsi="Arial"/>
          <w:sz w:val="16"/>
          <w:szCs w:val="16"/>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275590</wp:posOffset>
            </wp:positionV>
            <wp:extent cx="2169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8000"/>
        <w:spacing w:after="0"/>
        <w:rPr>
          <w:sz w:val="20"/>
          <w:szCs w:val="20"/>
          <w:color w:val="auto"/>
        </w:rPr>
      </w:pPr>
      <w:r>
        <w:rPr>
          <w:rFonts w:ascii="Arial" w:cs="Arial" w:eastAsia="Arial" w:hAnsi="Arial"/>
          <w:sz w:val="16"/>
          <w:szCs w:val="16"/>
          <w:color w:val="auto"/>
        </w:rPr>
        <w:t>Signature if held jointly</w:t>
      </w:r>
    </w:p>
    <w:p>
      <w:pPr>
        <w:spacing w:after="0" w:line="217" w:lineRule="exact"/>
        <w:rPr>
          <w:sz w:val="20"/>
          <w:szCs w:val="20"/>
          <w:color w:val="auto"/>
        </w:rPr>
      </w:pPr>
    </w:p>
    <w:p>
      <w:pPr>
        <w:ind w:left="8000"/>
        <w:spacing w:after="0"/>
        <w:tabs>
          <w:tab w:leader="none" w:pos="8720" w:val="left"/>
          <w:tab w:leader="none" w:pos="9480" w:val="left"/>
          <w:tab w:leader="none" w:pos="9900" w:val="left"/>
          <w:tab w:leader="none" w:pos="10780" w:val="left"/>
        </w:tabs>
        <w:rPr>
          <w:sz w:val="20"/>
          <w:szCs w:val="20"/>
          <w:color w:val="auto"/>
        </w:rPr>
      </w:pPr>
      <w:r>
        <w:rPr>
          <w:rFonts w:ascii="Arial" w:cs="Arial" w:eastAsia="Arial" w:hAnsi="Arial"/>
          <w:sz w:val="16"/>
          <w:szCs w:val="16"/>
          <w:b w:val="1"/>
          <w:bCs w:val="1"/>
          <w:color w:val="auto"/>
        </w:rPr>
        <w:t>(When</w:t>
        <w:tab/>
        <w:t>signing</w:t>
        <w:tab/>
        <w:t>as</w:t>
      </w:r>
      <w:r>
        <w:rPr>
          <w:sz w:val="20"/>
          <w:szCs w:val="20"/>
          <w:color w:val="auto"/>
        </w:rPr>
        <w:tab/>
      </w:r>
      <w:r>
        <w:rPr>
          <w:rFonts w:ascii="Arial" w:cs="Arial" w:eastAsia="Arial" w:hAnsi="Arial"/>
          <w:sz w:val="16"/>
          <w:szCs w:val="16"/>
          <w:b w:val="1"/>
          <w:bCs w:val="1"/>
          <w:color w:val="auto"/>
        </w:rPr>
        <w:t>attorney,</w:t>
      </w:r>
      <w:r>
        <w:rPr>
          <w:sz w:val="20"/>
          <w:szCs w:val="20"/>
          <w:color w:val="auto"/>
        </w:rPr>
        <w:tab/>
      </w:r>
      <w:r>
        <w:rPr>
          <w:rFonts w:ascii="Arial" w:cs="Arial" w:eastAsia="Arial" w:hAnsi="Arial"/>
          <w:sz w:val="13"/>
          <w:szCs w:val="13"/>
          <w:b w:val="1"/>
          <w:bCs w:val="1"/>
          <w:color w:val="auto"/>
        </w:rPr>
        <w:t>executor,</w:t>
      </w:r>
    </w:p>
    <w:p>
      <w:pPr>
        <w:spacing w:after="0" w:line="26"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administrator, trustee, guardian, etc., give title as</w:t>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such. If joint account, each joint owner should</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5"/>
          <w:szCs w:val="15"/>
          <w:b w:val="1"/>
          <w:bCs w:val="1"/>
          <w:color w:val="auto"/>
        </w:rPr>
        <w:t>sign. If a corporation or a partnership, sign full</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corporate name or partnership name, as the case</w:t>
      </w:r>
    </w:p>
    <w:p>
      <w:pPr>
        <w:spacing w:after="0" w:line="42"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may be, by an authorized person.)</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o"/>
      <w:numFmt w:val="bullet"/>
      <w:start w:val="1"/>
    </w:lvl>
    <w:lvl w:ilvl="1">
      <w:lvlJc w:val="left"/>
      <w:lvlText w:val="(%2)"/>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
      <w:numFmt w:val="bullet"/>
      <w:start w:val="1"/>
    </w:lvl>
    <w:lvl w:ilvl="1">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upperLetter"/>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3"/>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6"/>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abstractNum>
  <w:abstractNum w:abstractNumId="41">
    <w:nsid w:val="2A487CB0"/>
    <w:multiLevelType w:val="hybridMultilevel"/>
    <w:lvl w:ilvl="0">
      <w:lvlJc w:val="left"/>
      <w:lvlText w:val="%1."/>
      <w:numFmt w:val="decimal"/>
      <w:start w:val="3"/>
    </w:lvl>
  </w:abstractNum>
  <w:abstractNum w:abstractNumId="42">
    <w:nsid w:val="1D4ED43B"/>
    <w:multiLevelType w:val="hybridMultilevel"/>
    <w:lvl w:ilvl="0">
      <w:lvlJc w:val="left"/>
      <w:lvlText w:val="%1."/>
      <w:numFmt w:val="decimal"/>
      <w:start w:val="4"/>
    </w:lvl>
  </w:abstractNum>
  <w:abstractNum w:abstractNumId="43">
    <w:nsid w:val="725A06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2019-12-10T12:00:13Z</dcterms:created>
  <dcterms:modified xsi:type="dcterms:W3CDTF">2019-12-10T12:00:13Z</dcterms:modified>
</cp:coreProperties>
</file>