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8" w:lineRule="exact"/>
        <w:rPr>
          <w:sz w:val="20"/>
          <w:szCs w:val="20"/>
          <w:color w:val="auto"/>
        </w:rPr>
      </w:pPr>
    </w:p>
    <w:p>
      <w:pPr>
        <w:jc w:val="center"/>
        <w:ind w:right="-259"/>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Exchange Act of 1934 (Amendment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Preliminary Proxy Statement</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Confidential, for Use of the Commission Only (as permitted by Rule 14a-6(e)(2))</w:t>
      </w:r>
    </w:p>
    <w:p>
      <w:pPr>
        <w:spacing w:after="0" w:line="4"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Definitive Additional Materials</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Soliciting Material Pursuant to Rule 14a-12</w:t>
      </w: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0"/>
          <w:szCs w:val="20"/>
          <w:color w:val="auto"/>
        </w:rPr>
      </w:pPr>
    </w:p>
    <w:p>
      <w:pPr>
        <w:ind w:left="440" w:hanging="207"/>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Fee computed on table below per Exchange Act Rules 14a-6(i)(1) and 0-11.</w:t>
      </w:r>
    </w:p>
    <w:p>
      <w:pPr>
        <w:spacing w:after="0" w:line="178" w:lineRule="exact"/>
        <w:rPr>
          <w:sz w:val="20"/>
          <w:szCs w:val="20"/>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46" w:lineRule="exact"/>
        <w:rPr>
          <w:rFonts w:ascii="Times New Roman" w:cs="Times New Roman" w:eastAsia="Times New Roman" w:hAnsi="Times New Roman"/>
          <w:sz w:val="18"/>
          <w:szCs w:val="18"/>
          <w:color w:val="auto"/>
        </w:rPr>
      </w:pPr>
    </w:p>
    <w:p>
      <w:pPr>
        <w:ind w:firstLine="233"/>
        <w:spacing w:after="0" w:line="282"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sz w:val="20"/>
          <w:szCs w:val="20"/>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46"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961" w:right="49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200"/>
        <w:spacing w:after="0"/>
        <w:rPr>
          <w:sz w:val="20"/>
          <w:szCs w:val="20"/>
          <w:color w:val="auto"/>
        </w:rPr>
      </w:pPr>
      <w:r>
        <w:rPr>
          <w:rFonts w:ascii="Times New Roman" w:cs="Times New Roman" w:eastAsia="Times New Roman" w:hAnsi="Times New Roman"/>
          <w:sz w:val="43"/>
          <w:szCs w:val="43"/>
          <w:b w:val="1"/>
          <w:bCs w:val="1"/>
          <w:color w:val="auto"/>
        </w:rPr>
        <w:t>Notice of 2005</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43"/>
          <w:szCs w:val="43"/>
          <w:b w:val="1"/>
          <w:bCs w:val="1"/>
          <w:color w:val="auto"/>
        </w:rPr>
        <w:t>Annual Meeting of</w:t>
      </w:r>
    </w:p>
    <w:p>
      <w:pPr>
        <w:spacing w:after="0" w:line="6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43"/>
          <w:szCs w:val="43"/>
          <w:b w:val="1"/>
          <w:bCs w:val="1"/>
          <w:color w:val="auto"/>
        </w:rPr>
        <w:t>Shareholders and</w:t>
      </w:r>
    </w:p>
    <w:p>
      <w:pPr>
        <w:spacing w:after="0" w:line="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43"/>
          <w:szCs w:val="4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1189355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136525</wp:posOffset>
            </wp:positionV>
            <wp:extent cx="3713480" cy="62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4467860" cy="514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467860" cy="51435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March 31, 2005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Fellow Shareholder:</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Directors and Officers of Martin Marietta Materials, Inc. join me in inviting you to attend the Corporation’s Annual Meeting of Shareholders. The formal notice of this meeting and the proxy statement describing the matters to be acted upon at the meeting accompany this letter.</w:t>
      </w:r>
    </w:p>
    <w:p>
      <w:pPr>
        <w:spacing w:after="0" w:line="17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Your vote is important. Whether or not you plan to attend the Annual Meeting in person, we encourage you to vote so that your shares will be represented and voted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continued support of Martin Marietta Materials.</w:t>
      </w: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2478405"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84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Stephen P. Zelnak, Jr.</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i w:val="1"/>
          <w:iCs w:val="1"/>
          <w:color w:val="auto"/>
        </w:rPr>
        <w:t>Chairman of the Board,</w:t>
      </w:r>
    </w:p>
    <w:p>
      <w:pPr>
        <w:ind w:left="4580"/>
        <w:spacing w:after="0"/>
        <w:rPr>
          <w:sz w:val="20"/>
          <w:szCs w:val="20"/>
          <w:color w:val="auto"/>
        </w:rPr>
      </w:pPr>
      <w:r>
        <w:rPr>
          <w:rFonts w:ascii="Times New Roman" w:cs="Times New Roman" w:eastAsia="Times New Roman" w:hAnsi="Times New Roman"/>
          <w:sz w:val="22"/>
          <w:szCs w:val="2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MARTIN MARIETTA MATERIALS, INC.</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2710 Wycliff Road, Raleigh, North Carolina 27607</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May 24, 2005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our Shareholders:</w:t>
      </w:r>
    </w:p>
    <w:p>
      <w:pPr>
        <w:spacing w:after="0" w:line="206" w:lineRule="exact"/>
        <w:rPr>
          <w:sz w:val="20"/>
          <w:szCs w:val="20"/>
          <w:color w:val="auto"/>
        </w:rPr>
      </w:pPr>
    </w:p>
    <w:p>
      <w:pPr>
        <w:jc w:val="both"/>
        <w:ind w:right="80" w:firstLine="482"/>
        <w:spacing w:after="0" w:line="244" w:lineRule="auto"/>
        <w:rPr>
          <w:sz w:val="20"/>
          <w:szCs w:val="20"/>
          <w:color w:val="auto"/>
        </w:rPr>
      </w:pPr>
      <w:r>
        <w:rPr>
          <w:rFonts w:ascii="Times New Roman" w:cs="Times New Roman" w:eastAsia="Times New Roman" w:hAnsi="Times New Roman"/>
          <w:sz w:val="22"/>
          <w:szCs w:val="22"/>
          <w:color w:val="auto"/>
        </w:rPr>
        <w:t>The Annual Meeting of Shareholders of Martin Marietta Materials, Inc. will be held on Tuesday, May 24, 2005, at 11:30 a.m. at the Corporation’s principal office, 2710 Wycliff Road, Raleigh, North Carolina. At the meeting, the holders of the Corporation’s outstanding common stock will act on the following matters:</w:t>
      </w:r>
    </w:p>
    <w:p>
      <w:pPr>
        <w:spacing w:after="0" w:line="174" w:lineRule="exact"/>
        <w:rPr>
          <w:sz w:val="20"/>
          <w:szCs w:val="20"/>
          <w:color w:val="auto"/>
        </w:rPr>
      </w:pPr>
    </w:p>
    <w:p>
      <w:pPr>
        <w:ind w:left="1500" w:right="20" w:hanging="911"/>
        <w:spacing w:after="0" w:line="244" w:lineRule="auto"/>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 of three (3) Directors, each to serve for a term of three (3) years until the Annual Meeting of Shareholders in 2008, and one (1) Director to serve for a term of two (2) years until the Annual Meeting of Shareholders in 2007, and until their successors are duly elected and qualified;</w:t>
      </w:r>
    </w:p>
    <w:p>
      <w:pPr>
        <w:spacing w:after="0" w:line="200" w:lineRule="exact"/>
        <w:rPr>
          <w:rFonts w:ascii="Times New Roman" w:cs="Times New Roman" w:eastAsia="Times New Roman" w:hAnsi="Times New Roman"/>
          <w:sz w:val="22"/>
          <w:szCs w:val="22"/>
          <w:color w:val="auto"/>
        </w:rPr>
      </w:pPr>
    </w:p>
    <w:p>
      <w:pPr>
        <w:ind w:left="1500" w:hanging="911"/>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ratification of the appointment of independent auditors; and</w:t>
      </w:r>
    </w:p>
    <w:p>
      <w:pPr>
        <w:spacing w:after="0" w:line="233" w:lineRule="exact"/>
        <w:rPr>
          <w:rFonts w:ascii="Times New Roman" w:cs="Times New Roman" w:eastAsia="Times New Roman" w:hAnsi="Times New Roman"/>
          <w:sz w:val="22"/>
          <w:szCs w:val="22"/>
          <w:color w:val="auto"/>
        </w:rPr>
      </w:pPr>
    </w:p>
    <w:p>
      <w:pPr>
        <w:ind w:left="1500" w:hanging="911"/>
        <w:spacing w:after="0"/>
        <w:tabs>
          <w:tab w:leader="none" w:pos="15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business as may properly come before the meeting.</w:t>
      </w:r>
    </w:p>
    <w:p>
      <w:pPr>
        <w:spacing w:after="0" w:line="206" w:lineRule="exact"/>
        <w:rPr>
          <w:sz w:val="20"/>
          <w:szCs w:val="20"/>
          <w:color w:val="auto"/>
        </w:rPr>
      </w:pPr>
    </w:p>
    <w:p>
      <w:pPr>
        <w:ind w:right="720" w:firstLine="474"/>
        <w:spacing w:after="0" w:line="258" w:lineRule="auto"/>
        <w:rPr>
          <w:sz w:val="20"/>
          <w:szCs w:val="20"/>
          <w:color w:val="auto"/>
        </w:rPr>
      </w:pPr>
      <w:r>
        <w:rPr>
          <w:rFonts w:ascii="Times New Roman" w:cs="Times New Roman" w:eastAsia="Times New Roman" w:hAnsi="Times New Roman"/>
          <w:sz w:val="22"/>
          <w:szCs w:val="22"/>
          <w:color w:val="auto"/>
        </w:rPr>
        <w:t>All holders of record of shares of Martin Marietta Materials common stock (NYSE: MLM) at the close of business on March 18, 2005 are entitled to vote at the annual meeting and any adjournments or postponements of the meeting.</w:t>
      </w:r>
    </w:p>
    <w:p>
      <w:pPr>
        <w:spacing w:after="0" w:line="158"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22"/>
          <w:szCs w:val="22"/>
          <w:color w:val="auto"/>
        </w:rPr>
        <w:t>Whether or not you expect to attend the meeting, we hope you will date and sign the enclosed proxy card and mail it promptly in the enclosed stamped envelope.</w:t>
      </w:r>
    </w:p>
    <w:p>
      <w:pPr>
        <w:spacing w:after="0" w:line="1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165735</wp:posOffset>
            </wp:positionV>
            <wp:extent cx="144081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Roselyn R. Bar</w:t>
      </w:r>
    </w:p>
    <w:p>
      <w:pPr>
        <w:spacing w:after="0" w:line="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i w:val="1"/>
          <w:iCs w:val="1"/>
          <w:color w:val="auto"/>
        </w:rPr>
        <w:t>Vice President, General</w:t>
      </w:r>
    </w:p>
    <w:p>
      <w:pPr>
        <w:ind w:left="4800"/>
        <w:spacing w:after="0"/>
        <w:rPr>
          <w:sz w:val="20"/>
          <w:szCs w:val="20"/>
          <w:color w:val="auto"/>
        </w:rPr>
      </w:pPr>
      <w:r>
        <w:rPr>
          <w:rFonts w:ascii="Times New Roman" w:cs="Times New Roman" w:eastAsia="Times New Roman" w:hAnsi="Times New Roman"/>
          <w:sz w:val="22"/>
          <w:szCs w:val="22"/>
          <w:i w:val="1"/>
          <w:iCs w:val="1"/>
          <w:color w:val="auto"/>
        </w:rPr>
        <w:t>Counsel and Secretary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Raleigh, North Carolina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PROXY STATEMENT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GENERAL INFORMATION</w:t>
      </w:r>
    </w:p>
    <w:p>
      <w:pPr>
        <w:spacing w:after="0" w:line="229" w:lineRule="exact"/>
        <w:rPr>
          <w:sz w:val="20"/>
          <w:szCs w:val="20"/>
          <w:color w:val="auto"/>
        </w:rPr>
      </w:pPr>
    </w:p>
    <w:p>
      <w:pPr>
        <w:ind w:right="40" w:firstLine="590"/>
        <w:spacing w:after="0" w:line="239" w:lineRule="auto"/>
        <w:rPr>
          <w:sz w:val="20"/>
          <w:szCs w:val="20"/>
          <w:color w:val="auto"/>
        </w:rPr>
      </w:pPr>
      <w:r>
        <w:rPr>
          <w:rFonts w:ascii="Times New Roman" w:cs="Times New Roman" w:eastAsia="Times New Roman" w:hAnsi="Times New Roman"/>
          <w:sz w:val="22"/>
          <w:szCs w:val="22"/>
          <w:color w:val="auto"/>
        </w:rPr>
        <w:t>This proxy statement contains information related to the annual meeting of shareholders of Martin Marietta Materials, Inc., a North Carolina corporation, to be held on Tuesday, May 24, 2005, at 11:30 a.m. at the Corporation’s principal office, 2710 Wycliff Road, Raleigh, North Carolina. The Corporation’s Annual Report for the fiscal year ended December 31, 2004, including audited financial statements, is being mailed to shareholders with this proxy statement.</w:t>
      </w:r>
    </w:p>
    <w:p>
      <w:pPr>
        <w:spacing w:after="0" w:line="181" w:lineRule="exact"/>
        <w:rPr>
          <w:sz w:val="20"/>
          <w:szCs w:val="20"/>
          <w:color w:val="auto"/>
        </w:rPr>
      </w:pPr>
    </w:p>
    <w:p>
      <w:pPr>
        <w:ind w:right="280" w:firstLine="482"/>
        <w:spacing w:after="0" w:line="258" w:lineRule="auto"/>
        <w:rPr>
          <w:sz w:val="20"/>
          <w:szCs w:val="20"/>
          <w:color w:val="auto"/>
        </w:rPr>
      </w:pPr>
      <w:r>
        <w:rPr>
          <w:rFonts w:ascii="Times New Roman" w:cs="Times New Roman" w:eastAsia="Times New Roman" w:hAnsi="Times New Roman"/>
          <w:sz w:val="22"/>
          <w:szCs w:val="22"/>
          <w:color w:val="auto"/>
        </w:rPr>
        <w:t>This proxy statement, the proxy card, and the notice of meeting will be sent commencing approximately March 31, 2005 to shareholders of record on March 18, 2005.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purpose of the annual meeting?</w:t>
      </w:r>
    </w:p>
    <w:p>
      <w:pPr>
        <w:spacing w:after="0" w:line="212" w:lineRule="exact"/>
        <w:rPr>
          <w:sz w:val="20"/>
          <w:szCs w:val="20"/>
          <w:color w:val="auto"/>
        </w:rPr>
      </w:pPr>
    </w:p>
    <w:p>
      <w:pPr>
        <w:ind w:right="40" w:firstLine="474"/>
        <w:spacing w:after="0" w:line="244" w:lineRule="auto"/>
        <w:rPr>
          <w:sz w:val="20"/>
          <w:szCs w:val="20"/>
          <w:color w:val="auto"/>
        </w:rPr>
      </w:pPr>
      <w:r>
        <w:rPr>
          <w:rFonts w:ascii="Times New Roman" w:cs="Times New Roman" w:eastAsia="Times New Roman" w:hAnsi="Times New Roman"/>
          <w:sz w:val="22"/>
          <w:szCs w:val="22"/>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174" w:lineRule="exact"/>
        <w:rPr>
          <w:sz w:val="20"/>
          <w:szCs w:val="20"/>
          <w:color w:val="auto"/>
        </w:rPr>
      </w:pPr>
    </w:p>
    <w:p>
      <w:pPr>
        <w:ind w:right="820" w:firstLine="482"/>
        <w:spacing w:after="0" w:line="258" w:lineRule="auto"/>
        <w:rPr>
          <w:sz w:val="20"/>
          <w:szCs w:val="20"/>
          <w:color w:val="auto"/>
        </w:rPr>
      </w:pPr>
      <w:r>
        <w:rPr>
          <w:rFonts w:ascii="Times New Roman" w:cs="Times New Roman" w:eastAsia="Times New Roman" w:hAnsi="Times New Roman"/>
          <w:sz w:val="22"/>
          <w:szCs w:val="22"/>
          <w:color w:val="auto"/>
        </w:rPr>
        <w:t>Whether or not you plan to attend the meeting, we encourage you to date, sign, and return your proxy in the enclosed envelope.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entitled to vote at the meeting?</w:t>
      </w:r>
    </w:p>
    <w:p>
      <w:pPr>
        <w:spacing w:after="0" w:line="212"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2"/>
          <w:szCs w:val="22"/>
          <w:color w:val="auto"/>
        </w:rPr>
        <w:t>Only shareholders of record at the close of business on March 18, 2005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are the voting rights of the holders of Martin Marietta’s common stock?</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Each share of Martin Marietta Materials common stock is entitled to one vote on each matter considered at the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can attend the meeting?</w:t>
      </w:r>
    </w:p>
    <w:p>
      <w:pPr>
        <w:spacing w:after="0" w:line="212" w:lineRule="exact"/>
        <w:rPr>
          <w:sz w:val="20"/>
          <w:szCs w:val="20"/>
          <w:color w:val="auto"/>
        </w:rPr>
      </w:pPr>
    </w:p>
    <w:p>
      <w:pPr>
        <w:ind w:right="240" w:firstLine="474"/>
        <w:spacing w:after="0" w:line="258" w:lineRule="auto"/>
        <w:rPr>
          <w:sz w:val="20"/>
          <w:szCs w:val="20"/>
          <w:color w:val="auto"/>
        </w:rPr>
      </w:pPr>
      <w:r>
        <w:rPr>
          <w:rFonts w:ascii="Times New Roman" w:cs="Times New Roman" w:eastAsia="Times New Roman" w:hAnsi="Times New Roman"/>
          <w:sz w:val="22"/>
          <w:szCs w:val="22"/>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constitutes a quorum?</w:t>
      </w:r>
    </w:p>
    <w:p>
      <w:pPr>
        <w:spacing w:after="0" w:line="212" w:lineRule="exact"/>
        <w:rPr>
          <w:sz w:val="20"/>
          <w:szCs w:val="20"/>
          <w:color w:val="auto"/>
        </w:rPr>
      </w:pPr>
    </w:p>
    <w:p>
      <w:pPr>
        <w:ind w:right="560" w:firstLine="482"/>
        <w:spacing w:after="0" w:line="244" w:lineRule="auto"/>
        <w:rPr>
          <w:sz w:val="20"/>
          <w:szCs w:val="20"/>
          <w:color w:val="auto"/>
        </w:rPr>
      </w:pPr>
      <w:r>
        <w:rPr>
          <w:rFonts w:ascii="Times New Roman" w:cs="Times New Roman" w:eastAsia="Times New Roman" w:hAnsi="Times New Roman"/>
          <w:sz w:val="22"/>
          <w:szCs w:val="22"/>
          <w:color w:val="auto"/>
        </w:rPr>
        <w:t>The presence at the meeting, in person or by proxy, of the holders of a majority of the common stock outstanding on the record date constitutes a quorum, permitting shareholders to take action at the meeting. On March 18, 2005, there were 46,930,268 shares outstanding of the Corporation’s common stock, $.01 par value per share.</w:t>
      </w:r>
    </w:p>
    <w:p>
      <w:pPr>
        <w:spacing w:after="0" w:line="174" w:lineRule="exact"/>
        <w:rPr>
          <w:sz w:val="20"/>
          <w:szCs w:val="20"/>
          <w:color w:val="auto"/>
        </w:rPr>
      </w:pPr>
    </w:p>
    <w:p>
      <w:pPr>
        <w:ind w:right="120" w:firstLine="482"/>
        <w:spacing w:after="0" w:line="239" w:lineRule="auto"/>
        <w:rPr>
          <w:sz w:val="20"/>
          <w:szCs w:val="20"/>
          <w:color w:val="auto"/>
        </w:rPr>
      </w:pPr>
      <w:r>
        <w:rPr>
          <w:rFonts w:ascii="Times New Roman" w:cs="Times New Roman" w:eastAsia="Times New Roman" w:hAnsi="Times New Roman"/>
          <w:sz w:val="22"/>
          <w:szCs w:val="22"/>
          <w:color w:val="auto"/>
        </w:rPr>
        <w:t>Votes cast by proxy or in person at the annual meeting will be tabulated by an independent inspector of election appointed by the Corporation’s Board of Directors for the annual meeting from Wachovia Bank, N.A.,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21"/>
          <w:szCs w:val="21"/>
          <w:color w:val="auto"/>
        </w:rPr>
        <w:t>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 I vote?</w:t>
      </w:r>
    </w:p>
    <w:p>
      <w:pPr>
        <w:spacing w:after="0" w:line="212"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22"/>
          <w:szCs w:val="22"/>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Can I change my vote after I return my proxy card?</w:t>
      </w:r>
    </w:p>
    <w:p>
      <w:pPr>
        <w:spacing w:after="0" w:line="212" w:lineRule="exact"/>
        <w:rPr>
          <w:sz w:val="20"/>
          <w:szCs w:val="20"/>
          <w:color w:val="auto"/>
        </w:rPr>
      </w:pPr>
    </w:p>
    <w:p>
      <w:pPr>
        <w:jc w:val="both"/>
        <w:ind w:right="500" w:firstLine="478"/>
        <w:spacing w:after="0" w:line="255" w:lineRule="auto"/>
        <w:rPr>
          <w:sz w:val="20"/>
          <w:szCs w:val="20"/>
          <w:color w:val="auto"/>
        </w:rPr>
      </w:pPr>
      <w:r>
        <w:rPr>
          <w:rFonts w:ascii="Times New Roman" w:cs="Times New Roman" w:eastAsia="Times New Roman" w:hAnsi="Times New Roman"/>
          <w:sz w:val="21"/>
          <w:szCs w:val="21"/>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 I vote my 401(k) shares?</w:t>
      </w:r>
    </w:p>
    <w:p>
      <w:pPr>
        <w:spacing w:after="0" w:line="212"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22"/>
          <w:szCs w:val="22"/>
          <w:color w:val="auto"/>
        </w:rPr>
        <w:t>Each participant in the Corporation’s Performance Sharing Plan, Savings and Investment Plan and Southwest Division 401(k)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vote is required to approve each item?</w:t>
      </w:r>
    </w:p>
    <w:p>
      <w:pPr>
        <w:spacing w:after="0" w:line="212" w:lineRule="exact"/>
        <w:rPr>
          <w:sz w:val="20"/>
          <w:szCs w:val="20"/>
          <w:color w:val="auto"/>
        </w:rPr>
      </w:pPr>
    </w:p>
    <w:p>
      <w:pPr>
        <w:ind w:right="80" w:firstLine="482"/>
        <w:spacing w:after="0" w:line="234" w:lineRule="auto"/>
        <w:rPr>
          <w:sz w:val="20"/>
          <w:szCs w:val="20"/>
          <w:color w:val="auto"/>
        </w:rPr>
      </w:pPr>
      <w:r>
        <w:rPr>
          <w:rFonts w:ascii="Times New Roman" w:cs="Times New Roman" w:eastAsia="Times New Roman" w:hAnsi="Times New Roman"/>
          <w:sz w:val="22"/>
          <w:szCs w:val="22"/>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 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to be considered at the annual meeting, abstentions and broker non-votes, which will not be counted “for” or “against” proposals, have no effect on the vote for the election of Directors or approval of any other proposals.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are the Board’s recommendations?</w:t>
      </w:r>
    </w:p>
    <w:p>
      <w:pPr>
        <w:spacing w:after="0" w:line="212" w:lineRule="exact"/>
        <w:rPr>
          <w:sz w:val="20"/>
          <w:szCs w:val="20"/>
          <w:color w:val="auto"/>
        </w:rPr>
      </w:pPr>
    </w:p>
    <w:p>
      <w:pPr>
        <w:ind w:right="460" w:firstLine="486"/>
        <w:spacing w:after="0" w:line="258" w:lineRule="auto"/>
        <w:rPr>
          <w:sz w:val="20"/>
          <w:szCs w:val="20"/>
          <w:color w:val="auto"/>
        </w:rPr>
      </w:pPr>
      <w:r>
        <w:rPr>
          <w:rFonts w:ascii="Times New Roman" w:cs="Times New Roman" w:eastAsia="Times New Roman" w:hAnsi="Times New Roman"/>
          <w:sz w:val="22"/>
          <w:szCs w:val="22"/>
          <w:color w:val="auto"/>
        </w:rPr>
        <w:t>Unless you give other instructions on your proxy card, the persons named as proxy holders on the proxy card will vote in accordance with the recommendations of the Board of Directors. The Board’s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recommendation, as well as a description of each proposal, is set forth in this proxy statement. The Board recommends a vote:</w:t>
      </w:r>
    </w:p>
    <w:p>
      <w:pPr>
        <w:spacing w:after="0" w:line="202" w:lineRule="exact"/>
        <w:rPr>
          <w:sz w:val="20"/>
          <w:szCs w:val="20"/>
          <w:color w:val="auto"/>
        </w:rPr>
      </w:pPr>
    </w:p>
    <w:p>
      <w:pPr>
        <w:ind w:left="700" w:hanging="138"/>
        <w:spacing w:after="0"/>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election of the nominated slate of Directors; and</w:t>
      </w:r>
    </w:p>
    <w:p>
      <w:pPr>
        <w:spacing w:after="0" w:line="233" w:lineRule="exact"/>
        <w:rPr>
          <w:rFonts w:ascii="Times New Roman" w:cs="Times New Roman" w:eastAsia="Times New Roman" w:hAnsi="Times New Roman"/>
          <w:sz w:val="22"/>
          <w:szCs w:val="22"/>
          <w:color w:val="auto"/>
        </w:rPr>
      </w:pPr>
    </w:p>
    <w:p>
      <w:pPr>
        <w:ind w:left="700" w:hanging="138"/>
        <w:spacing w:after="0"/>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ratification of the selection of Ernst &amp; Young LLP as independent auditors.</w:t>
      </w:r>
    </w:p>
    <w:p>
      <w:pPr>
        <w:spacing w:after="0" w:line="210" w:lineRule="exact"/>
        <w:rPr>
          <w:sz w:val="20"/>
          <w:szCs w:val="20"/>
          <w:color w:val="auto"/>
        </w:rPr>
      </w:pPr>
    </w:p>
    <w:p>
      <w:pPr>
        <w:ind w:right="140" w:firstLine="482"/>
        <w:spacing w:after="0" w:line="258" w:lineRule="auto"/>
        <w:rPr>
          <w:sz w:val="20"/>
          <w:szCs w:val="20"/>
          <w:color w:val="auto"/>
        </w:rPr>
      </w:pPr>
      <w:r>
        <w:rPr>
          <w:rFonts w:ascii="Times New Roman" w:cs="Times New Roman" w:eastAsia="Times New Roman" w:hAnsi="Times New Roman"/>
          <w:sz w:val="22"/>
          <w:szCs w:val="22"/>
          <w:color w:val="auto"/>
        </w:rPr>
        <w:t>With respect to any other matter that properly comes before the meeting, the proxy holders will vote as recommended by the Board of Directors or, if no recommendation is given, in their own discretion.</w:t>
      </w:r>
    </w:p>
    <w:p>
      <w:pPr>
        <w:spacing w:after="0" w:line="15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SECURITY OWNERSHIP OF CERTAIN</w:t>
      </w:r>
    </w:p>
    <w:p>
      <w:pPr>
        <w:spacing w:after="0" w:line="20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BENEFICIAL OWNERS AND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are the largest owners of the Corporation’s stock?</w:t>
      </w:r>
    </w:p>
    <w:p>
      <w:pPr>
        <w:spacing w:after="0" w:line="212" w:lineRule="exact"/>
        <w:rPr>
          <w:sz w:val="20"/>
          <w:szCs w:val="20"/>
          <w:color w:val="auto"/>
        </w:rPr>
      </w:pPr>
    </w:p>
    <w:p>
      <w:pPr>
        <w:ind w:firstLine="482"/>
        <w:spacing w:after="0" w:line="238" w:lineRule="auto"/>
        <w:rPr>
          <w:sz w:val="20"/>
          <w:szCs w:val="20"/>
          <w:color w:val="auto"/>
        </w:rPr>
      </w:pPr>
      <w:r>
        <w:rPr>
          <w:rFonts w:ascii="Times New Roman" w:cs="Times New Roman" w:eastAsia="Times New Roman" w:hAnsi="Times New Roman"/>
          <w:sz w:val="22"/>
          <w:szCs w:val="22"/>
          <w:color w:val="auto"/>
        </w:rPr>
        <w:t>The following table sets forth information with respect to the shares of common stock which are held by persons known to the Corporation to be the beneficial owners of more than 5% of such stock as of March 18, 2005. To the best of the Corporation’s knowledge, based solely on filings with the Securities and Exchange Commission as noted below, no person beneficially owned more than 5% of any class of the Corporation’s outstanding voting securities at the close of business on March 18, 2005, except for those shown below.</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280" w:type="dxa"/>
            <w:vAlign w:val="bottom"/>
          </w:tcPr>
          <w:p>
            <w:pPr>
              <w:spacing w:after="0"/>
              <w:rPr>
                <w:sz w:val="13"/>
                <w:szCs w:val="13"/>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78"/>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60" w:type="dxa"/>
            <w:vAlign w:val="bottom"/>
          </w:tcPr>
          <w:p>
            <w:pPr>
              <w:spacing w:after="0"/>
              <w:rPr>
                <w:sz w:val="15"/>
                <w:szCs w:val="15"/>
                <w:color w:val="auto"/>
              </w:rPr>
            </w:pPr>
          </w:p>
        </w:tc>
        <w:tc>
          <w:tcPr>
            <w:tcW w:w="272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80" w:type="dxa"/>
            <w:vAlign w:val="bottom"/>
          </w:tcPr>
          <w:p>
            <w:pPr>
              <w:spacing w:after="0"/>
              <w:rPr>
                <w:sz w:val="15"/>
                <w:szCs w:val="15"/>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95"/>
        </w:trPr>
        <w:tc>
          <w:tcPr>
            <w:tcW w:w="5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34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Davis Selected Advisers, L.P.</w:t>
            </w:r>
            <w:r>
              <w:rPr>
                <w:rFonts w:ascii="Times New Roman" w:cs="Times New Roman" w:eastAsia="Times New Roman" w:hAnsi="Times New Roman"/>
                <w:sz w:val="29"/>
                <w:szCs w:val="29"/>
                <w:color w:val="auto"/>
                <w:vertAlign w:val="superscript"/>
              </w:rPr>
              <w:t>(1)</w:t>
            </w:r>
          </w:p>
        </w:tc>
        <w:tc>
          <w:tcPr>
            <w:tcW w:w="298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6,546,300</w:t>
            </w:r>
          </w:p>
        </w:tc>
        <w:tc>
          <w:tcPr>
            <w:tcW w:w="1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2949 East Elvira Road, Suite 101</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Tucson, AZ 85706</w:t>
            </w:r>
          </w:p>
        </w:tc>
        <w:tc>
          <w:tcPr>
            <w:tcW w:w="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3"/>
        </w:trPr>
        <w:tc>
          <w:tcPr>
            <w:tcW w:w="59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Alliance Capital Management, L.P.</w:t>
            </w:r>
            <w:r>
              <w:rPr>
                <w:rFonts w:ascii="Times New Roman" w:cs="Times New Roman" w:eastAsia="Times New Roman" w:hAnsi="Times New Roman"/>
                <w:sz w:val="29"/>
                <w:szCs w:val="29"/>
                <w:color w:val="auto"/>
                <w:vertAlign w:val="superscript"/>
              </w:rPr>
              <w:t>(2)</w:t>
            </w:r>
          </w:p>
        </w:tc>
        <w:tc>
          <w:tcPr>
            <w:tcW w:w="298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4,803,249</w:t>
            </w:r>
          </w:p>
        </w:tc>
        <w:tc>
          <w:tcPr>
            <w:tcW w:w="1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1290 Avenue of the Americas</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10104</w:t>
            </w:r>
          </w:p>
        </w:tc>
        <w:tc>
          <w:tcPr>
            <w:tcW w:w="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3"/>
        </w:trPr>
        <w:tc>
          <w:tcPr>
            <w:tcW w:w="59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UBS Global Asset Management (Americas), Inc.</w:t>
            </w:r>
            <w:r>
              <w:rPr>
                <w:rFonts w:ascii="Times New Roman" w:cs="Times New Roman" w:eastAsia="Times New Roman" w:hAnsi="Times New Roman"/>
                <w:sz w:val="29"/>
                <w:szCs w:val="29"/>
                <w:color w:val="auto"/>
                <w:vertAlign w:val="superscript"/>
              </w:rPr>
              <w:t>(3)</w:t>
            </w:r>
          </w:p>
        </w:tc>
        <w:tc>
          <w:tcPr>
            <w:tcW w:w="298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4,425,394</w:t>
            </w:r>
          </w:p>
        </w:tc>
        <w:tc>
          <w:tcPr>
            <w:tcW w:w="13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One North Wacker</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UBS Tower</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Chicago, IL 60606</w:t>
            </w:r>
          </w:p>
        </w:tc>
        <w:tc>
          <w:tcPr>
            <w:tcW w:w="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Schedule 13G/ A dated March 11, 2005 filed with the Securities and Exchange Commission as of December 31, 2004.</w:t>
      </w:r>
    </w:p>
    <w:p>
      <w:pPr>
        <w:spacing w:after="0" w:line="21" w:lineRule="exact"/>
        <w:rPr>
          <w:rFonts w:ascii="Times New Roman" w:cs="Times New Roman" w:eastAsia="Times New Roman" w:hAnsi="Times New Roman"/>
          <w:sz w:val="18"/>
          <w:szCs w:val="18"/>
          <w:color w:val="auto"/>
        </w:rPr>
      </w:pPr>
    </w:p>
    <w:p>
      <w:pPr>
        <w:ind w:left="360" w:right="400" w:hanging="352"/>
        <w:spacing w:after="0" w:line="250"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Schedule 13G dated February 10, 2005 filed with the Securities and Exchange Commission by AXA Financial, Inc. as part of a group of affiliates including Alliance Capital Management, L.P., as of January 31, 2005.</w:t>
      </w: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Schedule 13F dated February 10, 2005 filed with the Securities and Exchange Commission as of December 31, 2004.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much stock do the Corporation’s Directors and executive officers own?</w:t>
      </w:r>
    </w:p>
    <w:p>
      <w:pPr>
        <w:spacing w:after="0" w:line="212" w:lineRule="exact"/>
        <w:rPr>
          <w:sz w:val="20"/>
          <w:szCs w:val="20"/>
          <w:color w:val="auto"/>
        </w:rPr>
      </w:pPr>
    </w:p>
    <w:p>
      <w:pPr>
        <w:ind w:right="900" w:firstLine="482"/>
        <w:spacing w:after="0" w:line="258" w:lineRule="auto"/>
        <w:rPr>
          <w:sz w:val="20"/>
          <w:szCs w:val="20"/>
          <w:color w:val="auto"/>
        </w:rPr>
      </w:pPr>
      <w:r>
        <w:rPr>
          <w:rFonts w:ascii="Times New Roman" w:cs="Times New Roman" w:eastAsia="Times New Roman" w:hAnsi="Times New Roman"/>
          <w:sz w:val="22"/>
          <w:szCs w:val="22"/>
          <w:color w:val="auto"/>
        </w:rPr>
        <w:t>The following table sets forth information as of March 18, 2005 with respect to the shares of common stock that are beneficially owned by the Directors and nominees, the Chief Executive Officer,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9" w:name="page10"/>
    <w:bookmarkEnd w:id="9"/>
    <w:p>
      <w:pPr>
        <w:ind w:right="520"/>
        <w:spacing w:after="0" w:line="258" w:lineRule="auto"/>
        <w:rPr>
          <w:sz w:val="20"/>
          <w:szCs w:val="20"/>
          <w:color w:val="auto"/>
        </w:rPr>
      </w:pPr>
      <w:r>
        <w:rPr>
          <w:rFonts w:ascii="Times New Roman" w:cs="Times New Roman" w:eastAsia="Times New Roman" w:hAnsi="Times New Roman"/>
          <w:sz w:val="22"/>
          <w:szCs w:val="22"/>
          <w:color w:val="auto"/>
        </w:rPr>
        <w:t>and the four other most highly compensated executive officers, individually, and by all Directors and executive officers of the Corporation as a group.</w:t>
      </w:r>
    </w:p>
    <w:p>
      <w:pPr>
        <w:sectPr>
          <w:pgSz w:w="11900" w:h="16838" w:orient="portrait"/>
          <w:cols w:equalWidth="0" w:num="1">
            <w:col w:w="11400"/>
          </w:cols>
          <w:pgMar w:left="240" w:top="922" w:right="259" w:bottom="1440" w:gutter="0" w:footer="0" w:header="0"/>
        </w:sectPr>
      </w:pPr>
    </w:p>
    <w:p>
      <w:pPr>
        <w:spacing w:after="0" w:line="3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360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Roselyn R. Bar</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Marcus C. Bennett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Sue W. Cole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Janice K. Henry</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William E. McDonald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Frank H. Menaker, Jr.</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Donald M. Moe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Laree E. Perez</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Dennis L. Rediker</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James M. Reed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William B. Sansom</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Philip J. Sipling</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Richard A. Vinroot</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Stephen P. Zelnak, Jr.</w:t>
      </w:r>
    </w:p>
    <w:p>
      <w:pPr>
        <w:spacing w:after="0" w:line="36" w:lineRule="exact"/>
        <w:rPr>
          <w:sz w:val="20"/>
          <w:szCs w:val="20"/>
          <w:color w:val="auto"/>
        </w:rPr>
      </w:pPr>
    </w:p>
    <w:p>
      <w:pPr>
        <w:ind w:left="1280" w:right="620" w:hanging="134"/>
        <w:spacing w:after="0" w:line="275" w:lineRule="auto"/>
        <w:rPr>
          <w:sz w:val="20"/>
          <w:szCs w:val="20"/>
          <w:color w:val="auto"/>
        </w:rPr>
      </w:pPr>
      <w:r>
        <w:rPr>
          <w:rFonts w:ascii="Times New Roman" w:cs="Times New Roman" w:eastAsia="Times New Roman" w:hAnsi="Times New Roman"/>
          <w:sz w:val="18"/>
          <w:szCs w:val="18"/>
          <w:color w:val="auto"/>
        </w:rPr>
        <w:t>All Directors and executive officers as a group (18 individuals including those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Amount and Nature of</w:t>
      </w:r>
    </w:p>
    <w:p>
      <w:pPr>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22860</wp:posOffset>
            </wp:positionV>
            <wp:extent cx="2032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51,006(4)(5)</w:t>
      </w:r>
    </w:p>
    <w:p>
      <w:pPr>
        <w:spacing w:after="0" w:line="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27,514(2)</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16,647(2)(3)</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141,345(4)(5)</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21,366(2)</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24,458(2)</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116,248(4)</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395</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4,723(2)</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25,567(2)</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25,597(2)(6)</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217,563(4)</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22,216(2)</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655,674(4)(7)</w:t>
      </w:r>
    </w:p>
    <w:p>
      <w:pPr>
        <w:spacing w:after="0" w:line="21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1,557,384(2)(3)(4)(5)(7)</w:t>
      </w:r>
    </w:p>
    <w:p>
      <w:pPr>
        <w:spacing w:after="0" w:line="278" w:lineRule="exact"/>
        <w:rPr>
          <w:sz w:val="20"/>
          <w:szCs w:val="20"/>
          <w:color w:val="auto"/>
        </w:rPr>
      </w:pPr>
    </w:p>
    <w:p>
      <w:pPr>
        <w:sectPr>
          <w:pgSz w:w="11900" w:h="16838" w:orient="portrait"/>
          <w:cols w:equalWidth="0" w:num="2">
            <w:col w:w="7280" w:space="720"/>
            <w:col w:w="3400"/>
          </w:cols>
          <w:pgMar w:left="240" w:top="922" w:right="259" w:bottom="1440" w:gutter="0" w:footer="0" w:header="0"/>
          <w:type w:val="continuous"/>
        </w:sectPr>
      </w:pPr>
    </w:p>
    <w:p>
      <w:pPr>
        <w:spacing w:after="0" w:line="204" w:lineRule="exact"/>
        <w:rPr>
          <w:sz w:val="20"/>
          <w:szCs w:val="20"/>
          <w:color w:val="auto"/>
        </w:rPr>
      </w:pPr>
    </w:p>
    <w:p>
      <w:pPr>
        <w:ind w:left="360" w:right="200" w:hanging="352"/>
        <w:spacing w:after="0" w:line="254"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shares reported, unless indicated otherwise, (i) beneficial ownership is direct, and (ii) the person indicated has sole voting and investment power. Mr. Zelnak owns 1.40% of the shares of common stock outstanding as of March 18, 2005. None of the other Directors or named executive officers individually own in excess of one percent of the shares of common stock outstanding. All Directors and executive officers as a group own 3.32% of the shares of common stock outstanding as of March 18, 2005.</w:t>
      </w:r>
    </w:p>
    <w:p>
      <w:pPr>
        <w:ind w:left="360" w:right="20" w:hanging="352"/>
        <w:spacing w:after="0" w:line="25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18, 2005 is as follows: Mr. Bennett, 10,014; Ms. Cole, 5,397; Mr. McDonald, 7,866; Mr. Menaker, 9,458; Ms. Perez, 395; Mr. Rediker, 1,723; Mr. Reed, 9,067; Mr. Sansom, 9,837; and Mr. Vinroot, 8,716. Amounts reported also include options for common stock in the amount of 13,500 for each Director, except Ms. Cole, who has 7,000, Ms. Perez, who has none, and Mr. Rediker, who has 3,000. All such options are exercisable.</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approximation of the number of shares in Ms. Cole’s IRA.</w:t>
      </w:r>
    </w:p>
    <w:p>
      <w:pPr>
        <w:spacing w:after="0" w:line="9" w:lineRule="exact"/>
        <w:rPr>
          <w:rFonts w:ascii="Times New Roman" w:cs="Times New Roman" w:eastAsia="Times New Roman" w:hAnsi="Times New Roman"/>
          <w:sz w:val="18"/>
          <w:szCs w:val="18"/>
          <w:color w:val="auto"/>
        </w:rPr>
      </w:pPr>
    </w:p>
    <w:p>
      <w:pPr>
        <w:ind w:left="360" w:right="20" w:hanging="352"/>
        <w:spacing w:after="0" w:line="281"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owned for each of Mses. Bar and Henry and Messrs. Moe, Sipling, Zelnak and all Directors and executive officers as a group assumes that options held by each of them covering shares of common stock in the amounts indicated, which are currently exercisable within 60 days of March 18, 2005, have been exercised: Ms. Bar, 33,916; Ms. Henry, 116,499; Mr. Moe, 84,000; Mr. Sipling, 168,000; Mr. Zelnak, 518,999; and all Directors and executive officers as a group, 1,150,912. The amounts reported also include common stock units credited to each of the named executives in connection with</w:t>
      </w:r>
    </w:p>
    <w:p>
      <w:pPr>
        <w:spacing w:after="0" w:line="2" w:lineRule="exact"/>
        <w:rPr>
          <w:rFonts w:ascii="Times New Roman" w:cs="Times New Roman" w:eastAsia="Times New Roman" w:hAnsi="Times New Roman"/>
          <w:sz w:val="16"/>
          <w:szCs w:val="16"/>
          <w:color w:val="auto"/>
        </w:rPr>
      </w:pPr>
    </w:p>
    <w:p>
      <w:pPr>
        <w:ind w:left="36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Bar, 4,238 and 9,352, respectively; Ms. Henry, 6,329 and 2,336, respectively; Mr. Moe, 2,751 and 21,956, respectively; Mr. Sipling, 8,711 and 22,744, respectively; Mr. Zelnak, 33,552 and 65,903, respectively; and all Directors and executive officers as a group, 69,559 and 164,529, respectively. There are no voting rights associated with the stock units.</w:t>
      </w:r>
    </w:p>
    <w:p>
      <w:pPr>
        <w:spacing w:after="0" w:line="2"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approximation of the number of shares in the participant’s account in the Martin Marietta Materials, Inc. Performance Sharing Plan.</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1,210 shares owned indirectly.</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14,578 shares held by the Zelnak Private Foundation of which Mr. Zelnak and his wife are trustees and share voting and investment power.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16(a) Beneficial Ownership Reporting Compliance</w:t>
      </w:r>
    </w:p>
    <w:p>
      <w:pPr>
        <w:spacing w:after="0" w:line="212" w:lineRule="exact"/>
        <w:rPr>
          <w:sz w:val="20"/>
          <w:szCs w:val="20"/>
          <w:color w:val="auto"/>
        </w:rPr>
      </w:pPr>
    </w:p>
    <w:p>
      <w:pPr>
        <w:ind w:right="100" w:firstLine="486"/>
        <w:spacing w:after="0" w:line="239" w:lineRule="auto"/>
        <w:rPr>
          <w:sz w:val="20"/>
          <w:szCs w:val="20"/>
          <w:color w:val="auto"/>
        </w:rPr>
      </w:pPr>
      <w:r>
        <w:rPr>
          <w:rFonts w:ascii="Times New Roman" w:cs="Times New Roman" w:eastAsia="Times New Roman" w:hAnsi="Times New Roman"/>
          <w:sz w:val="22"/>
          <w:szCs w:val="22"/>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type w:val="continuous"/>
        </w:sectPr>
      </w:pPr>
    </w:p>
    <w:bookmarkStart w:id="10" w:name="page11"/>
    <w:bookmarkEnd w:id="10"/>
    <w:p>
      <w:pPr>
        <w:ind w:right="60" w:firstLine="486"/>
        <w:spacing w:after="0" w:line="244" w:lineRule="auto"/>
        <w:rPr>
          <w:sz w:val="20"/>
          <w:szCs w:val="20"/>
          <w:color w:val="auto"/>
        </w:rPr>
      </w:pPr>
      <w:r>
        <w:rPr>
          <w:rFonts w:ascii="Times New Roman" w:cs="Times New Roman" w:eastAsia="Times New Roman" w:hAnsi="Times New Roman"/>
          <w:sz w:val="22"/>
          <w:szCs w:val="22"/>
          <w:color w:val="auto"/>
        </w:rPr>
        <w:t>Based solely on its review of the copies of reports furnished to the Corporation and written representations that no other reports were required for the year ended December 31, 2004, the Corporation believes that no Director, officer, or 10% shareholder failed to timely file in 2004 any report required by Section 16(a).</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CORPORATE GOVERNANCE MATTERS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Board Of Directors</w:t>
      </w:r>
    </w:p>
    <w:p>
      <w:pPr>
        <w:spacing w:after="0" w:line="212" w:lineRule="exact"/>
        <w:rPr>
          <w:sz w:val="20"/>
          <w:szCs w:val="20"/>
          <w:color w:val="auto"/>
        </w:rPr>
      </w:pPr>
    </w:p>
    <w:p>
      <w:pPr>
        <w:ind w:right="580" w:firstLine="474"/>
        <w:spacing w:after="0" w:line="258" w:lineRule="auto"/>
        <w:rPr>
          <w:sz w:val="20"/>
          <w:szCs w:val="20"/>
          <w:color w:val="auto"/>
        </w:rPr>
      </w:pPr>
      <w:r>
        <w:rPr>
          <w:rFonts w:ascii="Times New Roman" w:cs="Times New Roman" w:eastAsia="Times New Roman" w:hAnsi="Times New Roman"/>
          <w:sz w:val="22"/>
          <w:szCs w:val="22"/>
          <w:color w:val="auto"/>
        </w:rPr>
        <w:t>As of the date of this proxy statement, the Board of Directors consists of ten members, nine of whom are non-employee Directors. The Board is divided into three classes with three-year terms.</w:t>
      </w:r>
    </w:p>
    <w:p>
      <w:pPr>
        <w:spacing w:after="0" w:line="158" w:lineRule="exact"/>
        <w:rPr>
          <w:sz w:val="20"/>
          <w:szCs w:val="20"/>
          <w:color w:val="auto"/>
        </w:rPr>
      </w:pPr>
    </w:p>
    <w:p>
      <w:pPr>
        <w:ind w:firstLine="482"/>
        <w:spacing w:after="0" w:line="236" w:lineRule="auto"/>
        <w:rPr>
          <w:sz w:val="20"/>
          <w:szCs w:val="20"/>
          <w:color w:val="auto"/>
        </w:rPr>
      </w:pPr>
      <w:r>
        <w:rPr>
          <w:rFonts w:ascii="Times New Roman" w:cs="Times New Roman" w:eastAsia="Times New Roman" w:hAnsi="Times New Roman"/>
          <w:sz w:val="22"/>
          <w:szCs w:val="22"/>
          <w:color w:val="auto"/>
        </w:rPr>
        <w:t>The Board of Directors has nominated three persons for election as Directors to serve three-year terms expiring in 2008 and one person for election as Director appointed to the class of Directors with a term expiring 2007.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82" w:lineRule="exact"/>
        <w:rPr>
          <w:sz w:val="20"/>
          <w:szCs w:val="20"/>
          <w:color w:val="auto"/>
        </w:rPr>
      </w:pPr>
    </w:p>
    <w:p>
      <w:pPr>
        <w:ind w:right="40" w:firstLine="482"/>
        <w:spacing w:after="0" w:line="235" w:lineRule="auto"/>
        <w:rPr>
          <w:sz w:val="20"/>
          <w:szCs w:val="20"/>
          <w:color w:val="auto"/>
        </w:rPr>
      </w:pPr>
      <w:r>
        <w:rPr>
          <w:rFonts w:ascii="Times New Roman" w:cs="Times New Roman" w:eastAsia="Times New Roman" w:hAnsi="Times New Roman"/>
          <w:sz w:val="22"/>
          <w:szCs w:val="22"/>
          <w:color w:val="auto"/>
        </w:rPr>
        <w:t>The Bylaws of the Corporation provide that a Director is eligible for election as a Director for a three-year term only if the three-year term expires not later than December 31 of the calendar year in which the Director turns 72. One current Director, James M. Reed, reached this mandatory retirement age this year and is not eligible for election at the annual meeting for a new three-year term. Mr. Reed intends to serve as a Director of the Corporation through the annual meeting, after which he will retire from the Board. Laree E. Perez was appointed to the Board of Directors effective October 20, 2004 to serve in the class of Directors with a term expiring in 2007, and is standing for election by shareholders at the 2005 annual meeting of shareholders for the remainder of the term. Proxies cannot be voted for a greater number of persons than the number of nominees named.</w:t>
      </w:r>
    </w:p>
    <w:p>
      <w:pPr>
        <w:spacing w:after="0" w:line="184" w:lineRule="exact"/>
        <w:rPr>
          <w:sz w:val="20"/>
          <w:szCs w:val="20"/>
          <w:color w:val="auto"/>
        </w:rPr>
      </w:pPr>
    </w:p>
    <w:p>
      <w:pPr>
        <w:ind w:firstLine="474"/>
        <w:spacing w:after="0" w:line="236" w:lineRule="auto"/>
        <w:rPr>
          <w:sz w:val="20"/>
          <w:szCs w:val="20"/>
          <w:color w:val="auto"/>
        </w:rPr>
      </w:pPr>
      <w:r>
        <w:rPr>
          <w:rFonts w:ascii="Times New Roman" w:cs="Times New Roman" w:eastAsia="Times New Roman" w:hAnsi="Times New Roman"/>
          <w:sz w:val="22"/>
          <w:szCs w:val="22"/>
          <w:color w:val="auto"/>
        </w:rPr>
        <w:t>After the annual meeting there will be one vacancy on the Board. The Board, and its Nominating and Corporate Governance Committee, will continue to review and evaluate potential candidates to fill such vacancy as promptly as practicable, but do not intend at this time to nominate an additional person for election at the annual meeting to fill the impending vacancy. If a vacancy on the Board is filled by the Board after the 2005 annual meeting but before the 2006 annual meeting, such appointment will be in the class of Directors with a term expiring in 2008, but such Director will stand for election by shareholders at the 2006 annual meeting of shareholders for the remainder of the term.</w:t>
      </w:r>
    </w:p>
    <w:p>
      <w:pPr>
        <w:spacing w:after="0" w:line="182" w:lineRule="exact"/>
        <w:rPr>
          <w:sz w:val="20"/>
          <w:szCs w:val="20"/>
          <w:color w:val="auto"/>
        </w:rPr>
      </w:pPr>
    </w:p>
    <w:p>
      <w:pPr>
        <w:ind w:right="560" w:firstLine="482"/>
        <w:spacing w:after="0" w:line="258" w:lineRule="auto"/>
        <w:rPr>
          <w:sz w:val="20"/>
          <w:szCs w:val="20"/>
          <w:color w:val="auto"/>
        </w:rPr>
      </w:pPr>
      <w:r>
        <w:rPr>
          <w:rFonts w:ascii="Times New Roman" w:cs="Times New Roman" w:eastAsia="Times New Roman" w:hAnsi="Times New Roman"/>
          <w:sz w:val="22"/>
          <w:szCs w:val="22"/>
          <w:color w:val="auto"/>
        </w:rPr>
        <w:t>The following sets forth certain biographical information for each of the nominees for election and for each of the other members of the Board of Directors who will continue in office after the annual meeting.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i w:val="1"/>
          <w:iCs w:val="1"/>
          <w:color w:val="auto"/>
        </w:rPr>
        <w:t>Nominees for Election to the Board of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 a Term Continuing Until 2008:</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Sue W. Cole </w:t>
      </w:r>
      <w:r>
        <w:rPr>
          <w:rFonts w:ascii="Times New Roman" w:cs="Times New Roman" w:eastAsia="Times New Roman" w:hAnsi="Times New Roman"/>
          <w:sz w:val="22"/>
          <w:szCs w:val="22"/>
          <w:color w:val="auto"/>
        </w:rPr>
        <w:t>(54)</w:t>
      </w:r>
    </w:p>
    <w:p>
      <w:pPr>
        <w:spacing w:after="0" w:line="2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Director (since 2002), member of the Audit Committee, Management Development and Compensation Committee, and Nominating and Corporate Governance Committee.</w:t>
      </w:r>
    </w:p>
    <w:p>
      <w:pPr>
        <w:spacing w:after="0" w:line="154" w:lineRule="exact"/>
        <w:rPr>
          <w:sz w:val="20"/>
          <w:szCs w:val="20"/>
          <w:color w:val="auto"/>
        </w:rPr>
      </w:pPr>
    </w:p>
    <w:p>
      <w:pPr>
        <w:ind w:left="460"/>
        <w:spacing w:after="0" w:line="239" w:lineRule="auto"/>
        <w:rPr>
          <w:sz w:val="20"/>
          <w:szCs w:val="20"/>
          <w:color w:val="auto"/>
        </w:rPr>
      </w:pPr>
      <w:r>
        <w:rPr>
          <w:rFonts w:ascii="Times New Roman" w:cs="Times New Roman" w:eastAsia="Times New Roman" w:hAnsi="Times New Roman"/>
          <w:sz w:val="22"/>
          <w:szCs w:val="22"/>
          <w:color w:val="auto"/>
        </w:rPr>
        <w:t>Ms. Cole has served as Regional Chief Executive Officer of the Mid-Atlantic Region of U.S. Trust Company, N.A., an integrated wealth management firm, since 2003. Previously she served as Chief Executive Officer and a Director of U.S. Trust Company of North Carolina and its predecessor, North Carolina Trust Company, from 2001 to 2003 and as President from 1997 to 2003. She is a Director of Unifi,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William B. Sansom </w:t>
      </w:r>
      <w:r>
        <w:rPr>
          <w:rFonts w:ascii="Times New Roman" w:cs="Times New Roman" w:eastAsia="Times New Roman" w:hAnsi="Times New Roman"/>
          <w:sz w:val="22"/>
          <w:szCs w:val="22"/>
          <w:color w:val="auto"/>
        </w:rPr>
        <w:t>(63)</w:t>
      </w:r>
    </w:p>
    <w:p>
      <w:pPr>
        <w:spacing w:after="0" w:line="206"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22"/>
          <w:szCs w:val="22"/>
          <w:i w:val="1"/>
          <w:iCs w:val="1"/>
          <w:color w:val="auto"/>
        </w:rPr>
        <w:t>Director (since 1994), Chair of the Finance Committee, member of the Audit Committee and Ethics, Environment, Safety and Health Committee.</w:t>
      </w:r>
    </w:p>
    <w:p>
      <w:pPr>
        <w:spacing w:after="0" w:line="154" w:lineRule="exact"/>
        <w:rPr>
          <w:sz w:val="20"/>
          <w:szCs w:val="20"/>
          <w:color w:val="auto"/>
        </w:rPr>
      </w:pPr>
    </w:p>
    <w:p>
      <w:pPr>
        <w:ind w:left="460" w:right="220"/>
        <w:spacing w:after="0" w:line="238" w:lineRule="auto"/>
        <w:rPr>
          <w:sz w:val="20"/>
          <w:szCs w:val="20"/>
          <w:color w:val="auto"/>
        </w:rPr>
      </w:pPr>
      <w:r>
        <w:rPr>
          <w:rFonts w:ascii="Times New Roman" w:cs="Times New Roman" w:eastAsia="Times New Roman" w:hAnsi="Times New Roman"/>
          <w:sz w:val="22"/>
          <w:szCs w:val="22"/>
          <w:color w:val="auto"/>
        </w:rPr>
        <w:t>Mr. Sansom has served as the Chairman and Chief Executive Officer of The H. T. Hackney Co., a wholesale distributor of consumer goods, since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Stephen P. Zelnak, Jr. </w:t>
      </w:r>
      <w:r>
        <w:rPr>
          <w:rFonts w:ascii="Times New Roman" w:cs="Times New Roman" w:eastAsia="Times New Roman" w:hAnsi="Times New Roman"/>
          <w:sz w:val="22"/>
          <w:szCs w:val="22"/>
          <w:color w:val="auto"/>
        </w:rPr>
        <w:t>(60)</w:t>
      </w:r>
    </w:p>
    <w:p>
      <w:pPr>
        <w:spacing w:after="0" w:line="206"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22"/>
          <w:szCs w:val="22"/>
          <w:i w:val="1"/>
          <w:iCs w:val="1"/>
          <w:color w:val="auto"/>
        </w:rPr>
        <w:t>Chairman of the Board (since 1997) and Director (since 1993), Chair of the Executive Committee and member of the Finance Committee.</w:t>
      </w:r>
    </w:p>
    <w:p>
      <w:pPr>
        <w:spacing w:after="0" w:line="154" w:lineRule="exact"/>
        <w:rPr>
          <w:sz w:val="20"/>
          <w:szCs w:val="20"/>
          <w:color w:val="auto"/>
        </w:rPr>
      </w:pPr>
    </w:p>
    <w:p>
      <w:pPr>
        <w:ind w:left="460" w:right="80"/>
        <w:spacing w:after="0" w:line="236" w:lineRule="auto"/>
        <w:rPr>
          <w:sz w:val="20"/>
          <w:szCs w:val="20"/>
          <w:color w:val="auto"/>
        </w:rPr>
      </w:pPr>
      <w:r>
        <w:rPr>
          <w:rFonts w:ascii="Times New Roman" w:cs="Times New Roman" w:eastAsia="Times New Roman" w:hAnsi="Times New Roman"/>
          <w:sz w:val="22"/>
          <w:szCs w:val="22"/>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 Mr. Zelnak is also a Director of Beazer Homes USA,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 a Term Continuing Until 2007: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Laree E. Perez </w:t>
      </w:r>
      <w:r>
        <w:rPr>
          <w:rFonts w:ascii="Times New Roman" w:cs="Times New Roman" w:eastAsia="Times New Roman" w:hAnsi="Times New Roman"/>
          <w:sz w:val="22"/>
          <w:szCs w:val="22"/>
          <w:color w:val="auto"/>
        </w:rPr>
        <w:t>(51)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(since 2004), member of the Audit Committee and Ethics, Environment, Safety and Health Committee.</w:t>
      </w:r>
    </w:p>
    <w:p>
      <w:pPr>
        <w:spacing w:after="0" w:line="210"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21"/>
          <w:szCs w:val="21"/>
          <w:color w:val="auto"/>
        </w:rPr>
        <w:t>Ms. Perez has served as the Managing Partner in The Medallion Company, LLC, an investment management company, since 2003 and as an independent financial consultant with that company since 2002. From 1996 to 2002, she served as Vice President of Loomis, Sayles &amp; Company, L.P. Ms. Perez is a Director of Reliant Energy, Inc. and chairs its Audit Committee.</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The Board unanimously recommends a vote “FOR”</w:t>
      </w:r>
    </w:p>
    <w:p>
      <w:pPr>
        <w:spacing w:after="0" w:line="20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all nominees for election to the Board of Directors.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6"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i w:val="1"/>
          <w:iCs w:val="1"/>
          <w:color w:val="auto"/>
        </w:rPr>
        <w:t>Directors Whose Terms Continue Until 2006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William E. McDonald </w:t>
      </w:r>
      <w:r>
        <w:rPr>
          <w:rFonts w:ascii="Times New Roman" w:cs="Times New Roman" w:eastAsia="Times New Roman" w:hAnsi="Times New Roman"/>
          <w:sz w:val="22"/>
          <w:szCs w:val="22"/>
          <w:color w:val="auto"/>
        </w:rPr>
        <w:t>(60)</w:t>
      </w:r>
    </w:p>
    <w:p>
      <w:pPr>
        <w:spacing w:after="0" w:line="2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Director (since 1996), Chair of the Management Development and Compensation Committee, member of the Executive Committee and Nominating and Corporate Governance Committee.</w:t>
      </w:r>
    </w:p>
    <w:p>
      <w:pPr>
        <w:spacing w:after="0" w:line="154" w:lineRule="exact"/>
        <w:rPr>
          <w:sz w:val="20"/>
          <w:szCs w:val="20"/>
          <w:color w:val="auto"/>
        </w:rPr>
      </w:pPr>
    </w:p>
    <w:p>
      <w:pPr>
        <w:ind w:left="460" w:right="320"/>
        <w:spacing w:after="0" w:line="239" w:lineRule="auto"/>
        <w:rPr>
          <w:sz w:val="20"/>
          <w:szCs w:val="20"/>
          <w:color w:val="auto"/>
        </w:rPr>
      </w:pPr>
      <w:r>
        <w:rPr>
          <w:rFonts w:ascii="Times New Roman" w:cs="Times New Roman" w:eastAsia="Times New Roman" w:hAnsi="Times New Roman"/>
          <w:sz w:val="22"/>
          <w:szCs w:val="22"/>
          <w:color w:val="auto"/>
        </w:rPr>
        <w:t>Mr. McDonald served as Senior Vice President, Customer Service Operations, Sprint Corporation, a telecommunications company, until his retirement in 2000. He was previously President and Chief Executive Officer of Sprint Mid-Atlantic Operations from 1993 through 1997 and President and Chief Executive Officer for Sprint/ United Telephone-Eastern from 1988 to 1993.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Frank H. Menaker, Jr. </w:t>
      </w:r>
      <w:r>
        <w:rPr>
          <w:rFonts w:ascii="Times New Roman" w:cs="Times New Roman" w:eastAsia="Times New Roman" w:hAnsi="Times New Roman"/>
          <w:sz w:val="22"/>
          <w:szCs w:val="22"/>
          <w:color w:val="auto"/>
        </w:rPr>
        <w:t>(64)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(since 1993), Chair of the Ethics, Environment, Safety and Health Committee, member of the Audit Committee.</w:t>
      </w:r>
    </w:p>
    <w:p>
      <w:pPr>
        <w:spacing w:after="0" w:line="210" w:lineRule="exact"/>
        <w:rPr>
          <w:sz w:val="20"/>
          <w:szCs w:val="20"/>
          <w:color w:val="auto"/>
        </w:rPr>
      </w:pPr>
    </w:p>
    <w:p>
      <w:pPr>
        <w:ind w:left="460" w:right="540"/>
        <w:spacing w:after="0" w:line="239" w:lineRule="auto"/>
        <w:rPr>
          <w:sz w:val="20"/>
          <w:szCs w:val="20"/>
          <w:color w:val="auto"/>
        </w:rPr>
      </w:pPr>
      <w:r>
        <w:rPr>
          <w:rFonts w:ascii="Times New Roman" w:cs="Times New Roman" w:eastAsia="Times New Roman" w:hAnsi="Times New Roman"/>
          <w:sz w:val="22"/>
          <w:szCs w:val="22"/>
          <w:color w:val="auto"/>
        </w:rPr>
        <w:t>Mr. Menaker has served as Senior Vice President and General Counsel of Lockheed Martin Corporation, a defense, aeronautics, and aerospace company, since 1996. He served as Vice President and General Counsel of Lockheed Martin Corporation from 1995 to 1996, as Vice President of Martin Marietta Corporation from 1982 until 1995, and as General Counsel of Martin Marietta Corporation from 1981 until 1995.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Richard A. Vinroot </w:t>
      </w:r>
      <w:r>
        <w:rPr>
          <w:rFonts w:ascii="Times New Roman" w:cs="Times New Roman" w:eastAsia="Times New Roman" w:hAnsi="Times New Roman"/>
          <w:sz w:val="22"/>
          <w:szCs w:val="22"/>
          <w:color w:val="auto"/>
        </w:rPr>
        <w:t>(63)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(since 1996), member of the Ethics, Environment, Safety and Health Committee and Finance Committee.</w:t>
      </w:r>
    </w:p>
    <w:p>
      <w:pPr>
        <w:spacing w:after="0" w:line="210"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22"/>
          <w:szCs w:val="22"/>
          <w:color w:val="auto"/>
        </w:rPr>
        <w:t>Mr. Vinroot has been a member of the law firm of Robinson, Bradshaw &amp; Hinson, P.A. in Charlotte, North Carolina since 1969. From 1991 to 1995, Mr. Vinroot served as Mayor of Charlotte, North Carolina.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Directors Whose Terms Continue Until 2007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Marcus C. Bennett </w:t>
      </w:r>
      <w:r>
        <w:rPr>
          <w:rFonts w:ascii="Times New Roman" w:cs="Times New Roman" w:eastAsia="Times New Roman" w:hAnsi="Times New Roman"/>
          <w:sz w:val="22"/>
          <w:szCs w:val="22"/>
          <w:color w:val="auto"/>
        </w:rPr>
        <w:t>(69)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(since 1993), Chair of the Audit Committee, member of the Executive Committee and Finance Committee.</w:t>
      </w:r>
    </w:p>
    <w:p>
      <w:pPr>
        <w:spacing w:after="0" w:line="210" w:lineRule="exact"/>
        <w:rPr>
          <w:sz w:val="20"/>
          <w:szCs w:val="20"/>
          <w:color w:val="auto"/>
        </w:rPr>
      </w:pPr>
    </w:p>
    <w:p>
      <w:pPr>
        <w:ind w:left="460"/>
        <w:spacing w:after="0" w:line="235" w:lineRule="auto"/>
        <w:rPr>
          <w:sz w:val="20"/>
          <w:szCs w:val="20"/>
          <w:color w:val="auto"/>
        </w:rPr>
      </w:pPr>
      <w:r>
        <w:rPr>
          <w:rFonts w:ascii="Times New Roman" w:cs="Times New Roman" w:eastAsia="Times New Roman" w:hAnsi="Times New Roman"/>
          <w:sz w:val="22"/>
          <w:szCs w:val="22"/>
          <w:color w:val="auto"/>
        </w:rPr>
        <w:t>Mr. Bennett served as Executive Vice President and Chief Financial Officer of Lockheed Martin Corporation from 1996 until his retirement in 1999. He continues to be a Director of Lockheed Martin Corporation, a position he has held since 1995. From 1995 until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From 1993 to 2002, Mr. Bennett served as a Director of Carpenter Technology Corporation and chaired its Audit Committee from 1998 to 1999.</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6"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 xml:space="preserve">Dennis L. Rediker </w:t>
      </w:r>
      <w:r>
        <w:rPr>
          <w:rFonts w:ascii="Times New Roman" w:cs="Times New Roman" w:eastAsia="Times New Roman" w:hAnsi="Times New Roman"/>
          <w:sz w:val="22"/>
          <w:szCs w:val="22"/>
          <w:color w:val="auto"/>
        </w:rPr>
        <w:t>(61)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(since 2003), member of the Finance Committee and Ethics, Environment, Safety and Health Committee.</w:t>
      </w:r>
    </w:p>
    <w:p>
      <w:pPr>
        <w:spacing w:after="0" w:line="210"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21"/>
          <w:szCs w:val="21"/>
          <w:color w:val="auto"/>
        </w:rPr>
        <w:t>Mr. Rediker has served as President and Chief Executive Officer of The Standard Register Company, an information solutions company, since 2000 and as a Director of that company since 1995. From 1999 to 2000, he was Chief Executive Officer of the Imerys Pigments and Additives Operating Group. From 1996 until 1999, he was Chief Executive Officer and Director of English China Clays, plc. From 1993 until 1996, he was President and Chief Executive Officer of ECC International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Governance Philosophy</w:t>
      </w:r>
    </w:p>
    <w:p>
      <w:pPr>
        <w:spacing w:after="0" w:line="212" w:lineRule="exact"/>
        <w:rPr>
          <w:sz w:val="20"/>
          <w:szCs w:val="20"/>
          <w:color w:val="auto"/>
        </w:rPr>
      </w:pPr>
    </w:p>
    <w:p>
      <w:pPr>
        <w:ind w:firstLine="482"/>
        <w:spacing w:after="0" w:line="235" w:lineRule="auto"/>
        <w:rPr>
          <w:sz w:val="20"/>
          <w:szCs w:val="20"/>
          <w:color w:val="auto"/>
        </w:rPr>
      </w:pPr>
      <w:r>
        <w:rPr>
          <w:rFonts w:ascii="Times New Roman" w:cs="Times New Roman" w:eastAsia="Times New Roman" w:hAnsi="Times New Roman"/>
          <w:sz w:val="22"/>
          <w:szCs w:val="22"/>
          <w:color w:val="auto"/>
        </w:rPr>
        <w:t xml:space="preserve">The Board of Directors has long believed that good corporate governance is important to ensure the Corporation is managed for the long-term benefit of its shareholders. Martin Marietta Materials’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Martin Marietta Materials are conducted has been the Corporation’s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which has been in place for two decades.</w:t>
      </w:r>
    </w:p>
    <w:p>
      <w:pPr>
        <w:spacing w:after="0" w:line="184" w:lineRule="exact"/>
        <w:rPr>
          <w:sz w:val="20"/>
          <w:szCs w:val="20"/>
          <w:color w:val="auto"/>
        </w:rPr>
      </w:pPr>
    </w:p>
    <w:p>
      <w:pPr>
        <w:ind w:firstLine="482"/>
        <w:spacing w:after="0" w:line="236" w:lineRule="auto"/>
        <w:rPr>
          <w:sz w:val="20"/>
          <w:szCs w:val="20"/>
          <w:color w:val="auto"/>
        </w:rPr>
      </w:pPr>
      <w:r>
        <w:rPr>
          <w:rFonts w:ascii="Times New Roman" w:cs="Times New Roman" w:eastAsia="Times New Roman" w:hAnsi="Times New Roman"/>
          <w:sz w:val="22"/>
          <w:szCs w:val="22"/>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182"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22"/>
          <w:szCs w:val="22"/>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for the Corporation. The Nominating and Corporate Governance Committee is responsible for overseeing the guidelines and making recommendations to the Board relating to corporate governance matters.</w:t>
      </w:r>
    </w:p>
    <w:p>
      <w:pPr>
        <w:spacing w:after="0" w:line="177" w:lineRule="exact"/>
        <w:rPr>
          <w:sz w:val="20"/>
          <w:szCs w:val="20"/>
          <w:color w:val="auto"/>
        </w:rPr>
      </w:pPr>
    </w:p>
    <w:p>
      <w:pPr>
        <w:jc w:val="both"/>
        <w:ind w:right="200" w:firstLine="482"/>
        <w:spacing w:after="0" w:line="255" w:lineRule="auto"/>
        <w:rPr>
          <w:sz w:val="20"/>
          <w:szCs w:val="20"/>
          <w:color w:val="auto"/>
        </w:rPr>
      </w:pPr>
      <w:r>
        <w:rPr>
          <w:rFonts w:ascii="Times New Roman" w:cs="Times New Roman" w:eastAsia="Times New Roman" w:hAnsi="Times New Roman"/>
          <w:sz w:val="21"/>
          <w:szCs w:val="21"/>
          <w:color w:val="auto"/>
        </w:rPr>
        <w:t>The New York Stock Exchange (“NYSE”) adopted new and revised rules that require listed companies to adopt governance guidelines and comply with certain standards regarding corporate governance. These new rules became effective with the date of the 2004 annual meeting of shareholders, and the Corporation voluntarily implemented these corporate governance rules prior to their effective date. The NYSE adopted additional amendments to these rules in 2004, which the Corporation has implemented.</w:t>
      </w:r>
    </w:p>
    <w:p>
      <w:pPr>
        <w:spacing w:after="0" w:line="162" w:lineRule="exact"/>
        <w:rPr>
          <w:sz w:val="20"/>
          <w:szCs w:val="20"/>
          <w:color w:val="auto"/>
        </w:rPr>
      </w:pPr>
    </w:p>
    <w:p>
      <w:pPr>
        <w:ind w:right="60" w:firstLine="482"/>
        <w:spacing w:after="0" w:line="238" w:lineRule="auto"/>
        <w:rPr>
          <w:sz w:val="20"/>
          <w:szCs w:val="20"/>
          <w:color w:val="auto"/>
        </w:rPr>
      </w:pPr>
      <w:r>
        <w:rPr>
          <w:rFonts w:ascii="Times New Roman" w:cs="Times New Roman" w:eastAsia="Times New Roman" w:hAnsi="Times New Roman"/>
          <w:sz w:val="22"/>
          <w:szCs w:val="22"/>
          <w:color w:val="auto"/>
        </w:rPr>
        <w:t>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(“SEC”). The Corporation also submits written affirmations to the NYSE annually regarding details of the Corporation’s compliance with the corporate governance rules of the NYSE.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14" w:name="page15"/>
    <w:bookmarkEnd w:id="14"/>
    <w:p>
      <w:pPr>
        <w:ind w:firstLine="482"/>
        <w:spacing w:after="0" w:line="246" w:lineRule="auto"/>
        <w:rPr>
          <w:sz w:val="20"/>
          <w:szCs w:val="20"/>
          <w:color w:val="auto"/>
        </w:rPr>
      </w:pPr>
      <w:r>
        <w:rPr>
          <w:rFonts w:ascii="Times New Roman" w:cs="Times New Roman" w:eastAsia="Times New Roman" w:hAnsi="Times New Roman"/>
          <w:sz w:val="22"/>
          <w:szCs w:val="22"/>
          <w:color w:val="auto"/>
        </w:rPr>
        <w:t xml:space="preserve">The Corporation’s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are posted and available for public viewing on the Corporation’s website at </w:t>
      </w:r>
      <w:r>
        <w:rPr>
          <w:rFonts w:ascii="Times New Roman" w:cs="Times New Roman" w:eastAsia="Times New Roman" w:hAnsi="Times New Roman"/>
          <w:sz w:val="22"/>
          <w:szCs w:val="22"/>
          <w:i w:val="1"/>
          <w:iCs w:val="1"/>
          <w:color w:val="auto"/>
        </w:rPr>
        <w:t>www.martinmarietta.com.</w:t>
      </w:r>
      <w:r>
        <w:rPr>
          <w:rFonts w:ascii="Times New Roman" w:cs="Times New Roman" w:eastAsia="Times New Roman" w:hAnsi="Times New Roman"/>
          <w:sz w:val="22"/>
          <w:szCs w:val="22"/>
          <w:color w:val="auto"/>
        </w:rPr>
        <w:t xml:space="preserve"> The guidelines address a wide array of governance issues. Among other matters, the corporate governance principles of Martin Marietta Materials include the following: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Ethics</w:t>
      </w:r>
    </w:p>
    <w:p>
      <w:pPr>
        <w:spacing w:after="0" w:line="208" w:lineRule="exact"/>
        <w:rPr>
          <w:sz w:val="20"/>
          <w:szCs w:val="20"/>
          <w:color w:val="auto"/>
        </w:rPr>
      </w:pPr>
    </w:p>
    <w:p>
      <w:pPr>
        <w:ind w:left="920" w:right="300" w:hanging="331"/>
        <w:spacing w:after="0" w:line="26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comprehensive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xml:space="preserve"> applicable to all Directors, officers, and employees of the Corporation, including the Corporation’s executive officers, has been in place since the 1980’s.</w:t>
      </w:r>
    </w:p>
    <w:p>
      <w:pPr>
        <w:spacing w:after="0" w:line="180" w:lineRule="exact"/>
        <w:rPr>
          <w:rFonts w:ascii="Times New Roman" w:cs="Times New Roman" w:eastAsia="Times New Roman" w:hAnsi="Times New Roman"/>
          <w:sz w:val="22"/>
          <w:szCs w:val="22"/>
          <w:color w:val="auto"/>
        </w:rPr>
      </w:pPr>
    </w:p>
    <w:p>
      <w:pPr>
        <w:ind w:left="920" w:right="80" w:hanging="331"/>
        <w:spacing w:after="0" w:line="258"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confidential telephone hotline for anonymous reporting of complaints and concerns was established in 1994 when the Corporation’s common stock became publicly traded.</w:t>
      </w:r>
    </w:p>
    <w:p>
      <w:pPr>
        <w:spacing w:after="0" w:line="185" w:lineRule="exact"/>
        <w:rPr>
          <w:rFonts w:ascii="Times New Roman" w:cs="Times New Roman" w:eastAsia="Times New Roman" w:hAnsi="Times New Roman"/>
          <w:sz w:val="22"/>
          <w:szCs w:val="22"/>
          <w:color w:val="auto"/>
        </w:rPr>
      </w:pPr>
    </w:p>
    <w:p>
      <w:pPr>
        <w:ind w:left="920" w:right="240" w:hanging="331"/>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196" w:lineRule="exact"/>
        <w:rPr>
          <w:rFonts w:ascii="Times New Roman" w:cs="Times New Roman" w:eastAsia="Times New Roman" w:hAnsi="Times New Roman"/>
          <w:sz w:val="22"/>
          <w:szCs w:val="22"/>
          <w:color w:val="auto"/>
        </w:rPr>
      </w:pPr>
    </w:p>
    <w:p>
      <w:pPr>
        <w:ind w:left="920" w:right="40" w:hanging="331"/>
        <w:spacing w:after="0" w:line="24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will also disclose on its website any amendments to its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xml:space="preserve"> and waivers, if any, of such code as applicable to the Corporation’s Directors and executive officers. Any waiver of the </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 Ethics and Standards of Conduct </w:t>
      </w:r>
      <w:r>
        <w:rPr>
          <w:rFonts w:ascii="Times New Roman" w:cs="Times New Roman" w:eastAsia="Times New Roman" w:hAnsi="Times New Roman"/>
          <w:sz w:val="22"/>
          <w:szCs w:val="22"/>
          <w:color w:val="auto"/>
        </w:rPr>
        <w:t>for Directors or executive officers will be made only by the full Board and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disclosed to shareholders.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Independence</w:t>
      </w:r>
    </w:p>
    <w:p>
      <w:pPr>
        <w:spacing w:after="0" w:line="212" w:lineRule="exact"/>
        <w:rPr>
          <w:sz w:val="20"/>
          <w:szCs w:val="20"/>
          <w:color w:val="auto"/>
        </w:rPr>
      </w:pPr>
    </w:p>
    <w:p>
      <w:pPr>
        <w:ind w:left="920" w:hanging="331"/>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2002, the Board has elected to office three additional independent, non-employee Directors.</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Nine out of ten Board members are independent Directors, as defined in the rules of the NYSE.</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Nine out of ten Board members are non-employee Directors.</w:t>
      </w:r>
    </w:p>
    <w:p>
      <w:pPr>
        <w:spacing w:after="0" w:line="229" w:lineRule="exact"/>
        <w:rPr>
          <w:rFonts w:ascii="Times New Roman" w:cs="Times New Roman" w:eastAsia="Times New Roman" w:hAnsi="Times New Roman"/>
          <w:sz w:val="22"/>
          <w:szCs w:val="22"/>
          <w:color w:val="auto"/>
        </w:rPr>
      </w:pPr>
    </w:p>
    <w:p>
      <w:pPr>
        <w:ind w:left="920" w:right="220" w:hanging="331"/>
        <w:spacing w:after="0" w:line="26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Corporation’s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adopted by the Board reflect the Board’s belief that at least two-thirds of all Directors should consist of independent Directors.</w:t>
      </w:r>
    </w:p>
    <w:p>
      <w:pPr>
        <w:spacing w:after="0" w:line="176" w:lineRule="exact"/>
        <w:rPr>
          <w:rFonts w:ascii="Times New Roman" w:cs="Times New Roman" w:eastAsia="Times New Roman" w:hAnsi="Times New Roman"/>
          <w:sz w:val="22"/>
          <w:szCs w:val="22"/>
          <w:color w:val="auto"/>
        </w:rPr>
      </w:pPr>
    </w:p>
    <w:p>
      <w:pPr>
        <w:ind w:left="920" w:right="160" w:hanging="331"/>
        <w:spacing w:after="0" w:line="262"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has adopted </w:t>
      </w:r>
      <w:r>
        <w:rPr>
          <w:rFonts w:ascii="Times New Roman" w:cs="Times New Roman" w:eastAsia="Times New Roman" w:hAnsi="Times New Roman"/>
          <w:sz w:val="22"/>
          <w:szCs w:val="22"/>
          <w:i w:val="1"/>
          <w:iCs w:val="1"/>
          <w:color w:val="auto"/>
        </w:rPr>
        <w:t>Guidelines for Director’s Independence</w:t>
      </w:r>
      <w:r>
        <w:rPr>
          <w:rFonts w:ascii="Times New Roman" w:cs="Times New Roman" w:eastAsia="Times New Roman" w:hAnsi="Times New Roman"/>
          <w:sz w:val="22"/>
          <w:szCs w:val="22"/>
          <w:color w:val="auto"/>
        </w:rPr>
        <w:t xml:space="preserve"> for the Corporation and has determined that nine of the ten Board members are independent under these Guidelines.</w:t>
      </w:r>
    </w:p>
    <w:p>
      <w:pPr>
        <w:spacing w:after="0" w:line="180" w:lineRule="exact"/>
        <w:rPr>
          <w:rFonts w:ascii="Times New Roman" w:cs="Times New Roman" w:eastAsia="Times New Roman" w:hAnsi="Times New Roman"/>
          <w:sz w:val="22"/>
          <w:szCs w:val="22"/>
          <w:color w:val="auto"/>
        </w:rPr>
      </w:pPr>
    </w:p>
    <w:p>
      <w:pPr>
        <w:ind w:left="920" w:right="20" w:hanging="331"/>
        <w:spacing w:after="0" w:line="258"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has adopted a policy of regularly scheduled executive sessions where the independent Directors meet without management.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Independent Board Committees</w:t>
      </w:r>
    </w:p>
    <w:p>
      <w:pPr>
        <w:spacing w:after="0" w:line="212" w:lineRule="exact"/>
        <w:rPr>
          <w:sz w:val="20"/>
          <w:szCs w:val="20"/>
          <w:color w:val="auto"/>
        </w:rPr>
      </w:pPr>
    </w:p>
    <w:p>
      <w:pPr>
        <w:ind w:left="920" w:right="240" w:hanging="331"/>
        <w:spacing w:after="0" w:line="239"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had since it went public in 1994 an Audit Committee and a Compensation Committee, which in 2004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207" w:lineRule="exact"/>
        <w:rPr>
          <w:rFonts w:ascii="Times New Roman" w:cs="Times New Roman" w:eastAsia="Times New Roman" w:hAnsi="Times New Roman"/>
          <w:sz w:val="22"/>
          <w:szCs w:val="22"/>
          <w:color w:val="auto"/>
        </w:rPr>
      </w:pPr>
    </w:p>
    <w:p>
      <w:pPr>
        <w:ind w:left="920" w:right="180" w:hanging="331"/>
        <w:spacing w:after="0" w:line="258"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and Corporate Governance Committee also consists entirely of independent Directors. Included in the responsibilities of the Nominating and Corporate Governance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15" w:name="page16"/>
    <w:bookmarkEnd w:id="15"/>
    <w:p>
      <w:pPr>
        <w:ind w:left="920" w:right="180"/>
        <w:spacing w:after="0" w:line="244" w:lineRule="auto"/>
        <w:rPr>
          <w:sz w:val="20"/>
          <w:szCs w:val="20"/>
          <w:color w:val="auto"/>
        </w:rPr>
      </w:pPr>
      <w:r>
        <w:rPr>
          <w:rFonts w:ascii="Times New Roman" w:cs="Times New Roman" w:eastAsia="Times New Roman" w:hAnsi="Times New Roman"/>
          <w:sz w:val="22"/>
          <w:szCs w:val="22"/>
          <w:color w:val="auto"/>
        </w:rPr>
        <w:t>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201" w:lineRule="exact"/>
        <w:rPr>
          <w:sz w:val="20"/>
          <w:szCs w:val="20"/>
          <w:color w:val="auto"/>
        </w:rPr>
      </w:pPr>
    </w:p>
    <w:p>
      <w:pPr>
        <w:ind w:left="920" w:right="600" w:hanging="331"/>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 Committee meets privately with each of management, representatives of the Corporation’s independent auditors, and the Corporation’s internal audit group.</w:t>
      </w:r>
    </w:p>
    <w:p>
      <w:pPr>
        <w:spacing w:after="0" w:line="185" w:lineRule="exact"/>
        <w:rPr>
          <w:rFonts w:ascii="Times New Roman" w:cs="Times New Roman" w:eastAsia="Times New Roman" w:hAnsi="Times New Roman"/>
          <w:sz w:val="22"/>
          <w:szCs w:val="22"/>
          <w:color w:val="auto"/>
        </w:rPr>
      </w:pPr>
    </w:p>
    <w:p>
      <w:pPr>
        <w:ind w:left="920" w:right="360" w:hanging="331"/>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Audit Committee do not receive any consulting or advisory fees or other compensation from the Corporation other than Directors fees.</w:t>
      </w:r>
    </w:p>
    <w:p>
      <w:pPr>
        <w:spacing w:after="0" w:line="185" w:lineRule="exact"/>
        <w:rPr>
          <w:rFonts w:ascii="Times New Roman" w:cs="Times New Roman" w:eastAsia="Times New Roman" w:hAnsi="Times New Roman"/>
          <w:sz w:val="22"/>
          <w:szCs w:val="22"/>
          <w:color w:val="auto"/>
        </w:rPr>
      </w:pPr>
    </w:p>
    <w:p>
      <w:pPr>
        <w:ind w:left="920" w:right="1060" w:hanging="331"/>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the Audit Committee have no affiliation with the Corporation other than as a Director of the Corporation.</w:t>
      </w:r>
    </w:p>
    <w:p>
      <w:pPr>
        <w:spacing w:after="0" w:line="185" w:lineRule="exact"/>
        <w:rPr>
          <w:rFonts w:ascii="Times New Roman" w:cs="Times New Roman" w:eastAsia="Times New Roman" w:hAnsi="Times New Roman"/>
          <w:sz w:val="22"/>
          <w:szCs w:val="22"/>
          <w:color w:val="auto"/>
        </w:rPr>
      </w:pPr>
    </w:p>
    <w:p>
      <w:pPr>
        <w:ind w:left="920" w:right="900" w:hanging="331"/>
        <w:spacing w:after="0" w:line="258"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has determined that the Audit Committee includes at least one member who is an audit committee financial expert, as defined in SEC rules.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12" w:lineRule="exact"/>
        <w:rPr>
          <w:sz w:val="20"/>
          <w:szCs w:val="20"/>
          <w:color w:val="auto"/>
        </w:rPr>
      </w:pPr>
    </w:p>
    <w:p>
      <w:pPr>
        <w:ind w:left="920" w:hanging="331"/>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and its members are subject to an annual self-assessment of their performance and the Board’s performance.</w:t>
      </w:r>
    </w:p>
    <w:p>
      <w:pPr>
        <w:spacing w:after="0" w:line="244" w:lineRule="exact"/>
        <w:rPr>
          <w:rFonts w:ascii="Times New Roman" w:cs="Times New Roman" w:eastAsia="Times New Roman" w:hAnsi="Times New Roman"/>
          <w:sz w:val="21"/>
          <w:szCs w:val="21"/>
          <w:color w:val="auto"/>
        </w:rPr>
      </w:pPr>
    </w:p>
    <w:p>
      <w:pPr>
        <w:ind w:left="920" w:right="880" w:hanging="331"/>
        <w:spacing w:after="0" w:line="258"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have access to members of the Corporation’s management team and, as necessary and appropriate, to independent advisors.</w:t>
      </w:r>
    </w:p>
    <w:p>
      <w:pPr>
        <w:spacing w:after="0" w:line="185"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annually, the Board evaluates the performance of the Chief Executive Officer.</w:t>
      </w:r>
    </w:p>
    <w:p>
      <w:pPr>
        <w:spacing w:after="0" w:line="233" w:lineRule="exact"/>
        <w:rPr>
          <w:rFonts w:ascii="Times New Roman" w:cs="Times New Roman" w:eastAsia="Times New Roman" w:hAnsi="Times New Roman"/>
          <w:sz w:val="22"/>
          <w:szCs w:val="22"/>
          <w:color w:val="auto"/>
        </w:rPr>
      </w:pPr>
    </w:p>
    <w:p>
      <w:pPr>
        <w:ind w:left="920" w:right="420" w:hanging="331"/>
        <w:spacing w:after="0" w:line="244"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Times New Roman" w:cs="Times New Roman" w:eastAsia="Times New Roman" w:hAnsi="Times New Roman"/>
          <w:sz w:val="22"/>
          <w:szCs w:val="22"/>
          <w:i w:val="1"/>
          <w:iCs w:val="1"/>
          <w:color w:val="auto"/>
        </w:rPr>
        <w:t>www.martinmarietta.com</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Independent Directors</w:t>
      </w:r>
    </w:p>
    <w:p>
      <w:pPr>
        <w:spacing w:after="0" w:line="212" w:lineRule="exact"/>
        <w:rPr>
          <w:sz w:val="20"/>
          <w:szCs w:val="20"/>
          <w:color w:val="auto"/>
        </w:rPr>
      </w:pPr>
    </w:p>
    <w:p>
      <w:pPr>
        <w:ind w:right="80" w:firstLine="474"/>
        <w:spacing w:after="0" w:line="238" w:lineRule="auto"/>
        <w:rPr>
          <w:sz w:val="20"/>
          <w:szCs w:val="20"/>
          <w:color w:val="auto"/>
        </w:rPr>
      </w:pPr>
      <w:r>
        <w:rPr>
          <w:rFonts w:ascii="Times New Roman" w:cs="Times New Roman" w:eastAsia="Times New Roman" w:hAnsi="Times New Roman"/>
          <w:sz w:val="22"/>
          <w:szCs w:val="22"/>
          <w:color w:val="auto"/>
        </w:rPr>
        <w:t>All of the Corporation’s Directors are independent, non-employee Directors except Mr. Zelnak. Mr. Zelnak does not sit in the executive sessions of the Board nor does he participate in any action of the Board relating to any executive compensation plan in which he participates.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173" w:lineRule="exact"/>
        <w:rPr>
          <w:sz w:val="20"/>
          <w:szCs w:val="20"/>
          <w:color w:val="auto"/>
        </w:rPr>
      </w:pPr>
    </w:p>
    <w:p>
      <w:pPr>
        <w:ind w:right="80" w:firstLine="486"/>
        <w:spacing w:after="0" w:line="238" w:lineRule="auto"/>
        <w:rPr>
          <w:sz w:val="20"/>
          <w:szCs w:val="20"/>
          <w:color w:val="auto"/>
        </w:rPr>
      </w:pPr>
      <w:r>
        <w:rPr>
          <w:rFonts w:ascii="Times New Roman" w:cs="Times New Roman" w:eastAsia="Times New Roman" w:hAnsi="Times New Roman"/>
          <w:sz w:val="22"/>
          <w:szCs w:val="22"/>
          <w:color w:val="auto"/>
        </w:rPr>
        <w:t xml:space="preserve">In assessing the independence of its members, the Board has adopted for the Corporation a set of </w:t>
      </w:r>
      <w:r>
        <w:rPr>
          <w:rFonts w:ascii="Times New Roman" w:cs="Times New Roman" w:eastAsia="Times New Roman" w:hAnsi="Times New Roman"/>
          <w:sz w:val="22"/>
          <w:szCs w:val="22"/>
          <w:i w:val="1"/>
          <w:iCs w:val="1"/>
          <w:color w:val="auto"/>
        </w:rPr>
        <w:t>Guidelines for Director’s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Independence. </w:t>
      </w:r>
      <w:r>
        <w:rPr>
          <w:rFonts w:ascii="Times New Roman" w:cs="Times New Roman" w:eastAsia="Times New Roman" w:hAnsi="Times New Roman"/>
          <w:sz w:val="22"/>
          <w:szCs w:val="22"/>
          <w:color w:val="auto"/>
        </w:rPr>
        <w:t>A copy of these Guidelines is appended to this proxy statement. These Guidelines reflect the rules of the NYSE,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1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21"/>
          <w:szCs w:val="21"/>
          <w:color w:val="auto"/>
        </w:rPr>
        <w:t>Mr. Vinroot is a partner in the law firm of Robinson, Bradshaw &amp; Hinson, P.A. located in Charlotte, North Carolina, which provided certain legal services to the Corporation in 2004. Mr. Vinroot did not work on any of the legal matters for the Corporation. The amount of fees paid to Robinson, Bradshaw &amp; Hinson, P.A. for such services was less than $1 million and less than 1% of the firm’s gross revenues for the last fiscal year. Accordingly, the Board determined that Mr. Vinroot’s relationship 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6" w:name="page17"/>
    <w:bookmarkEnd w:id="16"/>
    <w:p>
      <w:pPr>
        <w:ind w:right="1200"/>
        <w:spacing w:after="0" w:line="258" w:lineRule="auto"/>
        <w:rPr>
          <w:sz w:val="20"/>
          <w:szCs w:val="20"/>
          <w:color w:val="auto"/>
        </w:rPr>
      </w:pPr>
      <w:r>
        <w:rPr>
          <w:rFonts w:ascii="Times New Roman" w:cs="Times New Roman" w:eastAsia="Times New Roman" w:hAnsi="Times New Roman"/>
          <w:sz w:val="22"/>
          <w:szCs w:val="22"/>
          <w:color w:val="auto"/>
        </w:rPr>
        <w:t>the Corporation, directly and as a partner of Robinson, Bradshaw &amp; Hinson, P.A., was not material for purposes of the independence determination.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Do the independent Directors ever meet without management?</w:t>
      </w:r>
    </w:p>
    <w:p>
      <w:pPr>
        <w:spacing w:after="0" w:line="208" w:lineRule="exact"/>
        <w:rPr>
          <w:sz w:val="20"/>
          <w:szCs w:val="20"/>
          <w:color w:val="auto"/>
        </w:rPr>
      </w:pPr>
    </w:p>
    <w:p>
      <w:pPr>
        <w:ind w:firstLine="482"/>
        <w:spacing w:after="0" w:line="236" w:lineRule="auto"/>
        <w:rPr>
          <w:sz w:val="20"/>
          <w:szCs w:val="20"/>
          <w:color w:val="auto"/>
        </w:rPr>
      </w:pPr>
      <w:r>
        <w:rPr>
          <w:rFonts w:ascii="Times New Roman" w:cs="Times New Roman" w:eastAsia="Times New Roman" w:hAnsi="Times New Roman"/>
          <w:sz w:val="22"/>
          <w:szCs w:val="22"/>
          <w:color w:val="auto"/>
        </w:rPr>
        <w:t xml:space="preserve">The Corporation’s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 Executive Officer. In 2004 the Corporation’s non-employee Directors met two times in executive session without management, in addition to executive sessions held by committees of the Board. The Chair of the Nominating and Corporate Governance Committee, currently Mr. Reed, a non-employee Director, presides at these executive sessions of non-employee Directors. In the absence of such Chair, the non-employee Directors would elect from among themselves a Chair for such an executive session.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would interested parties make their concerns known to the independent Directors?</w:t>
      </w:r>
    </w:p>
    <w:p>
      <w:pPr>
        <w:spacing w:after="0" w:line="212" w:lineRule="exact"/>
        <w:rPr>
          <w:sz w:val="20"/>
          <w:szCs w:val="20"/>
          <w:color w:val="auto"/>
        </w:rPr>
      </w:pPr>
    </w:p>
    <w:p>
      <w:pPr>
        <w:ind w:right="100" w:firstLine="482"/>
        <w:spacing w:after="0" w:line="249" w:lineRule="auto"/>
        <w:rPr>
          <w:sz w:val="20"/>
          <w:szCs w:val="20"/>
          <w:color w:val="auto"/>
        </w:rPr>
      </w:pPr>
      <w:r>
        <w:rPr>
          <w:rFonts w:ascii="Times New Roman" w:cs="Times New Roman" w:eastAsia="Times New Roman" w:hAnsi="Times New Roman"/>
          <w:sz w:val="21"/>
          <w:szCs w:val="21"/>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171" w:lineRule="exact"/>
        <w:rPr>
          <w:sz w:val="20"/>
          <w:szCs w:val="20"/>
          <w:color w:val="auto"/>
        </w:rPr>
      </w:pPr>
    </w:p>
    <w:p>
      <w:pPr>
        <w:ind w:firstLine="474"/>
        <w:spacing w:after="0" w:line="238" w:lineRule="auto"/>
        <w:rPr>
          <w:sz w:val="20"/>
          <w:szCs w:val="20"/>
          <w:color w:val="auto"/>
        </w:rPr>
      </w:pPr>
      <w:r>
        <w:rPr>
          <w:rFonts w:ascii="Times New Roman" w:cs="Times New Roman" w:eastAsia="Times New Roman" w:hAnsi="Times New Roman"/>
          <w:sz w:val="22"/>
          <w:szCs w:val="22"/>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77" w:lineRule="exact"/>
        <w:rPr>
          <w:sz w:val="20"/>
          <w:szCs w:val="20"/>
          <w:color w:val="auto"/>
        </w:rPr>
      </w:pPr>
    </w:p>
    <w:p>
      <w:pPr>
        <w:jc w:val="both"/>
        <w:ind w:right="260" w:firstLine="482"/>
        <w:spacing w:after="0" w:line="262" w:lineRule="auto"/>
        <w:rPr>
          <w:sz w:val="20"/>
          <w:szCs w:val="20"/>
          <w:color w:val="auto"/>
        </w:rPr>
      </w:pPr>
      <w:r>
        <w:rPr>
          <w:rFonts w:ascii="Times New Roman" w:cs="Times New Roman" w:eastAsia="Times New Roman" w:hAnsi="Times New Roman"/>
          <w:sz w:val="21"/>
          <w:szCs w:val="21"/>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Times New Roman" w:cs="Times New Roman" w:eastAsia="Times New Roman" w:hAnsi="Times New Roman"/>
          <w:sz w:val="21"/>
          <w:szCs w:val="21"/>
          <w:i w:val="1"/>
          <w:iCs w:val="1"/>
          <w:color w:val="auto"/>
        </w:rPr>
        <w:t>www.martinmarietta.com.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often did the Board meet during 2004?</w:t>
      </w:r>
    </w:p>
    <w:p>
      <w:pPr>
        <w:spacing w:after="0" w:line="212" w:lineRule="exact"/>
        <w:rPr>
          <w:sz w:val="20"/>
          <w:szCs w:val="20"/>
          <w:color w:val="auto"/>
        </w:rPr>
      </w:pPr>
    </w:p>
    <w:p>
      <w:pPr>
        <w:jc w:val="both"/>
        <w:ind w:right="300" w:firstLine="482"/>
        <w:spacing w:after="0" w:line="244" w:lineRule="auto"/>
        <w:rPr>
          <w:sz w:val="20"/>
          <w:szCs w:val="20"/>
          <w:color w:val="auto"/>
        </w:rPr>
      </w:pPr>
      <w:r>
        <w:rPr>
          <w:rFonts w:ascii="Times New Roman" w:cs="Times New Roman" w:eastAsia="Times New Roman" w:hAnsi="Times New Roman"/>
          <w:sz w:val="22"/>
          <w:szCs w:val="22"/>
          <w:color w:val="auto"/>
        </w:rPr>
        <w:t>The Corporation’s Board of Directors held 5 meetings during 2004, all of which were regularly scheduled meetings. There was also a total of 23 committee meetings in 2004. In addition, management confers frequently with its Directors on an informal basis to discuss Corporation affairs.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Board and Committee Meeting Attendance</w:t>
      </w:r>
    </w:p>
    <w:p>
      <w:pPr>
        <w:spacing w:after="0" w:line="21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22"/>
          <w:szCs w:val="22"/>
          <w:color w:val="auto"/>
        </w:rPr>
        <w:t>In 2004, all Directors attended at least 92% of the meetings of the Board of Directors and committees of the Board on which they served (during the periods that they served).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Will the Directors attend the annual meeting?</w:t>
      </w:r>
    </w:p>
    <w:p>
      <w:pPr>
        <w:spacing w:after="0" w:line="212" w:lineRule="exact"/>
        <w:rPr>
          <w:sz w:val="20"/>
          <w:szCs w:val="20"/>
          <w:color w:val="auto"/>
        </w:rPr>
      </w:pPr>
    </w:p>
    <w:p>
      <w:pPr>
        <w:ind w:right="500" w:firstLine="482"/>
        <w:spacing w:after="0" w:line="258" w:lineRule="auto"/>
        <w:rPr>
          <w:sz w:val="20"/>
          <w:szCs w:val="20"/>
          <w:color w:val="auto"/>
        </w:rPr>
      </w:pPr>
      <w:r>
        <w:rPr>
          <w:rFonts w:ascii="Times New Roman" w:cs="Times New Roman" w:eastAsia="Times New Roman" w:hAnsi="Times New Roman"/>
          <w:sz w:val="22"/>
          <w:szCs w:val="22"/>
          <w:color w:val="auto"/>
        </w:rPr>
        <w:t>The Corporation’s Directors are expected to attend the Corporation’s annual meeting of shareholders. All Directors then serving on the Board except Mr. Menaker attended the 2004 annual meeting of shareholders.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are Directors compensated?</w:t>
      </w:r>
    </w:p>
    <w:p>
      <w:pPr>
        <w:spacing w:after="0" w:line="212" w:lineRule="exact"/>
        <w:rPr>
          <w:sz w:val="20"/>
          <w:szCs w:val="20"/>
          <w:color w:val="auto"/>
        </w:rPr>
      </w:pPr>
    </w:p>
    <w:p>
      <w:pPr>
        <w:ind w:firstLine="474"/>
        <w:spacing w:after="0" w:line="249" w:lineRule="auto"/>
        <w:rPr>
          <w:sz w:val="20"/>
          <w:szCs w:val="20"/>
          <w:color w:val="auto"/>
        </w:rPr>
      </w:pPr>
      <w:r>
        <w:rPr>
          <w:rFonts w:ascii="Times New Roman" w:cs="Times New Roman" w:eastAsia="Times New Roman" w:hAnsi="Times New Roman"/>
          <w:sz w:val="21"/>
          <w:szCs w:val="21"/>
          <w:color w:val="auto"/>
        </w:rPr>
        <w:t>All of the Directors serving in 2004 except Mr. Zelnak, who is the Chief Executive Officer of the Corporation, and Ms. Perez, who was elected effective October 20, 2004, received an annual retainer of $32,500 and were each granted 3,000 non-qualified stock option awards in accordance with the Martin Marietta Materials, Inc. Amended and Restated Stock-Based Award Plan.</w:t>
      </w:r>
    </w:p>
    <w:p>
      <w:pPr>
        <w:spacing w:after="0" w:line="2"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2"/>
          <w:szCs w:val="22"/>
          <w:color w:val="auto"/>
        </w:rPr>
        <w:t>Ms. Perez received a pro-rata annual retainer, and no stock options were awarded to Ms. Perez in 2004. Directors also received $1,250 for each regular or special meeting of the Board and Board committees attended. The Chair of the Audit Committee received an additional $8,000 and members of the Audit Committee received an additional $5,000 in view of their increased responsibilities. Each committee chair (other than the chairs of the Audit and the Executive Committees) also received an annual fee of $4,000. Directors received reimbursement for travel and other expenses related to attendance at Board and committee meetings.</w:t>
      </w:r>
    </w:p>
    <w:p>
      <w:pPr>
        <w:spacing w:after="0" w:line="177" w:lineRule="exact"/>
        <w:rPr>
          <w:sz w:val="20"/>
          <w:szCs w:val="20"/>
          <w:color w:val="auto"/>
        </w:rPr>
      </w:pPr>
    </w:p>
    <w:p>
      <w:pPr>
        <w:ind w:right="20" w:firstLine="486"/>
        <w:spacing w:after="0" w:line="235" w:lineRule="auto"/>
        <w:rPr>
          <w:sz w:val="20"/>
          <w:szCs w:val="20"/>
          <w:color w:val="auto"/>
        </w:rPr>
      </w:pPr>
      <w:r>
        <w:rPr>
          <w:rFonts w:ascii="Times New Roman" w:cs="Times New Roman" w:eastAsia="Times New Roman" w:hAnsi="Times New Roman"/>
          <w:sz w:val="22"/>
          <w:szCs w:val="22"/>
          <w:color w:val="auto"/>
        </w:rPr>
        <w:t>Pursuant to the Amended and Restated Martin Marietta Materials, Inc. Common Stock Purchase Plan for Directors, Directors may currently receive their compensation in cash or common stock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There are no matching contributions made by the Corporation, and there is no guarantee on returns to the Directors. The Board of Directors unanimously agreed that a minimum of 50% of each Director’s annual retainer would be paid in common stock at a 20% discount to fair market value and deferred under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Committees has the Board established?</w:t>
      </w:r>
    </w:p>
    <w:p>
      <w:pPr>
        <w:spacing w:after="0" w:line="212" w:lineRule="exact"/>
        <w:rPr>
          <w:sz w:val="20"/>
          <w:szCs w:val="20"/>
          <w:color w:val="auto"/>
        </w:rPr>
      </w:pPr>
    </w:p>
    <w:p>
      <w:pPr>
        <w:ind w:right="80" w:firstLine="482"/>
        <w:spacing w:after="0" w:line="244" w:lineRule="auto"/>
        <w:rPr>
          <w:sz w:val="20"/>
          <w:szCs w:val="20"/>
          <w:color w:val="auto"/>
        </w:rPr>
      </w:pPr>
      <w:r>
        <w:rPr>
          <w:rFonts w:ascii="Times New Roman" w:cs="Times New Roman" w:eastAsia="Times New Roman" w:hAnsi="Times New Roman"/>
          <w:sz w:val="22"/>
          <w:szCs w:val="22"/>
          <w:color w:val="auto"/>
        </w:rPr>
        <w:t>The Corporation’s Board of Directors has six standing committees: an Audit Committee, an Ethics, Environment, Safety and Health Committee, an Executive Committee, a Finance Committee, a Management Development and Compensation Committee, and a Nominating and Corporate Governance Committee.</w:t>
      </w:r>
    </w:p>
    <w:p>
      <w:pPr>
        <w:spacing w:after="0" w:line="170" w:lineRule="exact"/>
        <w:rPr>
          <w:sz w:val="20"/>
          <w:szCs w:val="20"/>
          <w:color w:val="auto"/>
        </w:rPr>
      </w:pPr>
    </w:p>
    <w:p>
      <w:pPr>
        <w:ind w:firstLine="482"/>
        <w:spacing w:after="0" w:line="249" w:lineRule="auto"/>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color w:val="auto"/>
        </w:rPr>
        <w:t>Audit Committee,</w:t>
      </w:r>
      <w:r>
        <w:rPr>
          <w:rFonts w:ascii="Times New Roman" w:cs="Times New Roman" w:eastAsia="Times New Roman" w:hAnsi="Times New Roman"/>
          <w:sz w:val="21"/>
          <w:szCs w:val="21"/>
          <w:color w:val="auto"/>
        </w:rPr>
        <w:t xml:space="preserve"> which is composed entirely of non-employee, independent Directors, held 9 meetings during 2004.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168" w:lineRule="exact"/>
        <w:rPr>
          <w:sz w:val="20"/>
          <w:szCs w:val="20"/>
          <w:color w:val="auto"/>
        </w:rPr>
      </w:pPr>
    </w:p>
    <w:p>
      <w:pPr>
        <w:ind w:left="920" w:hanging="331"/>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selects the independent auditors</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pre-approves all audit and non-audit services provided to the Corporation by the independent auditors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6" w:right="299" w:bottom="1440" w:gutter="0" w:footer="0" w:header="0"/>
        </w:sectPr>
      </w:pPr>
    </w:p>
    <w:bookmarkStart w:id="18" w:name="page19"/>
    <w:bookmarkEnd w:id="18"/>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monitors the independence of the independent auditors</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reviews and approves:</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scope and timing of work to be performed by the independent auditors</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compensation to be paid to the independent auditors</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financial accounting and reporting principles used by the Corporation</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policies and procedures concerning audits, accounting, and financial controls</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recommendations to improve existing practices</w:t>
      </w:r>
    </w:p>
    <w:p>
      <w:pPr>
        <w:spacing w:after="0" w:line="206" w:lineRule="exact"/>
        <w:rPr>
          <w:rFonts w:ascii="Times New Roman" w:cs="Times New Roman" w:eastAsia="Times New Roman" w:hAnsi="Times New Roman"/>
          <w:sz w:val="22"/>
          <w:szCs w:val="22"/>
          <w:color w:val="auto"/>
        </w:rPr>
      </w:pPr>
    </w:p>
    <w:p>
      <w:pPr>
        <w:ind w:left="780" w:hanging="124"/>
        <w:spacing w:after="0"/>
        <w:tabs>
          <w:tab w:leader="none" w:pos="7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results of the audit and the report of the independent auditors</w:t>
      </w:r>
    </w:p>
    <w:p>
      <w:pPr>
        <w:spacing w:after="0" w:line="206" w:lineRule="exact"/>
        <w:rPr>
          <w:rFonts w:ascii="Times New Roman" w:cs="Times New Roman" w:eastAsia="Times New Roman" w:hAnsi="Times New Roman"/>
          <w:sz w:val="22"/>
          <w:szCs w:val="22"/>
          <w:color w:val="auto"/>
        </w:rPr>
      </w:pPr>
    </w:p>
    <w:p>
      <w:pPr>
        <w:ind w:left="920" w:right="520" w:hanging="331"/>
        <w:spacing w:after="0" w:line="258"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reviews and discusses the Corporation’s annual audited financial statements and quarterly financial statements with management and the independent auditors</w:t>
      </w:r>
    </w:p>
    <w:p>
      <w:pPr>
        <w:spacing w:after="0" w:line="185" w:lineRule="exact"/>
        <w:rPr>
          <w:rFonts w:ascii="Times New Roman" w:cs="Times New Roman" w:eastAsia="Times New Roman" w:hAnsi="Times New Roman"/>
          <w:sz w:val="22"/>
          <w:szCs w:val="22"/>
          <w:color w:val="auto"/>
        </w:rPr>
      </w:pPr>
    </w:p>
    <w:p>
      <w:pPr>
        <w:ind w:left="920" w:right="60" w:hanging="331"/>
        <w:spacing w:after="0" w:line="258"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reviews and discusses management’s assessment of the effectiveness of the Corporation’s system of internal control over financial reporting</w:t>
      </w:r>
    </w:p>
    <w:p>
      <w:pPr>
        <w:spacing w:after="0" w:line="185" w:lineRule="exact"/>
        <w:rPr>
          <w:rFonts w:ascii="Times New Roman" w:cs="Times New Roman" w:eastAsia="Times New Roman" w:hAnsi="Times New Roman"/>
          <w:sz w:val="22"/>
          <w:szCs w:val="22"/>
          <w:color w:val="auto"/>
        </w:rPr>
      </w:pPr>
    </w:p>
    <w:p>
      <w:pPr>
        <w:ind w:left="920" w:right="240" w:hanging="331"/>
        <w:spacing w:after="0" w:line="258"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discusses the Corporation’s earnings press releases, as well as financial information and earnings guidance provided to analysts and rating agencies</w:t>
      </w:r>
    </w:p>
    <w:p>
      <w:pPr>
        <w:spacing w:after="0" w:line="185" w:lineRule="exact"/>
        <w:rPr>
          <w:rFonts w:ascii="Times New Roman" w:cs="Times New Roman" w:eastAsia="Times New Roman" w:hAnsi="Times New Roman"/>
          <w:sz w:val="22"/>
          <w:szCs w:val="22"/>
          <w:color w:val="auto"/>
        </w:rPr>
      </w:pPr>
    </w:p>
    <w:p>
      <w:pPr>
        <w:ind w:left="920" w:right="180" w:hanging="331"/>
        <w:spacing w:after="0" w:line="258"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discusses guidelines, policies, and other matters related to risk assessment and risk management and how the process is handled by management</w:t>
      </w:r>
    </w:p>
    <w:p>
      <w:pPr>
        <w:spacing w:after="0" w:line="185"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considers allegations, if ever made, of possible financial fraud or other financial improprieties</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sets clear hiring policies for employees or former employees of the independent auditors</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reviews the qualifications and the plan and scope of work of the corporate internal audit function</w:t>
      </w:r>
    </w:p>
    <w:p>
      <w:pPr>
        <w:spacing w:after="0" w:line="233"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prepares an audit committee report as required by the SEC to be in this proxy statement</w:t>
      </w:r>
    </w:p>
    <w:p>
      <w:pPr>
        <w:spacing w:after="0" w:line="2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 xml:space="preserve">The Committee’s current members are Directors Bennett (Chair), Cole, Menaker, Perez, Reed, and Sansom. The Board of Directors has determined that the Chair of the Audit Committee, Mr. Bennett, qualifies as an “audit committee financial expert” as defined in rules adopted by the SEC. The Board has also determined that Mr. Bennett, and the other members of the Audit Committee, are independent of management, as required by the rules of the NYSE, SEC, and the Board’s </w:t>
      </w:r>
      <w:r>
        <w:rPr>
          <w:rFonts w:ascii="Times New Roman" w:cs="Times New Roman" w:eastAsia="Times New Roman" w:hAnsi="Times New Roman"/>
          <w:sz w:val="21"/>
          <w:szCs w:val="21"/>
          <w:i w:val="1"/>
          <w:iCs w:val="1"/>
          <w:color w:val="auto"/>
        </w:rPr>
        <w:t>Guidelines for Director’s Independence.</w:t>
      </w:r>
    </w:p>
    <w:p>
      <w:pPr>
        <w:spacing w:after="0" w:line="158" w:lineRule="exact"/>
        <w:rPr>
          <w:sz w:val="20"/>
          <w:szCs w:val="20"/>
          <w:color w:val="auto"/>
        </w:rPr>
      </w:pPr>
    </w:p>
    <w:p>
      <w:pPr>
        <w:ind w:right="360" w:firstLine="482"/>
        <w:spacing w:after="0" w:line="236"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Ethics, Environment, Safety and Health Committee</w:t>
      </w:r>
      <w:r>
        <w:rPr>
          <w:rFonts w:ascii="Times New Roman" w:cs="Times New Roman" w:eastAsia="Times New Roman" w:hAnsi="Times New Roman"/>
          <w:sz w:val="22"/>
          <w:szCs w:val="22"/>
          <w:color w:val="auto"/>
        </w:rPr>
        <w:t xml:space="preserve"> held 2 meetings during 2004. It monitors compliance with the Corporation’s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xml:space="preserve"> and reviews all matters 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Menaker (Chair), Perez, Rediker, Sansom, and Vinroot.</w:t>
      </w:r>
    </w:p>
    <w:p>
      <w:pPr>
        <w:spacing w:after="0" w:line="176" w:lineRule="exact"/>
        <w:rPr>
          <w:sz w:val="20"/>
          <w:szCs w:val="20"/>
          <w:color w:val="auto"/>
        </w:rPr>
      </w:pPr>
    </w:p>
    <w:p>
      <w:pPr>
        <w:ind w:firstLine="482"/>
        <w:spacing w:after="0" w:line="241"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Executive Committee</w:t>
      </w:r>
      <w:r>
        <w:rPr>
          <w:rFonts w:ascii="Times New Roman" w:cs="Times New Roman" w:eastAsia="Times New Roman" w:hAnsi="Times New Roman"/>
          <w:sz w:val="22"/>
          <w:szCs w:val="22"/>
          <w:color w:val="auto"/>
        </w:rPr>
        <w:t xml:space="preserve"> held no meetings during 2004.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reserved to the full Board. The Committee’s current members are Directors Zelnak (Chair), Bennett, McDonald, and Reed.</w:t>
      </w:r>
    </w:p>
    <w:p>
      <w:pPr>
        <w:spacing w:after="0" w:line="202" w:lineRule="exact"/>
        <w:rPr>
          <w:sz w:val="20"/>
          <w:szCs w:val="20"/>
          <w:color w:val="auto"/>
        </w:rPr>
      </w:pPr>
    </w:p>
    <w:p>
      <w:pPr>
        <w:ind w:right="160" w:firstLine="482"/>
        <w:spacing w:after="0" w:line="237"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Finance Committee</w:t>
      </w:r>
      <w:r>
        <w:rPr>
          <w:rFonts w:ascii="Times New Roman" w:cs="Times New Roman" w:eastAsia="Times New Roman" w:hAnsi="Times New Roman"/>
          <w:sz w:val="22"/>
          <w:szCs w:val="22"/>
          <w:color w:val="auto"/>
        </w:rPr>
        <w:t xml:space="preserve"> held 4 meetings during 2004.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Sansom (Chair), Bennett, Rediker, Vinroot, and Zelnak.</w:t>
      </w:r>
    </w:p>
    <w:p>
      <w:pPr>
        <w:spacing w:after="0" w:line="176" w:lineRule="exact"/>
        <w:rPr>
          <w:sz w:val="20"/>
          <w:szCs w:val="20"/>
          <w:color w:val="auto"/>
        </w:rPr>
      </w:pPr>
    </w:p>
    <w:p>
      <w:pPr>
        <w:ind w:firstLine="482"/>
        <w:spacing w:after="0" w:line="245" w:lineRule="auto"/>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color w:val="auto"/>
        </w:rPr>
        <w:t>Management Development and Compensation Committee</w:t>
      </w:r>
      <w:r>
        <w:rPr>
          <w:rFonts w:ascii="Times New Roman" w:cs="Times New Roman" w:eastAsia="Times New Roman" w:hAnsi="Times New Roman"/>
          <w:sz w:val="21"/>
          <w:szCs w:val="21"/>
          <w:color w:val="auto"/>
        </w:rPr>
        <w:t xml:space="preserve"> held 5 meetings during 2004.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has the power, in its sole discretion, to fix the 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 has the authority, in its sole discretion, to retain, pay, and terminate any consulting firm, if any, used to assist in evaluating director, chief executive officer, or senior executive compensation. The Committee produces a compensation committee report on executive officer compensation as required by the SEC to be included in this proxy statement. The Committee also reviews with management at least annually plans for the orderly development and succession of executive management of the Corporation. The Committee’s current members are Directors McDonald (Chair), Cole, and Reed.</w:t>
      </w:r>
    </w:p>
    <w:p>
      <w:pPr>
        <w:spacing w:after="0" w:line="175" w:lineRule="exact"/>
        <w:rPr>
          <w:sz w:val="20"/>
          <w:szCs w:val="20"/>
          <w:color w:val="auto"/>
        </w:rPr>
      </w:pPr>
    </w:p>
    <w:p>
      <w:pPr>
        <w:ind w:right="100" w:firstLine="482"/>
        <w:spacing w:after="0" w:line="236"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Nominating and Corporate Governance Committee</w:t>
      </w:r>
      <w:r>
        <w:rPr>
          <w:rFonts w:ascii="Times New Roman" w:cs="Times New Roman" w:eastAsia="Times New Roman" w:hAnsi="Times New Roman"/>
          <w:sz w:val="22"/>
          <w:szCs w:val="22"/>
          <w:color w:val="auto"/>
        </w:rPr>
        <w:t xml:space="preserve"> held 3 meetings in 2004. The Committee is composed entirely of non-employee, independent Directors, as required by the rules of the NYSE. The Committee oversees the identification and selection of qualified Board and committee members, recommends to the Board Director nominees for the next annual meeting of shareholders, oversees the evaluation of the Board and management (along with the Management Development and Compensation Committee), and oversees the development and implementation of a set of corporate governance principles applicable to the Corporation. The Committee has the sole authority to retain, pay, and terminate any search firm, if any, used to identify Director candidates. The Committee’s current members are Directors Reed (Chair), Cole, and McDonald.</w:t>
      </w:r>
    </w:p>
    <w:p>
      <w:pPr>
        <w:spacing w:after="0" w:line="176" w:lineRule="exact"/>
        <w:rPr>
          <w:sz w:val="20"/>
          <w:szCs w:val="20"/>
          <w:color w:val="auto"/>
        </w:rPr>
      </w:pPr>
    </w:p>
    <w:p>
      <w:pPr>
        <w:ind w:right="140" w:firstLine="486"/>
        <w:spacing w:after="0" w:line="238" w:lineRule="auto"/>
        <w:rPr>
          <w:sz w:val="20"/>
          <w:szCs w:val="20"/>
          <w:color w:val="auto"/>
        </w:rPr>
      </w:pPr>
      <w:r>
        <w:rPr>
          <w:rFonts w:ascii="Times New Roman" w:cs="Times New Roman" w:eastAsia="Times New Roman" w:hAnsi="Times New Roman"/>
          <w:sz w:val="22"/>
          <w:szCs w:val="22"/>
          <w:color w:val="auto"/>
        </w:rPr>
        <w:t xml:space="preserve">Upon the recommendation of this Committee, the Board of Directors has adopted a set of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for the Corporation. The Guidelines are posted and available for public viewing on the Corporation’s website at </w:t>
      </w:r>
      <w:r>
        <w:rPr>
          <w:rFonts w:ascii="Times New Roman" w:cs="Times New Roman" w:eastAsia="Times New Roman" w:hAnsi="Times New Roman"/>
          <w:sz w:val="22"/>
          <w:szCs w:val="22"/>
          <w:i w:val="1"/>
          <w:iCs w:val="1"/>
          <w:color w:val="auto"/>
        </w:rPr>
        <w:t xml:space="preserve">www.martinmarietta.com. </w:t>
      </w:r>
      <w:r>
        <w:rPr>
          <w:rFonts w:ascii="Times New Roman" w:cs="Times New Roman" w:eastAsia="Times New Roman" w:hAnsi="Times New Roman"/>
          <w:sz w:val="22"/>
          <w:szCs w:val="22"/>
          <w:color w:val="auto"/>
        </w:rPr>
        <w:t>A copy may also be obtained upon request from the Corporation’s Corporate Secretary.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concerning the corporate governance process of the Corporation is contained in the section entitled “CORPORATE GOVERNANCE MATTERS”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Will the Nominating and Corporate Governance Committee consider any Director candidates recommended by shareholders?</w:t>
      </w:r>
    </w:p>
    <w:p>
      <w:pPr>
        <w:spacing w:after="0" w:line="212" w:lineRule="exact"/>
        <w:rPr>
          <w:sz w:val="20"/>
          <w:szCs w:val="20"/>
          <w:color w:val="auto"/>
        </w:rPr>
      </w:pPr>
    </w:p>
    <w:p>
      <w:pPr>
        <w:ind w:right="80" w:firstLine="482"/>
        <w:spacing w:after="0" w:line="258" w:lineRule="auto"/>
        <w:rPr>
          <w:sz w:val="20"/>
          <w:szCs w:val="20"/>
          <w:color w:val="auto"/>
        </w:rPr>
      </w:pPr>
      <w:r>
        <w:rPr>
          <w:rFonts w:ascii="Times New Roman" w:cs="Times New Roman" w:eastAsia="Times New Roman" w:hAnsi="Times New Roman"/>
          <w:sz w:val="22"/>
          <w:szCs w:val="22"/>
          <w:color w:val="auto"/>
        </w:rPr>
        <w:t>The Nominating and Corporate Governance Committee will consider nominees recommended by shareholders for election as a Director at an annual meeting of shareholders of the Corporation if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0" w:name="page21"/>
    <w:bookmarkEnd w:id="20"/>
    <w:p>
      <w:pPr>
        <w:spacing w:after="0" w:line="234" w:lineRule="auto"/>
        <w:rPr>
          <w:sz w:val="20"/>
          <w:szCs w:val="20"/>
          <w:color w:val="auto"/>
        </w:rPr>
      </w:pPr>
      <w:r>
        <w:rPr>
          <w:rFonts w:ascii="Times New Roman" w:cs="Times New Roman" w:eastAsia="Times New Roman" w:hAnsi="Times New Roman"/>
          <w:sz w:val="22"/>
          <w:szCs w:val="22"/>
          <w:color w:val="auto"/>
        </w:rPr>
        <w:t>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2004 annual meeting, the Corporation has not made any material changes to the procedures by which shareholders may recommend nominees to the Corporation’s Board of Directors. Additional information is contained in the section entitled “SHAREHOLDERS’ PROPOSALS FOR 2006 ANNUAL MEETING”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does the Board select nominees for the Board?</w:t>
      </w:r>
    </w:p>
    <w:p>
      <w:pPr>
        <w:spacing w:after="0" w:line="212" w:lineRule="exact"/>
        <w:rPr>
          <w:sz w:val="20"/>
          <w:szCs w:val="20"/>
          <w:color w:val="auto"/>
        </w:rPr>
      </w:pPr>
    </w:p>
    <w:p>
      <w:pPr>
        <w:ind w:right="80" w:firstLine="482"/>
        <w:spacing w:after="0" w:line="234" w:lineRule="auto"/>
        <w:rPr>
          <w:sz w:val="20"/>
          <w:szCs w:val="20"/>
          <w:color w:val="auto"/>
        </w:rPr>
      </w:pPr>
      <w:r>
        <w:rPr>
          <w:rFonts w:ascii="Times New Roman" w:cs="Times New Roman" w:eastAsia="Times New Roman" w:hAnsi="Times New Roman"/>
          <w:sz w:val="22"/>
          <w:szCs w:val="22"/>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77"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22"/>
          <w:szCs w:val="22"/>
          <w:color w:val="auto"/>
        </w:rPr>
        <w:t xml:space="preserve">In evaluating any potential candidate, the Nominating and Corporate Governance Committee considers the extent to which the candidate has the personal characteristics and core competencies outlined in the </w:t>
      </w:r>
      <w:r>
        <w:rPr>
          <w:rFonts w:ascii="Times New Roman" w:cs="Times New Roman" w:eastAsia="Times New Roman" w:hAnsi="Times New Roman"/>
          <w:sz w:val="22"/>
          <w:szCs w:val="22"/>
          <w:i w:val="1"/>
          <w:iCs w:val="1"/>
          <w:color w:val="auto"/>
        </w:rPr>
        <w:t>Guidelines for Potential New Board Members</w:t>
      </w:r>
      <w:r>
        <w:rPr>
          <w:rFonts w:ascii="Times New Roman" w:cs="Times New Roman" w:eastAsia="Times New Roman" w:hAnsi="Times New Roman"/>
          <w:sz w:val="22"/>
          <w:szCs w:val="22"/>
          <w:color w:val="auto"/>
        </w:rPr>
        <w:t xml:space="preserve"> adopted by the Committee, and takes into account all other factors it considers appropriate. A copy of these Guidelines is appended to this proxy statement. The Committee seeks a diverse group of candidates who possess the background, skills, expertise, and time to make a significant contribution to the Board, to the Corporation, and to its shareholders.</w:t>
      </w:r>
    </w:p>
    <w:p>
      <w:pPr>
        <w:spacing w:after="0" w:line="177" w:lineRule="exact"/>
        <w:rPr>
          <w:sz w:val="20"/>
          <w:szCs w:val="20"/>
          <w:color w:val="auto"/>
        </w:rPr>
      </w:pPr>
    </w:p>
    <w:p>
      <w:pPr>
        <w:jc w:val="both"/>
        <w:ind w:right="20" w:firstLine="486"/>
        <w:spacing w:after="0" w:line="244" w:lineRule="auto"/>
        <w:rPr>
          <w:sz w:val="20"/>
          <w:szCs w:val="20"/>
          <w:color w:val="auto"/>
        </w:rPr>
      </w:pPr>
      <w:r>
        <w:rPr>
          <w:rFonts w:ascii="Times New Roman" w:cs="Times New Roman" w:eastAsia="Times New Roman" w:hAnsi="Times New Roman"/>
          <w:sz w:val="22"/>
          <w:szCs w:val="22"/>
          <w:color w:val="auto"/>
        </w:rPr>
        <w:t>Each nominee approved by the Nominating and Corporate Governance Committee and recommended for election at the 2005 annual meeting is a current Director standing for re-election. The Committee received no additional recommendations for Director nominees for consideration at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Do the Board Committees have charters? How can shareholders obtain them?</w:t>
      </w:r>
    </w:p>
    <w:p>
      <w:pPr>
        <w:spacing w:after="0" w:line="212" w:lineRule="exact"/>
        <w:rPr>
          <w:sz w:val="20"/>
          <w:szCs w:val="20"/>
          <w:color w:val="auto"/>
        </w:rPr>
      </w:pPr>
    </w:p>
    <w:p>
      <w:pPr>
        <w:ind w:right="140" w:firstLine="482"/>
        <w:spacing w:after="0" w:line="239" w:lineRule="auto"/>
        <w:rPr>
          <w:sz w:val="20"/>
          <w:szCs w:val="20"/>
          <w:color w:val="auto"/>
        </w:rPr>
      </w:pPr>
      <w:r>
        <w:rPr>
          <w:rFonts w:ascii="Times New Roman" w:cs="Times New Roman" w:eastAsia="Times New Roman" w:hAnsi="Times New Roman"/>
          <w:sz w:val="22"/>
          <w:szCs w:val="22"/>
          <w:color w:val="auto"/>
        </w:rPr>
        <w:t>The Corporation’s Board of Directors has adopted written charters for the Audit Committee, Management Development and Compensation Committee, and Nominating and Corporate Governance Committee, meeting the requirements of the rules of the NYSE. These charters address the purposes and responsibilities of each committee, as described above, and provide for an annual performance evaluation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21" w:name="page22"/>
    <w:bookmarkEnd w:id="21"/>
    <w:p>
      <w:pPr>
        <w:ind w:right="20"/>
        <w:spacing w:after="0" w:line="238" w:lineRule="auto"/>
        <w:rPr>
          <w:sz w:val="20"/>
          <w:szCs w:val="20"/>
          <w:color w:val="auto"/>
        </w:rPr>
      </w:pPr>
      <w:r>
        <w:rPr>
          <w:rFonts w:ascii="Times New Roman" w:cs="Times New Roman" w:eastAsia="Times New Roman" w:hAnsi="Times New Roman"/>
          <w:sz w:val="22"/>
          <w:szCs w:val="22"/>
          <w:color w:val="auto"/>
        </w:rPr>
        <w:t xml:space="preserve">of each committee. Copies of these charters are posted on the Corporation’s website at </w:t>
      </w:r>
      <w:r>
        <w:rPr>
          <w:rFonts w:ascii="Times New Roman" w:cs="Times New Roman" w:eastAsia="Times New Roman" w:hAnsi="Times New Roman"/>
          <w:sz w:val="22"/>
          <w:szCs w:val="22"/>
          <w:i w:val="1"/>
          <w:iCs w:val="1"/>
          <w:color w:val="auto"/>
        </w:rPr>
        <w:t>www.martinmarietta.com,</w:t>
      </w:r>
      <w:r>
        <w:rPr>
          <w:rFonts w:ascii="Times New Roman" w:cs="Times New Roman" w:eastAsia="Times New Roman" w:hAnsi="Times New Roman"/>
          <w:sz w:val="22"/>
          <w:szCs w:val="22"/>
          <w:color w:val="auto"/>
        </w:rPr>
        <w:t xml:space="preserve"> along with copies of the Corporation’s </w:t>
      </w:r>
      <w:r>
        <w:rPr>
          <w:rFonts w:ascii="Times New Roman" w:cs="Times New Roman" w:eastAsia="Times New Roman" w:hAnsi="Times New Roman"/>
          <w:sz w:val="22"/>
          <w:szCs w:val="22"/>
          <w:i w:val="1"/>
          <w:iCs w:val="1"/>
          <w:color w:val="auto"/>
        </w:rPr>
        <w:t>Corporate Governance Guidelines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xml:space="preserve"> A print copy of each of these items may also be obtained free of charge by any shareholder upon request by writing to: Martin Marietta Materials, Inc., Attn: Corporate Secretary, 2710 Wycliff Road, Raleigh, North Carolina 27607-3033. The charter of the Corporation’s Audit Committee, as presently existing, is appended to this proxy statement.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REPORT OF THE AUDIT COMMITTEE</w:t>
      </w:r>
    </w:p>
    <w:p>
      <w:pPr>
        <w:spacing w:after="0" w:line="210" w:lineRule="exact"/>
        <w:rPr>
          <w:sz w:val="20"/>
          <w:szCs w:val="20"/>
          <w:color w:val="auto"/>
        </w:rPr>
      </w:pPr>
    </w:p>
    <w:p>
      <w:pPr>
        <w:ind w:firstLine="482"/>
        <w:spacing w:after="0" w:line="234" w:lineRule="auto"/>
        <w:rPr>
          <w:sz w:val="20"/>
          <w:szCs w:val="20"/>
          <w:color w:val="auto"/>
        </w:rPr>
      </w:pPr>
      <w:r>
        <w:rPr>
          <w:rFonts w:ascii="Times New Roman" w:cs="Times New Roman" w:eastAsia="Times New Roman" w:hAnsi="Times New Roman"/>
          <w:sz w:val="22"/>
          <w:szCs w:val="22"/>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Times New Roman" w:cs="Times New Roman" w:eastAsia="Times New Roman" w:hAnsi="Times New Roman"/>
          <w:sz w:val="22"/>
          <w:szCs w:val="22"/>
          <w:i w:val="1"/>
          <w:iCs w:val="1"/>
          <w:color w:val="auto"/>
        </w:rPr>
        <w:t>Guidelines for Director’s Independence</w:t>
      </w:r>
      <w:r>
        <w:rPr>
          <w:rFonts w:ascii="Times New Roman" w:cs="Times New Roman" w:eastAsia="Times New Roman" w:hAnsi="Times New Roman"/>
          <w:sz w:val="22"/>
          <w:szCs w:val="22"/>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Times New Roman" w:cs="Times New Roman" w:eastAsia="Times New Roman" w:hAnsi="Times New Roman"/>
          <w:sz w:val="22"/>
          <w:szCs w:val="22"/>
          <w:i w:val="1"/>
          <w:iCs w:val="1"/>
          <w:color w:val="auto"/>
        </w:rPr>
        <w:t xml:space="preserve">Guidelines for Director’s Independence </w:t>
      </w:r>
      <w:r>
        <w:rPr>
          <w:rFonts w:ascii="Times New Roman" w:cs="Times New Roman" w:eastAsia="Times New Roman" w:hAnsi="Times New Roman"/>
          <w:sz w:val="22"/>
          <w:szCs w:val="22"/>
          <w:color w:val="auto"/>
        </w:rPr>
        <w:t>are appended to this proxy statement and can also be viewed on the Corporation’s website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i w:val="1"/>
          <w:iCs w:val="1"/>
          <w:color w:val="auto"/>
        </w:rPr>
        <w:t>www.martinmarietta.com.</w:t>
      </w:r>
    </w:p>
    <w:p>
      <w:pPr>
        <w:spacing w:after="0" w:line="184" w:lineRule="exact"/>
        <w:rPr>
          <w:sz w:val="20"/>
          <w:szCs w:val="20"/>
          <w:color w:val="auto"/>
        </w:rPr>
      </w:pPr>
    </w:p>
    <w:p>
      <w:pPr>
        <w:jc w:val="both"/>
        <w:ind w:right="40" w:firstLine="482"/>
        <w:spacing w:after="0" w:line="244" w:lineRule="auto"/>
        <w:rPr>
          <w:sz w:val="20"/>
          <w:szCs w:val="20"/>
          <w:color w:val="auto"/>
        </w:rPr>
      </w:pPr>
      <w:r>
        <w:rPr>
          <w:rFonts w:ascii="Times New Roman" w:cs="Times New Roman" w:eastAsia="Times New Roman" w:hAnsi="Times New Roman"/>
          <w:sz w:val="22"/>
          <w:szCs w:val="22"/>
          <w:color w:val="auto"/>
        </w:rPr>
        <w:t>The Board of Directors has charged the Audit Committee with a number of responsibilities, including review of the adequacy of the Corporation’s financial reporting, accounting systems, and internal controls. The Corporation’s independent auditors and the director of the internal audit function report directly and are ultimately accountable to the Audit Committee.</w:t>
      </w:r>
    </w:p>
    <w:p>
      <w:pPr>
        <w:spacing w:after="0" w:line="174"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22"/>
          <w:szCs w:val="22"/>
          <w:color w:val="auto"/>
        </w:rPr>
        <w:t>In the discharge of its responsibilities, the Audit Committee has reviewed and discussed with management and the independent auditors the Corporation’s audited financial statements for fiscal year 2004. In addition, the Committee has discussed with the independent auditors matters such as the quality (in addition to acceptability), clarity, consistency, and completeness of the Corporation’s financial reporting, as required by Statement on Auditing Standards No. 61, Communication with Audit Committees, as amended by Statement on Auditing Standards No. 90, Audit Committee Communications.</w:t>
      </w:r>
    </w:p>
    <w:p>
      <w:pPr>
        <w:spacing w:after="0" w:line="177" w:lineRule="exact"/>
        <w:rPr>
          <w:sz w:val="20"/>
          <w:szCs w:val="20"/>
          <w:color w:val="auto"/>
        </w:rPr>
      </w:pPr>
    </w:p>
    <w:p>
      <w:pPr>
        <w:ind w:right="80" w:firstLine="482"/>
        <w:spacing w:after="0" w:line="239" w:lineRule="auto"/>
        <w:rPr>
          <w:sz w:val="20"/>
          <w:szCs w:val="20"/>
          <w:color w:val="auto"/>
        </w:rPr>
      </w:pPr>
      <w:r>
        <w:rPr>
          <w:rFonts w:ascii="Times New Roman" w:cs="Times New Roman" w:eastAsia="Times New Roman" w:hAnsi="Times New Roman"/>
          <w:sz w:val="22"/>
          <w:szCs w:val="22"/>
          <w:color w:val="auto"/>
        </w:rPr>
        <w:t>The Audit Committee has received from the independent auditors written disclosures and a letter concerning the independent auditors’ independence from the Corporation, as required by Independence Standards Board Standard No. 1, Independence Discussions with Audit Committees. These disclosures have been reviewed by the Committee and discussed with the independent auditors.</w:t>
      </w:r>
    </w:p>
    <w:p>
      <w:pPr>
        <w:spacing w:after="0" w:line="181" w:lineRule="exact"/>
        <w:rPr>
          <w:sz w:val="20"/>
          <w:szCs w:val="20"/>
          <w:color w:val="auto"/>
        </w:rPr>
      </w:pPr>
    </w:p>
    <w:p>
      <w:pPr>
        <w:ind w:right="580" w:firstLine="486"/>
        <w:spacing w:after="0" w:line="244" w:lineRule="auto"/>
        <w:rPr>
          <w:sz w:val="20"/>
          <w:szCs w:val="20"/>
          <w:color w:val="auto"/>
        </w:rPr>
      </w:pPr>
      <w:r>
        <w:rPr>
          <w:rFonts w:ascii="Times New Roman" w:cs="Times New Roman" w:eastAsia="Times New Roman" w:hAnsi="Times New Roman"/>
          <w:sz w:val="22"/>
          <w:szCs w:val="22"/>
          <w:color w:val="auto"/>
        </w:rPr>
        <w:t>Based on these reviews and discussions, the Audit Committee has recommended to the Board that the audited financial statements be included in the Corporation’s 2004 Annual Report on Form 10-K for filing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2005</w:t>
      </w:r>
    </w:p>
    <w:p>
      <w:pPr>
        <w:spacing w:after="0" w:line="2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 xml:space="preserve">Marcus C. Bennett, </w:t>
      </w:r>
      <w:r>
        <w:rPr>
          <w:rFonts w:ascii="Times New Roman" w:cs="Times New Roman" w:eastAsia="Times New Roman" w:hAnsi="Times New Roman"/>
          <w:sz w:val="18"/>
          <w:szCs w:val="18"/>
          <w:i w:val="1"/>
          <w:iCs w:val="1"/>
          <w:color w:val="auto"/>
        </w:rPr>
        <w:t>Chair</w:t>
      </w:r>
    </w:p>
    <w:p>
      <w:pPr>
        <w:spacing w:after="0" w:line="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Sue W. Cole</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Frank H. Menaker, Jr.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Laree E. Perez</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James M. Reed</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William B. Sansom</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INDEPENDENT AUDITORS</w:t>
      </w:r>
    </w:p>
    <w:p>
      <w:pPr>
        <w:spacing w:after="0" w:line="210" w:lineRule="exact"/>
        <w:rPr>
          <w:sz w:val="20"/>
          <w:szCs w:val="20"/>
          <w:color w:val="auto"/>
        </w:rPr>
      </w:pPr>
    </w:p>
    <w:p>
      <w:pPr>
        <w:ind w:right="80" w:firstLine="482"/>
        <w:spacing w:after="0" w:line="238" w:lineRule="auto"/>
        <w:rPr>
          <w:sz w:val="20"/>
          <w:szCs w:val="20"/>
          <w:color w:val="auto"/>
        </w:rPr>
      </w:pPr>
      <w:r>
        <w:rPr>
          <w:rFonts w:ascii="Times New Roman" w:cs="Times New Roman" w:eastAsia="Times New Roman" w:hAnsi="Times New Roman"/>
          <w:sz w:val="22"/>
          <w:szCs w:val="22"/>
          <w:color w:val="auto"/>
        </w:rPr>
        <w:t>The Board of Directors recommends that the shareholders ratify the appointment of Ernst &amp; Young LLP, an independent registered public accounting firm, to audit the consolidated financial statements of the Corporation for the fiscal year 2005.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77" w:lineRule="exact"/>
        <w:rPr>
          <w:sz w:val="20"/>
          <w:szCs w:val="20"/>
          <w:color w:val="auto"/>
        </w:rPr>
      </w:pPr>
    </w:p>
    <w:p>
      <w:pPr>
        <w:ind w:right="260" w:firstLine="486"/>
        <w:spacing w:after="0" w:line="238" w:lineRule="auto"/>
        <w:rPr>
          <w:sz w:val="20"/>
          <w:szCs w:val="20"/>
          <w:color w:val="auto"/>
        </w:rPr>
      </w:pPr>
      <w:r>
        <w:rPr>
          <w:rFonts w:ascii="Times New Roman" w:cs="Times New Roman" w:eastAsia="Times New Roman" w:hAnsi="Times New Roman"/>
          <w:sz w:val="22"/>
          <w:szCs w:val="22"/>
          <w:color w:val="auto"/>
        </w:rPr>
        <w:t>Ernst &amp; Young LLP served as the Corporation’s independent auditors for 2004 and audited the consolidated financial statements of the Corporation for the year ended December 31, 2004. The Audit Committee is solely responsible for retaining or terminating the Corporation’s independent auditors in 2005.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The Board unanimously recommends a vote “FOR” ratification</w:t>
      </w:r>
    </w:p>
    <w:p>
      <w:pPr>
        <w:spacing w:after="0" w:line="20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of the selection of Ernst &amp; Young LLP as independent auditors.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Summary of Fees</w:t>
      </w:r>
    </w:p>
    <w:p>
      <w:pPr>
        <w:spacing w:after="0" w:line="212" w:lineRule="exact"/>
        <w:rPr>
          <w:sz w:val="20"/>
          <w:szCs w:val="20"/>
          <w:color w:val="auto"/>
        </w:rPr>
      </w:pPr>
    </w:p>
    <w:p>
      <w:pPr>
        <w:ind w:firstLine="482"/>
        <w:spacing w:after="0" w:line="239" w:lineRule="auto"/>
        <w:rPr>
          <w:sz w:val="20"/>
          <w:szCs w:val="20"/>
          <w:color w:val="auto"/>
        </w:rPr>
      </w:pPr>
      <w:r>
        <w:rPr>
          <w:rFonts w:ascii="Times New Roman" w:cs="Times New Roman" w:eastAsia="Times New Roman" w:hAnsi="Times New Roman"/>
          <w:sz w:val="22"/>
          <w:szCs w:val="22"/>
          <w:color w:val="auto"/>
        </w:rPr>
        <w:t>The following table summarizes the aggregate fees billed for professional services rendered to the Corporation by Ernst &amp; Young LLP in 2004 and 2003. A description of these various fees and services follows the table. None of the audit hours conducted by Ernst &amp; Young LLP in 2004 and 2003 were performed by people other than full time, permanent Ernst &amp; Young LLP employees.</w:t>
      </w:r>
    </w:p>
    <w:p>
      <w:pPr>
        <w:spacing w:after="0" w:line="200" w:lineRule="exact"/>
        <w:rPr>
          <w:sz w:val="20"/>
          <w:szCs w:val="20"/>
          <w:color w:val="auto"/>
        </w:rPr>
      </w:pP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496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5"/>
                <w:szCs w:val="15"/>
                <w:color w:val="auto"/>
              </w:rPr>
            </w:pPr>
          </w:p>
        </w:tc>
      </w:tr>
      <w:tr>
        <w:trPr>
          <w:trHeight w:val="95"/>
        </w:trPr>
        <w:tc>
          <w:tcPr>
            <w:tcW w:w="49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$1,359,000</w:t>
            </w:r>
          </w:p>
        </w:tc>
        <w:tc>
          <w:tcPr>
            <w:tcW w:w="3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792,000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71,000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r>
      <w:tr>
        <w:trPr>
          <w:trHeight w:val="110"/>
        </w:trPr>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03"/>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$1,640,000</w:t>
            </w:r>
          </w:p>
        </w:tc>
        <w:tc>
          <w:tcPr>
            <w:tcW w:w="3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4"/>
              </w:rPr>
              <w:t>1,238,000</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Audit &amp; Audit-Related Fees to Total Fees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Audit Fees</w:t>
      </w:r>
    </w:p>
    <w:p>
      <w:pPr>
        <w:spacing w:after="0" w:line="212" w:lineRule="exact"/>
        <w:rPr>
          <w:sz w:val="20"/>
          <w:szCs w:val="20"/>
          <w:color w:val="auto"/>
        </w:rPr>
      </w:pPr>
    </w:p>
    <w:p>
      <w:pPr>
        <w:ind w:right="200" w:firstLine="482"/>
        <w:spacing w:after="0" w:line="236" w:lineRule="auto"/>
        <w:rPr>
          <w:sz w:val="20"/>
          <w:szCs w:val="20"/>
          <w:color w:val="auto"/>
        </w:rPr>
      </w:pPr>
      <w:r>
        <w:rPr>
          <w:rFonts w:ascii="Times New Roman" w:cs="Times New Roman" w:eastAsia="Times New Roman" w:hAnsi="Times New Roman"/>
          <w:sz w:val="22"/>
          <w:szCs w:val="22"/>
          <w:color w:val="auto"/>
        </w:rPr>
        <w:t>The aggregate fees billed for professional services rendered by Ernst &amp; Young LLP to the Corporation for each of 2004 and 2003 in connection with the annual financial statement audit, the annual internal controls audit, the reviews of the Corporation’s financial statements included in the quarterly reports on Form 10-Q, and other services normally provided in connection with statutory and regulatory filings, were $1,359,000 and $792,000, respectively. The fees related to the audit of the Corporation’s internal control over financial reporting under Section 404 of the Sarbanes-Oxley Act of 2002 were $500,000 in 2004 and are included in total audit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Audit-Related Fees</w:t>
      </w:r>
    </w:p>
    <w:p>
      <w:pPr>
        <w:spacing w:after="0" w:line="212" w:lineRule="exact"/>
        <w:rPr>
          <w:sz w:val="20"/>
          <w:szCs w:val="20"/>
          <w:color w:val="auto"/>
        </w:rPr>
      </w:pPr>
    </w:p>
    <w:p>
      <w:pPr>
        <w:ind w:right="200" w:firstLine="482"/>
        <w:spacing w:after="0" w:line="262" w:lineRule="auto"/>
        <w:rPr>
          <w:sz w:val="20"/>
          <w:szCs w:val="20"/>
          <w:color w:val="auto"/>
        </w:rPr>
      </w:pPr>
      <w:r>
        <w:rPr>
          <w:rFonts w:ascii="Times New Roman" w:cs="Times New Roman" w:eastAsia="Times New Roman" w:hAnsi="Times New Roman"/>
          <w:sz w:val="21"/>
          <w:szCs w:val="21"/>
          <w:color w:val="auto"/>
        </w:rPr>
        <w:t>The aggregate fees billed for professional services rendered by Ernst &amp; Young LLP to the Corporation for each of 2004 and 2003 in connection with audit-related services, including pension and subsidiary audits, business acquisitions, accounting consultations, internal audit, and Securities and Exchange Commission registrations, were $278,000 and $375,000, respectively.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i w:val="1"/>
          <w:iCs w:val="1"/>
          <w:color w:val="auto"/>
        </w:rPr>
        <w:t>Tax Fees</w:t>
      </w:r>
    </w:p>
    <w:p>
      <w:pPr>
        <w:spacing w:after="0" w:line="212" w:lineRule="exact"/>
        <w:rPr>
          <w:sz w:val="20"/>
          <w:szCs w:val="20"/>
          <w:color w:val="auto"/>
        </w:rPr>
      </w:pPr>
    </w:p>
    <w:p>
      <w:pPr>
        <w:ind w:right="140" w:firstLine="482"/>
        <w:spacing w:after="0" w:line="262" w:lineRule="auto"/>
        <w:rPr>
          <w:sz w:val="20"/>
          <w:szCs w:val="20"/>
          <w:color w:val="auto"/>
        </w:rPr>
      </w:pPr>
      <w:r>
        <w:rPr>
          <w:rFonts w:ascii="Times New Roman" w:cs="Times New Roman" w:eastAsia="Times New Roman" w:hAnsi="Times New Roman"/>
          <w:sz w:val="21"/>
          <w:szCs w:val="21"/>
          <w:color w:val="auto"/>
        </w:rPr>
        <w:t>The aggregate fees billed for professional services rendered by Ernst &amp; Young LLP to the Corporation for each of 2004 and 2003 in connection with tax compliance, tax advice, and tax planning, including consultation on acquisition and divestiture issues, state tax reviews, a land basis study, leasing issues, and other tax-related activities, were $3,000 and $71,000,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All Other Fees</w:t>
      </w:r>
    </w:p>
    <w:p>
      <w:pPr>
        <w:spacing w:after="0" w:line="212" w:lineRule="exact"/>
        <w:rPr>
          <w:sz w:val="20"/>
          <w:szCs w:val="20"/>
          <w:color w:val="auto"/>
        </w:rPr>
      </w:pPr>
    </w:p>
    <w:p>
      <w:pPr>
        <w:ind w:right="300" w:firstLine="482"/>
        <w:spacing w:after="0" w:line="258" w:lineRule="auto"/>
        <w:rPr>
          <w:sz w:val="20"/>
          <w:szCs w:val="20"/>
          <w:color w:val="auto"/>
        </w:rPr>
      </w:pPr>
      <w:r>
        <w:rPr>
          <w:rFonts w:ascii="Times New Roman" w:cs="Times New Roman" w:eastAsia="Times New Roman" w:hAnsi="Times New Roman"/>
          <w:sz w:val="22"/>
          <w:szCs w:val="22"/>
          <w:color w:val="auto"/>
        </w:rPr>
        <w:t>There were no other fees billed for other professional services rendered or products provided by Ernst &amp; Young LLP to the Corporation for 2004 and 2003.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Pre-Approval Policies and Procedures</w:t>
      </w:r>
    </w:p>
    <w:p>
      <w:pPr>
        <w:spacing w:after="0" w:line="212" w:lineRule="exact"/>
        <w:rPr>
          <w:sz w:val="20"/>
          <w:szCs w:val="20"/>
          <w:color w:val="auto"/>
        </w:rPr>
      </w:pPr>
    </w:p>
    <w:p>
      <w:pPr>
        <w:ind w:right="60" w:firstLine="482"/>
        <w:spacing w:after="0" w:line="236" w:lineRule="auto"/>
        <w:rPr>
          <w:sz w:val="20"/>
          <w:szCs w:val="20"/>
          <w:color w:val="auto"/>
        </w:rPr>
      </w:pPr>
      <w:r>
        <w:rPr>
          <w:rFonts w:ascii="Times New Roman" w:cs="Times New Roman" w:eastAsia="Times New Roman" w:hAnsi="Times New Roman"/>
          <w:sz w:val="22"/>
          <w:szCs w:val="22"/>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Audit Committee Review</w:t>
      </w:r>
    </w:p>
    <w:p>
      <w:pPr>
        <w:spacing w:after="0" w:line="212" w:lineRule="exact"/>
        <w:rPr>
          <w:sz w:val="20"/>
          <w:szCs w:val="20"/>
          <w:color w:val="auto"/>
        </w:rPr>
      </w:pPr>
    </w:p>
    <w:p>
      <w:pPr>
        <w:ind w:right="160" w:firstLine="486"/>
        <w:spacing w:after="0" w:line="239" w:lineRule="auto"/>
        <w:rPr>
          <w:sz w:val="20"/>
          <w:szCs w:val="20"/>
          <w:color w:val="auto"/>
        </w:rPr>
      </w:pPr>
      <w:r>
        <w:rPr>
          <w:rFonts w:ascii="Times New Roman" w:cs="Times New Roman" w:eastAsia="Times New Roman" w:hAnsi="Times New Roman"/>
          <w:sz w:val="22"/>
          <w:szCs w:val="22"/>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THE MANAGEMENT DEVELOPMENT AND COMPENSATION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COMMITTEE ON EXECUTIVE COMPENSATION</w:t>
      </w:r>
    </w:p>
    <w:p>
      <w:pPr>
        <w:spacing w:after="0" w:line="210" w:lineRule="exact"/>
        <w:rPr>
          <w:sz w:val="20"/>
          <w:szCs w:val="20"/>
          <w:color w:val="auto"/>
        </w:rPr>
      </w:pPr>
    </w:p>
    <w:p>
      <w:pPr>
        <w:ind w:right="80" w:firstLine="482"/>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executive compensation program is administered by the Management Development and Compensation Committee of the Board of Directors, which consists entirely of non-employee, independent Board members and operates pursuant to a written charter, a copy of which can be viewed on the Corporation’s website at </w:t>
      </w:r>
      <w:r>
        <w:rPr>
          <w:rFonts w:ascii="Times New Roman" w:cs="Times New Roman" w:eastAsia="Times New Roman" w:hAnsi="Times New Roman"/>
          <w:sz w:val="22"/>
          <w:szCs w:val="22"/>
          <w:i w:val="1"/>
          <w:iCs w:val="1"/>
          <w:color w:val="auto"/>
        </w:rPr>
        <w:t>www.martinmarietta.com.</w:t>
      </w:r>
      <w:r>
        <w:rPr>
          <w:rFonts w:ascii="Times New Roman" w:cs="Times New Roman" w:eastAsia="Times New Roman" w:hAnsi="Times New Roman"/>
          <w:sz w:val="22"/>
          <w:szCs w:val="22"/>
          <w:color w:val="auto"/>
        </w:rPr>
        <w:t xml:space="preserve"> The primary role of the Management Development and Compensation Committee is the oversight and administration of the Corporation’s executive compensation and management development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General Compensation Philosophy</w:t>
      </w:r>
    </w:p>
    <w:p>
      <w:pPr>
        <w:spacing w:after="0" w:line="212" w:lineRule="exact"/>
        <w:rPr>
          <w:sz w:val="20"/>
          <w:szCs w:val="20"/>
          <w:color w:val="auto"/>
        </w:rPr>
      </w:pPr>
    </w:p>
    <w:p>
      <w:pPr>
        <w:ind w:firstLine="482"/>
        <w:spacing w:after="0" w:line="234" w:lineRule="auto"/>
        <w:rPr>
          <w:sz w:val="20"/>
          <w:szCs w:val="20"/>
          <w:color w:val="auto"/>
        </w:rPr>
      </w:pPr>
      <w:r>
        <w:rPr>
          <w:rFonts w:ascii="Times New Roman" w:cs="Times New Roman" w:eastAsia="Times New Roman" w:hAnsi="Times New Roman"/>
          <w:sz w:val="22"/>
          <w:szCs w:val="22"/>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As in prior years, in 2004 the Committee focused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i w:val="1"/>
          <w:iCs w:val="1"/>
          <w:color w:val="auto"/>
        </w:rPr>
        <w:t>Compensation Structure and Awards for 2004</w:t>
      </w:r>
    </w:p>
    <w:p>
      <w:pPr>
        <w:spacing w:after="0" w:line="212" w:lineRule="exact"/>
        <w:rPr>
          <w:sz w:val="20"/>
          <w:szCs w:val="20"/>
          <w:color w:val="auto"/>
        </w:rPr>
      </w:pPr>
    </w:p>
    <w:p>
      <w:pPr>
        <w:ind w:right="720" w:firstLine="486"/>
        <w:spacing w:after="0" w:line="258" w:lineRule="auto"/>
        <w:rPr>
          <w:sz w:val="20"/>
          <w:szCs w:val="20"/>
          <w:color w:val="auto"/>
        </w:rPr>
      </w:pPr>
      <w:r>
        <w:rPr>
          <w:rFonts w:ascii="Times New Roman" w:cs="Times New Roman" w:eastAsia="Times New Roman" w:hAnsi="Times New Roman"/>
          <w:sz w:val="22"/>
          <w:szCs w:val="22"/>
          <w:color w:val="auto"/>
        </w:rPr>
        <w:t>Consistent with the Committee’s approach in prior years, the 2004 executive compensation program was based on the following principles:</w:t>
      </w:r>
    </w:p>
    <w:p>
      <w:pPr>
        <w:spacing w:after="0" w:line="158" w:lineRule="exact"/>
        <w:rPr>
          <w:sz w:val="20"/>
          <w:szCs w:val="20"/>
          <w:color w:val="auto"/>
        </w:rPr>
      </w:pPr>
    </w:p>
    <w:p>
      <w:pPr>
        <w:ind w:left="920" w:right="700" w:hanging="331"/>
        <w:spacing w:after="0" w:line="258"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salaries are targeted to the median level of salaries paid to officers in comparable companies with perceived comparable responsibilities.</w:t>
      </w:r>
    </w:p>
    <w:p>
      <w:pPr>
        <w:spacing w:after="0" w:line="185" w:lineRule="exact"/>
        <w:rPr>
          <w:rFonts w:ascii="Times New Roman" w:cs="Times New Roman" w:eastAsia="Times New Roman" w:hAnsi="Times New Roman"/>
          <w:sz w:val="22"/>
          <w:szCs w:val="22"/>
          <w:color w:val="auto"/>
        </w:rPr>
      </w:pPr>
    </w:p>
    <w:p>
      <w:pPr>
        <w:ind w:left="920" w:right="280" w:hanging="331"/>
        <w:spacing w:after="0" w:line="258"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incentive awards are dependent upon each of the Corporation’s performance and the individual’s performance against established target levels.</w:t>
      </w:r>
    </w:p>
    <w:p>
      <w:pPr>
        <w:spacing w:after="0" w:line="185" w:lineRule="exact"/>
        <w:rPr>
          <w:rFonts w:ascii="Times New Roman" w:cs="Times New Roman" w:eastAsia="Times New Roman" w:hAnsi="Times New Roman"/>
          <w:sz w:val="22"/>
          <w:szCs w:val="22"/>
          <w:color w:val="auto"/>
        </w:rPr>
      </w:pPr>
    </w:p>
    <w:p>
      <w:pPr>
        <w:ind w:left="920" w:right="240" w:hanging="331"/>
        <w:spacing w:after="0" w:line="238"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Long-term compensation links officers’ rewards directly to the return realized by the Corporation’s shareholders. It includes stock options and incentive stock awards, which reward stock price appreciation, and restricted stock awards, some of which are based on the Corporation’s performance relative to peer groups and some of which are based on executive succession planning for the Corporation’s management. All of the Corporation’s equity-based award plans have been approved by shareholders.</w:t>
      </w:r>
    </w:p>
    <w:p>
      <w:pPr>
        <w:spacing w:after="0" w:line="177" w:lineRule="exact"/>
        <w:rPr>
          <w:sz w:val="20"/>
          <w:szCs w:val="20"/>
          <w:color w:val="auto"/>
        </w:rPr>
      </w:pPr>
    </w:p>
    <w:p>
      <w:pPr>
        <w:ind w:right="20" w:firstLine="482"/>
        <w:spacing w:after="0" w:line="244" w:lineRule="auto"/>
        <w:rPr>
          <w:sz w:val="20"/>
          <w:szCs w:val="20"/>
          <w:color w:val="auto"/>
        </w:rPr>
      </w:pPr>
      <w:r>
        <w:rPr>
          <w:rFonts w:ascii="Times New Roman" w:cs="Times New Roman" w:eastAsia="Times New Roman" w:hAnsi="Times New Roman"/>
          <w:sz w:val="22"/>
          <w:szCs w:val="22"/>
          <w:color w:val="auto"/>
        </w:rPr>
        <w:t>The Management Development and Compensation Committee retains independent outside consultants selected by the Committee to assist it in reviewing the Corporation’s executive compensation program to ensure that the program is consistent with the Board’s philosophy.</w:t>
      </w:r>
    </w:p>
    <w:p>
      <w:pPr>
        <w:spacing w:after="0" w:line="170"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Annual Compensation — Base Salary. </w:t>
      </w:r>
      <w:r>
        <w:rPr>
          <w:rFonts w:ascii="Times New Roman" w:cs="Times New Roman" w:eastAsia="Times New Roman" w:hAnsi="Times New Roman"/>
          <w:sz w:val="21"/>
          <w:szCs w:val="21"/>
          <w:color w:val="auto"/>
        </w:rPr>
        <w:t>In setting base salaries for 2004, the Committee reviewed information drawn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various sources, including proxy statements of a selected peer group of companies in the aggregates, cement, and specialty chemical industries, and published surveys conducted by outside compensation consulting firms of a selected group of general industry companies with comparable revenues and business characteristics to those of the Corporation. The group of companies reflected in the compensation surveys was broader than the peer group consisting of the Standard and Poor’s Basic Materials Industrial Group index that is shown in the Performance Graph on page 23 because the Committee believes that the Corporation’s direct competition for talent is broader than the companies that are included in the performance peer group. However, the Standard and Poor’s Basic Materials Industrial Group index (and the Standard and Poor’s index of 400 midcap companies) was used in 2004 by the Management Development and Compensation Committee to determine awards of long-term compensation in the form of restricted stock units.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79"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22"/>
          <w:szCs w:val="22"/>
          <w:color w:val="auto"/>
        </w:rPr>
        <w:t>Salaries for executives are reviewed by the Management Development and Compensation Committee on an annual basis and may be increased or decreased at that time based on: (1) the Committee’s agreement on the individual’s contribution to the Corporation, and (2) changes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approximately at or below the median compensation of executives having similar responsibilities in the compensation surveys.</w:t>
      </w:r>
    </w:p>
    <w:p>
      <w:pPr>
        <w:spacing w:after="0" w:line="184" w:lineRule="exact"/>
        <w:rPr>
          <w:sz w:val="20"/>
          <w:szCs w:val="20"/>
          <w:color w:val="auto"/>
        </w:rPr>
      </w:pPr>
    </w:p>
    <w:p>
      <w:pPr>
        <w:jc w:val="both"/>
        <w:ind w:right="400" w:firstLine="482"/>
        <w:spacing w:after="0" w:line="244" w:lineRule="auto"/>
        <w:rPr>
          <w:sz w:val="20"/>
          <w:szCs w:val="20"/>
          <w:color w:val="auto"/>
        </w:rPr>
      </w:pPr>
      <w:r>
        <w:rPr>
          <w:rFonts w:ascii="Times New Roman" w:cs="Times New Roman" w:eastAsia="Times New Roman" w:hAnsi="Times New Roman"/>
          <w:sz w:val="22"/>
          <w:szCs w:val="22"/>
          <w:color w:val="auto"/>
        </w:rPr>
        <w:t>The base salary for the Chairman, President and Chief Executive Officer of the Corporation was increased during 2004 to $875,000. This represents an approximate 5.5% increase from Mr. Zelnak’s base salary in 2003. The Committee reviewed base salary data for chief executive officers in the compensation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6" w:right="259" w:bottom="1440" w:gutter="0" w:footer="0" w:header="0"/>
        </w:sectPr>
      </w:pPr>
    </w:p>
    <w:bookmarkStart w:id="25" w:name="page26"/>
    <w:bookmarkEnd w:id="25"/>
    <w:p>
      <w:pPr>
        <w:ind w:right="80"/>
        <w:spacing w:after="0" w:line="258" w:lineRule="auto"/>
        <w:rPr>
          <w:sz w:val="20"/>
          <w:szCs w:val="20"/>
          <w:color w:val="auto"/>
        </w:rPr>
      </w:pPr>
      <w:r>
        <w:rPr>
          <w:rFonts w:ascii="Times New Roman" w:cs="Times New Roman" w:eastAsia="Times New Roman" w:hAnsi="Times New Roman"/>
          <w:sz w:val="22"/>
          <w:szCs w:val="22"/>
          <w:color w:val="auto"/>
        </w:rPr>
        <w:t>studies, the advice of independent compensation consultants, and also considered certain other factors. The rate of increase in 2004 reflected the Committee’s belief in Mr. Zelnak’s continued superior stewardship of the Corporation.</w:t>
      </w:r>
    </w:p>
    <w:p>
      <w:pPr>
        <w:spacing w:after="0" w:line="154"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Annual Compensation — Bonus. </w:t>
      </w:r>
      <w:r>
        <w:rPr>
          <w:rFonts w:ascii="Times New Roman" w:cs="Times New Roman" w:eastAsia="Times New Roman" w:hAnsi="Times New Roman"/>
          <w:sz w:val="21"/>
          <w:szCs w:val="21"/>
          <w:color w:val="auto"/>
        </w:rPr>
        <w:t>To encourage achievement of the performance objectives of the Corporation, a significant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portion of annual compensation takes the form of an incentive compensation bonus. In 2004,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62"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22"/>
          <w:szCs w:val="22"/>
          <w:color w:val="auto"/>
        </w:rPr>
        <w:t xml:space="preserve">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Management Development and Compensation Committee also considers qualitative measures of performance such as adherence to and implementation of the Corporation’s </w:t>
      </w:r>
      <w:r>
        <w:rPr>
          <w:rFonts w:ascii="Times New Roman" w:cs="Times New Roman" w:eastAsia="Times New Roman" w:hAnsi="Times New Roman"/>
          <w:sz w:val="22"/>
          <w:szCs w:val="22"/>
          <w:i w:val="1"/>
          <w:iCs w:val="1"/>
          <w:color w:val="auto"/>
        </w:rPr>
        <w:t>Code of Ethics and Standards of Conduct,</w:t>
      </w:r>
      <w:r>
        <w:rPr>
          <w:rFonts w:ascii="Times New Roman" w:cs="Times New Roman" w:eastAsia="Times New Roman" w:hAnsi="Times New Roman"/>
          <w:sz w:val="22"/>
          <w:szCs w:val="22"/>
          <w:color w:val="auto"/>
        </w:rPr>
        <w:t xml:space="preserve"> safety, customer satisfaction, and product quality.</w:t>
      </w:r>
    </w:p>
    <w:p>
      <w:pPr>
        <w:spacing w:after="0" w:line="177" w:lineRule="exact"/>
        <w:rPr>
          <w:sz w:val="20"/>
          <w:szCs w:val="20"/>
          <w:color w:val="auto"/>
        </w:rPr>
      </w:pPr>
    </w:p>
    <w:p>
      <w:pPr>
        <w:ind w:right="140" w:firstLine="482"/>
        <w:spacing w:after="0" w:line="236" w:lineRule="auto"/>
        <w:rPr>
          <w:sz w:val="20"/>
          <w:szCs w:val="20"/>
          <w:color w:val="auto"/>
        </w:rPr>
      </w:pPr>
      <w:r>
        <w:rPr>
          <w:rFonts w:ascii="Times New Roman" w:cs="Times New Roman" w:eastAsia="Times New Roman" w:hAnsi="Times New Roman"/>
          <w:sz w:val="22"/>
          <w:szCs w:val="22"/>
          <w:color w:val="auto"/>
        </w:rPr>
        <w:t>The amount actually awarded to each participant in the plan is based upon the Management Development and Compensation Committee’s assessment of each individual’s achievement of targeted objectives, including standard measures of financial performance such as earnings, cash flow, and other key sales and production metrics for the Corporation as a whole and for individual business units. These objectives are established at the beginning of each plan year and are based upon the Corporation’s Long Range Operating Plan. For executives in corporate staff positions, 50% of the determination is made with respect to the Corporation’s performance and 50% is based on the individual’s performance.</w:t>
      </w:r>
    </w:p>
    <w:p>
      <w:pPr>
        <w:spacing w:after="0" w:line="182" w:lineRule="exact"/>
        <w:rPr>
          <w:sz w:val="20"/>
          <w:szCs w:val="20"/>
          <w:color w:val="auto"/>
        </w:rPr>
      </w:pPr>
    </w:p>
    <w:p>
      <w:pPr>
        <w:ind w:right="160" w:firstLine="482"/>
        <w:spacing w:after="0" w:line="258" w:lineRule="auto"/>
        <w:rPr>
          <w:sz w:val="20"/>
          <w:szCs w:val="20"/>
          <w:color w:val="auto"/>
        </w:rPr>
      </w:pPr>
      <w:r>
        <w:rPr>
          <w:rFonts w:ascii="Times New Roman" w:cs="Times New Roman" w:eastAsia="Times New Roman" w:hAnsi="Times New Roman"/>
          <w:sz w:val="22"/>
          <w:szCs w:val="22"/>
          <w:color w:val="auto"/>
        </w:rPr>
        <w:t>The Committee considers the recommendations of the Corporation’s Chief Executive Officer but retains complete discretion in performing these reviews and in determining the amount of actual awards, if any.</w:t>
      </w:r>
    </w:p>
    <w:p>
      <w:pPr>
        <w:spacing w:after="0" w:line="158"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1"/>
          <w:szCs w:val="21"/>
          <w:color w:val="auto"/>
        </w:rPr>
        <w:t>Mr. Zelnak was awarded an annual incentive bonus of $860,000 for 2004. His bonus award was based on the consideration by the Committee of many diverse factors. Consistent with its compensation philosophy that focuses 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In determining the amount of Mr. Zelnak’s bonus, the Committee took into account the effectiveness and quality of Mr. Zelnak’s leadership of the Corporation, including the following achievements: the continued significant improvement in the Corporation’s overall financial performance during the year, including record net sales and net earnings; the continued strengthening of the Corporation’s balance sheet, including the voluntary contribution of $51 million into the pension plan, increase in dividends of 11% on an annualized basis, repurchase of $75 million of the Corporation’s common stock, and $162 million in cash at year-end; the continued successful implementation of the Corporation’s planned internal improvement program that resulted in improved margins in its aggregates product line; the successful documentation and evaluation of the Corporation’s system of internal control over financial reporting as required under Section 404 of the Sarbanes-Oxley Act of 2002; and the continued successful implementation of the Corporation’s disciplined growth strategy, including the divestiture of under-performing assets.</w:t>
      </w:r>
    </w:p>
    <w:p>
      <w:pPr>
        <w:spacing w:after="0" w:line="172" w:lineRule="exact"/>
        <w:rPr>
          <w:sz w:val="20"/>
          <w:szCs w:val="20"/>
          <w:color w:val="auto"/>
        </w:rPr>
      </w:pPr>
    </w:p>
    <w:p>
      <w:pPr>
        <w:ind w:right="80" w:firstLine="474"/>
        <w:spacing w:after="0" w:line="244" w:lineRule="auto"/>
        <w:rPr>
          <w:sz w:val="20"/>
          <w:szCs w:val="20"/>
          <w:color w:val="auto"/>
        </w:rPr>
      </w:pPr>
      <w:r>
        <w:rPr>
          <w:rFonts w:ascii="Times New Roman" w:cs="Times New Roman" w:eastAsia="Times New Roman" w:hAnsi="Times New Roman"/>
          <w:sz w:val="22"/>
          <w:szCs w:val="22"/>
          <w:color w:val="auto"/>
        </w:rPr>
        <w:t>Although there was no special attempt to set Mr. Zelnak’s 2004 bonus in any particular relationship to the compensation data, Mr. Zelnak’s bonus was slightly above the median level of bonus compensation of CEO’s in the compensation surveys. His total cash compensation (base salary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6" w:name="page27"/>
    <w:bookmarkEnd w:id="26"/>
    <w:p>
      <w:pPr>
        <w:ind w:right="60"/>
        <w:spacing w:after="0" w:line="244" w:lineRule="auto"/>
        <w:rPr>
          <w:sz w:val="20"/>
          <w:szCs w:val="20"/>
          <w:color w:val="auto"/>
        </w:rPr>
      </w:pPr>
      <w:r>
        <w:rPr>
          <w:rFonts w:ascii="Times New Roman" w:cs="Times New Roman" w:eastAsia="Times New Roman" w:hAnsi="Times New Roman"/>
          <w:sz w:val="22"/>
          <w:szCs w:val="22"/>
          <w:color w:val="auto"/>
        </w:rPr>
        <w:t>bonus) was slightly above the median compensation of those CEOs. The Management Development and Compensation Committee retains complete discretion in determining the amount of incentive compensation to be awarded to Mr. Zelnak. Consequently, no particular weighting of criteria is required or performed.</w:t>
      </w:r>
    </w:p>
    <w:p>
      <w:pPr>
        <w:spacing w:after="0" w:line="174"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21"/>
          <w:szCs w:val="21"/>
          <w:color w:val="auto"/>
        </w:rPr>
        <w:t>The Corporation’s Incentive Stock Plan (discussed more generally below) requires Mr. Zelnak to use 35% of his 2004 annual incentive bonus towards credits of common stock units at a 20% discount to market value. These units generally vest in three years. In addition, Mr. Zelnak made an irrevocable choice six months prior to the bonus determination to use 15% more, for a total of 50% of his annual incentive bonus, which is the maximum amount permitted under this plan, towards common stock units.</w:t>
      </w:r>
    </w:p>
    <w:p>
      <w:pPr>
        <w:spacing w:after="0" w:line="158"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Long Term Compensation — Stock Options. </w:t>
      </w:r>
      <w:r>
        <w:rPr>
          <w:rFonts w:ascii="Times New Roman" w:cs="Times New Roman" w:eastAsia="Times New Roman" w:hAnsi="Times New Roman"/>
          <w:sz w:val="22"/>
          <w:szCs w:val="22"/>
          <w:color w:val="auto"/>
        </w:rPr>
        <w:t>Stock options awarded under the Corporation’s Amended and Restated Stock-Based Award Plan link the compensation provided to a group of 139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76" w:lineRule="exact"/>
        <w:rPr>
          <w:sz w:val="20"/>
          <w:szCs w:val="20"/>
          <w:color w:val="auto"/>
        </w:rPr>
      </w:pPr>
    </w:p>
    <w:p>
      <w:pPr>
        <w:ind w:right="80" w:firstLine="482"/>
        <w:spacing w:after="0" w:line="234" w:lineRule="auto"/>
        <w:rPr>
          <w:sz w:val="20"/>
          <w:szCs w:val="20"/>
          <w:color w:val="auto"/>
        </w:rPr>
      </w:pPr>
      <w:r>
        <w:rPr>
          <w:rFonts w:ascii="Times New Roman" w:cs="Times New Roman" w:eastAsia="Times New Roman" w:hAnsi="Times New Roman"/>
          <w:sz w:val="22"/>
          <w:szCs w:val="22"/>
          <w:color w:val="auto"/>
        </w:rPr>
        <w:t>The number of options granted to an individual is based upon survey data provided by compensation consultants. The data shows the value of option awards as a multiple of base pay for comparable executive positions in other corporations. In making 2004 stock option award decisions, the Committee took into consideration awards as a multiple of base salary and elected to provide option awards near the average for awards made by a selected peer group of companies in the aggregates, cement, and specialty chemical industries.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125,000 options in 2004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80" w:lineRule="exact"/>
        <w:rPr>
          <w:sz w:val="20"/>
          <w:szCs w:val="20"/>
          <w:color w:val="auto"/>
        </w:rPr>
      </w:pPr>
    </w:p>
    <w:p>
      <w:pPr>
        <w:ind w:right="40" w:firstLine="486"/>
        <w:spacing w:after="0" w:line="239" w:lineRule="auto"/>
        <w:rPr>
          <w:sz w:val="20"/>
          <w:szCs w:val="20"/>
          <w:color w:val="auto"/>
        </w:rPr>
      </w:pPr>
      <w:r>
        <w:rPr>
          <w:rFonts w:ascii="Times New Roman" w:cs="Times New Roman" w:eastAsia="Times New Roman" w:hAnsi="Times New Roman"/>
          <w:sz w:val="22"/>
          <w:szCs w:val="22"/>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77" w:lineRule="exact"/>
        <w:rPr>
          <w:sz w:val="20"/>
          <w:szCs w:val="20"/>
          <w:color w:val="auto"/>
        </w:rPr>
      </w:pPr>
    </w:p>
    <w:p>
      <w:pPr>
        <w:ind w:right="180" w:firstLine="486"/>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Long Term Compensation — Incentive Stock Awards. </w:t>
      </w:r>
      <w:r>
        <w:rPr>
          <w:rFonts w:ascii="Times New Roman" w:cs="Times New Roman" w:eastAsia="Times New Roman" w:hAnsi="Times New Roman"/>
          <w:sz w:val="21"/>
          <w:szCs w:val="21"/>
          <w:color w:val="auto"/>
        </w:rPr>
        <w:t>In 2004, a group of 54 executive officers and key personnel were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eligible to participate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Participation in the plan is elective, except that all senior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 There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are no matching contributions made by the Corporation, and there is no guarantee on returns to the executives.</w:t>
      </w:r>
    </w:p>
    <w:p>
      <w:pPr>
        <w:spacing w:after="0" w:line="202"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Long Term Compensation — Stock-Based Awards. </w:t>
      </w:r>
      <w:r>
        <w:rPr>
          <w:rFonts w:ascii="Times New Roman" w:cs="Times New Roman" w:eastAsia="Times New Roman" w:hAnsi="Times New Roman"/>
          <w:sz w:val="22"/>
          <w:szCs w:val="22"/>
          <w:color w:val="auto"/>
        </w:rPr>
        <w:t>The Committee periodically reviews the components of the Corporation’s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compensation program to ensure that pay levels are competitive and that incentive opportunities are effective in attracting and retaining talented employees. In 2004, a group of 13 executive officers and key personnel was granted restricted stock awards under the Martin Marietta Materials, Inc. Amended and Restated Stock-Based Award Plan. The primary purpose of the awards granted in 2004 under this plan is to foster and promote ownership of the Corporation’s common stock and the long-term growth and performance of the Corporation by enhancing the Corporation’s ability to attract and retain qualified key employees and motivate key employees through performance-based incentives. These awards allow long-term incentives to be earned by the Chief Executive Officer and the other participants.</w:t>
      </w:r>
    </w:p>
    <w:p>
      <w:pPr>
        <w:spacing w:after="0" w:line="183" w:lineRule="exact"/>
        <w:rPr>
          <w:sz w:val="20"/>
          <w:szCs w:val="20"/>
          <w:color w:val="auto"/>
        </w:rPr>
      </w:pPr>
    </w:p>
    <w:p>
      <w:pPr>
        <w:ind w:right="100" w:firstLine="482"/>
        <w:spacing w:after="0" w:line="235" w:lineRule="auto"/>
        <w:rPr>
          <w:sz w:val="20"/>
          <w:szCs w:val="20"/>
          <w:color w:val="auto"/>
        </w:rPr>
      </w:pPr>
      <w:r>
        <w:rPr>
          <w:rFonts w:ascii="Times New Roman" w:cs="Times New Roman" w:eastAsia="Times New Roman" w:hAnsi="Times New Roman"/>
          <w:sz w:val="22"/>
          <w:szCs w:val="22"/>
          <w:color w:val="auto"/>
        </w:rPr>
        <w:t>The awards granted in 2004 were based on the Corporation’s performance as measured by its specific return on shareholders investment that are equally weighted and determined by a total return to shareholders ranking that must be at least in the 40th percentile as compared to the Standard and Poor’s index of 400 Midcap companies and to the Standard and Poor’s Basic Materials Industrial Group over the three year period ending on December 31, 2003. There is no award if the Corporation does not meet the threshold performance objectives. The 2004 stock-based awards generally vest if the executive is continuously employed on December 1 in the year that is immediately preceding three years from the date of grant, at which time the shares of common stock are issued to the participant.</w:t>
      </w:r>
    </w:p>
    <w:p>
      <w:pPr>
        <w:spacing w:after="0" w:line="180"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Stock-Based Awards — Generally. </w:t>
      </w:r>
      <w:r>
        <w:rPr>
          <w:rFonts w:ascii="Times New Roman" w:cs="Times New Roman" w:eastAsia="Times New Roman" w:hAnsi="Times New Roman"/>
          <w:sz w:val="22"/>
          <w:szCs w:val="22"/>
          <w:color w:val="auto"/>
        </w:rPr>
        <w:t>The value, if any, of stock-based awards is dependent upon the performance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Policy with Respect to Deductibility of Compensation</w:t>
      </w:r>
    </w:p>
    <w:p>
      <w:pPr>
        <w:spacing w:after="0" w:line="212" w:lineRule="exact"/>
        <w:rPr>
          <w:sz w:val="20"/>
          <w:szCs w:val="20"/>
          <w:color w:val="auto"/>
        </w:rPr>
      </w:pPr>
    </w:p>
    <w:p>
      <w:pPr>
        <w:ind w:right="80" w:firstLine="482"/>
        <w:spacing w:after="0" w:line="244" w:lineRule="auto"/>
        <w:rPr>
          <w:sz w:val="20"/>
          <w:szCs w:val="20"/>
          <w:color w:val="auto"/>
        </w:rPr>
      </w:pPr>
      <w:r>
        <w:rPr>
          <w:rFonts w:ascii="Times New Roman" w:cs="Times New Roman" w:eastAsia="Times New Roman" w:hAnsi="Times New Roman"/>
          <w:sz w:val="22"/>
          <w:szCs w:val="22"/>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2004.</w:t>
      </w:r>
    </w:p>
    <w:p>
      <w:pPr>
        <w:spacing w:after="0" w:line="174" w:lineRule="exact"/>
        <w:rPr>
          <w:sz w:val="20"/>
          <w:szCs w:val="20"/>
          <w:color w:val="auto"/>
        </w:rPr>
      </w:pPr>
    </w:p>
    <w:p>
      <w:pPr>
        <w:ind w:right="80" w:firstLine="482"/>
        <w:spacing w:after="0" w:line="239" w:lineRule="auto"/>
        <w:rPr>
          <w:sz w:val="20"/>
          <w:szCs w:val="20"/>
          <w:color w:val="auto"/>
        </w:rPr>
      </w:pPr>
      <w:r>
        <w:rPr>
          <w:rFonts w:ascii="Times New Roman" w:cs="Times New Roman" w:eastAsia="Times New Roman" w:hAnsi="Times New Roman"/>
          <w:sz w:val="22"/>
          <w:szCs w:val="22"/>
          <w:color w:val="auto"/>
        </w:rPr>
        <w:t>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22, 2005</w:t>
      </w:r>
    </w:p>
    <w:p>
      <w:pPr>
        <w:spacing w:after="0" w:line="2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MANAGEMENT DEVELOPMENT AND</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COMPENSATION COMMITTEE</w:t>
      </w:r>
    </w:p>
    <w:p>
      <w:pPr>
        <w:spacing w:after="0" w:line="2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 xml:space="preserve">William E. McDonald, </w:t>
      </w:r>
      <w:r>
        <w:rPr>
          <w:rFonts w:ascii="Times New Roman" w:cs="Times New Roman" w:eastAsia="Times New Roman" w:hAnsi="Times New Roman"/>
          <w:sz w:val="22"/>
          <w:szCs w:val="22"/>
          <w:i w:val="1"/>
          <w:iCs w:val="1"/>
          <w:color w:val="auto"/>
        </w:rPr>
        <w:t>Chair</w:t>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Sue W. Cole</w:t>
      </w:r>
    </w:p>
    <w:p>
      <w:pPr>
        <w:ind w:left="4580"/>
        <w:spacing w:after="0"/>
        <w:rPr>
          <w:sz w:val="20"/>
          <w:szCs w:val="20"/>
          <w:color w:val="auto"/>
        </w:rPr>
      </w:pPr>
      <w:r>
        <w:rPr>
          <w:rFonts w:ascii="Times New Roman" w:cs="Times New Roman" w:eastAsia="Times New Roman" w:hAnsi="Times New Roman"/>
          <w:sz w:val="22"/>
          <w:szCs w:val="22"/>
          <w:color w:val="auto"/>
        </w:rPr>
        <w:t>James M. Reed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8" w:name="page29"/>
    <w:bookmarkEnd w:id="28"/>
    <w:p>
      <w:pPr>
        <w:ind w:left="3040"/>
        <w:spacing w:after="0"/>
        <w:rPr>
          <w:sz w:val="20"/>
          <w:szCs w:val="20"/>
          <w:color w:val="auto"/>
        </w:rPr>
      </w:pPr>
      <w:r>
        <w:rPr>
          <w:rFonts w:ascii="Times New Roman" w:cs="Times New Roman" w:eastAsia="Times New Roman" w:hAnsi="Times New Roman"/>
          <w:sz w:val="22"/>
          <w:szCs w:val="22"/>
          <w:b w:val="1"/>
          <w:bCs w:val="1"/>
          <w:color w:val="auto"/>
        </w:rPr>
        <w:t>COMPARISON OF CUMULATIVE TOTAL RETURN</w:t>
      </w:r>
      <w:r>
        <w:rPr>
          <w:rFonts w:ascii="Times New Roman" w:cs="Times New Roman" w:eastAsia="Times New Roman" w:hAnsi="Times New Roman"/>
          <w:sz w:val="36"/>
          <w:szCs w:val="36"/>
          <w:b w:val="1"/>
          <w:bCs w:val="1"/>
          <w:color w:val="auto"/>
          <w:vertAlign w:val="superscript"/>
        </w:rPr>
        <w:t>(1)</w:t>
      </w:r>
    </w:p>
    <w:p>
      <w:pPr>
        <w:spacing w:after="0" w:line="9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MARTIN MARIETTA MATERIALS, INC., S&amp;P 500,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S&amp;P BASIC MATERIALS INDICES</w:t>
      </w:r>
    </w:p>
    <w:p>
      <w:pPr>
        <w:spacing w:after="0" w:line="182" w:lineRule="exact"/>
        <w:rPr>
          <w:sz w:val="20"/>
          <w:szCs w:val="20"/>
          <w:color w:val="auto"/>
        </w:rPr>
      </w:pPr>
    </w:p>
    <w:p>
      <w:pPr>
        <w:ind w:right="740" w:firstLine="482"/>
        <w:spacing w:after="0" w:line="258" w:lineRule="auto"/>
        <w:rPr>
          <w:sz w:val="20"/>
          <w:szCs w:val="20"/>
          <w:color w:val="auto"/>
        </w:rPr>
      </w:pPr>
      <w:r>
        <w:rPr>
          <w:rFonts w:ascii="Times New Roman" w:cs="Times New Roman" w:eastAsia="Times New Roman" w:hAnsi="Times New Roman"/>
          <w:sz w:val="22"/>
          <w:szCs w:val="22"/>
          <w:color w:val="auto"/>
        </w:rPr>
        <w:t>The following graph compares the performance of the Corporation’s common stock to that of the Standard and Poor’s (“S&amp;P”) 500 Stock Index and the S&amp;P Basic Materials Industrial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118110</wp:posOffset>
            </wp:positionV>
            <wp:extent cx="4931410" cy="2092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141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Cumulative Total Return</w:t>
            </w:r>
            <w:r>
              <w:rPr>
                <w:rFonts w:ascii="Times New Roman" w:cs="Times New Roman" w:eastAsia="Times New Roman" w:hAnsi="Times New Roman"/>
                <w:sz w:val="22"/>
                <w:szCs w:val="22"/>
                <w:b w:val="1"/>
                <w:bCs w:val="1"/>
                <w:color w:val="auto"/>
                <w:w w:val="95"/>
                <w:vertAlign w:val="superscript"/>
              </w:rPr>
              <w:t>(1)</w:t>
            </w: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r>
        <w:trPr>
          <w:trHeight w:val="265"/>
        </w:trPr>
        <w:tc>
          <w:tcPr>
            <w:tcW w:w="20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12/31/99</w:t>
            </w:r>
          </w:p>
        </w:tc>
        <w:tc>
          <w:tcPr>
            <w:tcW w:w="130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12/31/00</w:t>
            </w:r>
          </w:p>
        </w:tc>
        <w:tc>
          <w:tcPr>
            <w:tcW w:w="1320" w:type="dxa"/>
            <w:vAlign w:val="bottom"/>
            <w:gridSpan w:val="3"/>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12/31/01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12/31/02</w:t>
            </w:r>
          </w:p>
        </w:tc>
        <w:tc>
          <w:tcPr>
            <w:tcW w:w="130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12/31/03</w:t>
            </w:r>
          </w:p>
        </w:tc>
        <w:tc>
          <w:tcPr>
            <w:tcW w:w="132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12/31/04</w:t>
            </w:r>
          </w:p>
        </w:tc>
      </w:tr>
      <w:tr>
        <w:trPr>
          <w:trHeight w:val="95"/>
        </w:trPr>
        <w:tc>
          <w:tcPr>
            <w:tcW w:w="20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30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MARIETTA MATERIALS, INC.</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6"/>
              </w:rPr>
              <w:t>104.56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92"/>
              </w:rPr>
              <w:t>116.66</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2"/>
              </w:rPr>
              <w:t>121.80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141.44</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90.90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80.09</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80.29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89.03</w:t>
            </w:r>
          </w:p>
        </w:tc>
      </w:tr>
      <w:tr>
        <w:trPr>
          <w:trHeight w:val="22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BASIC MATERIALS INDEX</w:t>
            </w:r>
          </w:p>
        </w:tc>
        <w:tc>
          <w:tcPr>
            <w:tcW w:w="10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$100.00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84.28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87.21</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$82.45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2"/>
              </w:rPr>
              <w:t>113.94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2"/>
              </w:rPr>
              <w:t>128.97</w:t>
            </w:r>
          </w:p>
        </w:tc>
      </w:tr>
      <w:tr>
        <w:trPr>
          <w:trHeight w:val="110"/>
        </w:trPr>
        <w:tc>
          <w:tcPr>
            <w:tcW w:w="2080" w:type="dxa"/>
            <w:vAlign w:val="bottom"/>
            <w:tcBorders>
              <w:bottom w:val="single" w:sz="8" w:color="808080"/>
            </w:tcBorders>
          </w:tcPr>
          <w:p>
            <w:pPr>
              <w:spacing w:after="0"/>
              <w:rPr>
                <w:sz w:val="9"/>
                <w:szCs w:val="9"/>
                <w:color w:val="auto"/>
              </w:rPr>
            </w:pPr>
          </w:p>
        </w:tc>
        <w:tc>
          <w:tcPr>
            <w:tcW w:w="1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6"/>
          <w:szCs w:val="16"/>
          <w:color w:val="auto"/>
        </w:rPr>
        <w:t>Assumes that the investment in the Corporation’s common stock and each index was $100, with quarterly reinvestment of dividends.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10" w:lineRule="exact"/>
        <w:rPr>
          <w:sz w:val="20"/>
          <w:szCs w:val="20"/>
          <w:color w:val="auto"/>
        </w:rPr>
      </w:pPr>
    </w:p>
    <w:p>
      <w:pPr>
        <w:ind w:right="120" w:firstLine="482"/>
        <w:spacing w:after="0" w:line="238" w:lineRule="auto"/>
        <w:rPr>
          <w:sz w:val="20"/>
          <w:szCs w:val="20"/>
          <w:color w:val="auto"/>
        </w:rPr>
      </w:pPr>
      <w:r>
        <w:rPr>
          <w:rFonts w:ascii="Times New Roman" w:cs="Times New Roman" w:eastAsia="Times New Roman" w:hAnsi="Times New Roman"/>
          <w:sz w:val="22"/>
          <w:szCs w:val="22"/>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2004, 2003 and 2002. Other than compensation paid by the Corporation as set forth below, no annual or long-term compensation of any kind was paid to the Chief Executive Officer or other named executive officers of the Corporation in each of the years in the three-year period ended December 31, 2004.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i w:val="1"/>
          <w:iCs w:val="1"/>
          <w:color w:val="auto"/>
        </w:rPr>
        <w:t>Summary Compensation Table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Annual Compensation</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6"/>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5"/>
              </w:rPr>
              <w:t>Long-Term Compensation</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95"/>
        </w:trPr>
        <w:tc>
          <w:tcPr>
            <w:tcW w:w="2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63"/>
        </w:trPr>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Payouts</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95"/>
        </w:trPr>
        <w:tc>
          <w:tcPr>
            <w:tcW w:w="2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3"/>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49"/>
        </w:trPr>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2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6"/>
        </w:trPr>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72"/>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200" w:type="dxa"/>
            <w:vAlign w:val="bottom"/>
          </w:tcPr>
          <w:p>
            <w:pPr>
              <w:spacing w:after="0"/>
              <w:rPr>
                <w:sz w:val="12"/>
                <w:szCs w:val="12"/>
                <w:color w:val="auto"/>
              </w:rPr>
            </w:pPr>
          </w:p>
        </w:tc>
        <w:tc>
          <w:tcPr>
            <w:tcW w:w="136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w w:val="93"/>
              </w:rPr>
              <w:t>Options/</w:t>
            </w:r>
          </w:p>
        </w:tc>
        <w:tc>
          <w:tcPr>
            <w:tcW w:w="860" w:type="dxa"/>
            <w:vAlign w:val="bottom"/>
          </w:tcPr>
          <w:p>
            <w:pPr>
              <w:jc w:val="center"/>
              <w:ind w:right="52"/>
              <w:spacing w:after="0" w:line="146" w:lineRule="exact"/>
              <w:rPr>
                <w:sz w:val="20"/>
                <w:szCs w:val="20"/>
                <w:color w:val="auto"/>
              </w:rPr>
            </w:pPr>
            <w:r>
              <w:rPr>
                <w:rFonts w:ascii="Times New Roman" w:cs="Times New Roman" w:eastAsia="Times New Roman" w:hAnsi="Times New Roman"/>
                <w:sz w:val="14"/>
                <w:szCs w:val="14"/>
                <w:b w:val="1"/>
                <w:bCs w:val="1"/>
                <w:color w:val="auto"/>
                <w:w w:val="91"/>
              </w:rPr>
              <w:t>LTIP</w:t>
            </w:r>
          </w:p>
        </w:tc>
        <w:tc>
          <w:tcPr>
            <w:tcW w:w="220" w:type="dxa"/>
            <w:vAlign w:val="bottom"/>
          </w:tcPr>
          <w:p>
            <w:pPr>
              <w:spacing w:after="0"/>
              <w:rPr>
                <w:sz w:val="12"/>
                <w:szCs w:val="12"/>
                <w:color w:val="auto"/>
              </w:rPr>
            </w:pPr>
          </w:p>
        </w:tc>
        <w:tc>
          <w:tcPr>
            <w:tcW w:w="1320" w:type="dxa"/>
            <w:vAlign w:val="bottom"/>
          </w:tcPr>
          <w:p>
            <w:pPr>
              <w:jc w:val="right"/>
              <w:ind w:right="312"/>
              <w:spacing w:after="0" w:line="146" w:lineRule="exact"/>
              <w:rPr>
                <w:sz w:val="20"/>
                <w:szCs w:val="20"/>
                <w:color w:val="auto"/>
              </w:rPr>
            </w:pPr>
            <w:r>
              <w:rPr>
                <w:rFonts w:ascii="Times New Roman" w:cs="Times New Roman" w:eastAsia="Times New Roman" w:hAnsi="Times New Roman"/>
                <w:sz w:val="14"/>
                <w:szCs w:val="14"/>
                <w:b w:val="1"/>
                <w:bCs w:val="1"/>
                <w:color w:val="auto"/>
              </w:rPr>
              <w:t>All Other</w:t>
            </w:r>
          </w:p>
        </w:tc>
      </w:tr>
      <w:tr>
        <w:trPr>
          <w:trHeight w:val="301"/>
        </w:trPr>
        <w:tc>
          <w:tcPr>
            <w:tcW w:w="2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24"/>
                <w:szCs w:val="24"/>
                <w:color w:val="auto"/>
              </w:rPr>
            </w:pPr>
          </w:p>
        </w:tc>
        <w:tc>
          <w:tcPr>
            <w:tcW w:w="42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24"/>
                <w:szCs w:val="24"/>
                <w:color w:val="auto"/>
              </w:rPr>
            </w:pPr>
          </w:p>
        </w:tc>
        <w:tc>
          <w:tcPr>
            <w:tcW w:w="620" w:type="dxa"/>
            <w:vAlign w:val="bottom"/>
            <w:tcBorders>
              <w:bottom w:val="single" w:sz="8" w:color="808080"/>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24"/>
                <w:szCs w:val="24"/>
                <w:color w:val="auto"/>
              </w:rPr>
            </w:pPr>
          </w:p>
        </w:tc>
        <w:tc>
          <w:tcPr>
            <w:tcW w:w="880" w:type="dxa"/>
            <w:vAlign w:val="bottom"/>
            <w:tcBorders>
              <w:bottom w:val="single" w:sz="8" w:color="808080"/>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22"/>
                <w:szCs w:val="22"/>
                <w:b w:val="1"/>
                <w:bCs w:val="1"/>
                <w:color w:val="auto"/>
                <w:vertAlign w:val="superscript"/>
              </w:rPr>
              <w:t>(1)</w:t>
            </w:r>
          </w:p>
        </w:tc>
        <w:tc>
          <w:tcPr>
            <w:tcW w:w="2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2"/>
              </w:rPr>
              <w:t>Compensation</w:t>
            </w:r>
            <w:r>
              <w:rPr>
                <w:rFonts w:ascii="Times New Roman" w:cs="Times New Roman" w:eastAsia="Times New Roman" w:hAnsi="Times New Roman"/>
                <w:sz w:val="22"/>
                <w:szCs w:val="22"/>
                <w:b w:val="1"/>
                <w:bCs w:val="1"/>
                <w:color w:val="auto"/>
                <w:w w:val="92"/>
                <w:vertAlign w:val="superscript"/>
              </w:rPr>
              <w:t>(2)</w:t>
            </w:r>
          </w:p>
        </w:tc>
        <w:tc>
          <w:tcPr>
            <w:tcW w:w="200" w:type="dxa"/>
            <w:vAlign w:val="bottom"/>
          </w:tcPr>
          <w:p>
            <w:pPr>
              <w:spacing w:after="0"/>
              <w:rPr>
                <w:sz w:val="24"/>
                <w:szCs w:val="24"/>
                <w:color w:val="auto"/>
              </w:rPr>
            </w:pPr>
          </w:p>
        </w:tc>
        <w:tc>
          <w:tcPr>
            <w:tcW w:w="9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Awards</w:t>
            </w:r>
            <w:r>
              <w:rPr>
                <w:rFonts w:ascii="Times New Roman" w:cs="Times New Roman" w:eastAsia="Times New Roman" w:hAnsi="Times New Roman"/>
                <w:sz w:val="22"/>
                <w:szCs w:val="22"/>
                <w:b w:val="1"/>
                <w:bCs w:val="1"/>
                <w:color w:val="auto"/>
                <w:w w:val="87"/>
                <w:vertAlign w:val="superscript"/>
              </w:rPr>
              <w:t>(3)</w:t>
            </w:r>
          </w:p>
        </w:tc>
        <w:tc>
          <w:tcPr>
            <w:tcW w:w="2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89"/>
              </w:rPr>
              <w:t>SARs(#)</w:t>
            </w:r>
            <w:r>
              <w:rPr>
                <w:rFonts w:ascii="Times New Roman" w:cs="Times New Roman" w:eastAsia="Times New Roman" w:hAnsi="Times New Roman"/>
                <w:sz w:val="22"/>
                <w:szCs w:val="22"/>
                <w:b w:val="1"/>
                <w:bCs w:val="1"/>
                <w:color w:val="auto"/>
                <w:w w:val="89"/>
                <w:vertAlign w:val="superscript"/>
              </w:rPr>
              <w:t>(4)</w:t>
            </w:r>
          </w:p>
        </w:tc>
        <w:tc>
          <w:tcPr>
            <w:tcW w:w="200" w:type="dxa"/>
            <w:vAlign w:val="bottom"/>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89"/>
              </w:rPr>
              <w:t>Payouts</w:t>
            </w:r>
            <w:r>
              <w:rPr>
                <w:rFonts w:ascii="Times New Roman" w:cs="Times New Roman" w:eastAsia="Times New Roman" w:hAnsi="Times New Roman"/>
                <w:sz w:val="22"/>
                <w:szCs w:val="22"/>
                <w:b w:val="1"/>
                <w:bCs w:val="1"/>
                <w:color w:val="auto"/>
                <w:w w:val="89"/>
                <w:vertAlign w:val="superscript"/>
              </w:rPr>
              <w:t>(5)</w:t>
            </w:r>
          </w:p>
        </w:tc>
        <w:tc>
          <w:tcPr>
            <w:tcW w:w="220" w:type="dxa"/>
            <w:vAlign w:val="bottom"/>
          </w:tcPr>
          <w:p>
            <w:pPr>
              <w:spacing w:after="0"/>
              <w:rPr>
                <w:sz w:val="24"/>
                <w:szCs w:val="24"/>
                <w:color w:val="auto"/>
              </w:rPr>
            </w:pPr>
          </w:p>
        </w:tc>
        <w:tc>
          <w:tcPr>
            <w:tcW w:w="1320" w:type="dxa"/>
            <w:vAlign w:val="bottom"/>
            <w:tcBorders>
              <w:bottom w:val="single" w:sz="8" w:color="808080"/>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2"/>
                <w:szCs w:val="22"/>
                <w:b w:val="1"/>
                <w:bCs w:val="1"/>
                <w:color w:val="auto"/>
                <w:vertAlign w:val="superscript"/>
              </w:rPr>
              <w:t>(6)</w:t>
            </w:r>
          </w:p>
        </w:tc>
      </w:tr>
      <w:tr>
        <w:trPr>
          <w:trHeight w:val="24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P. Zelnak, Jr.</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$860,000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$430,000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$537,547</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   74,673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125,000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$67,752</w:t>
            </w:r>
          </w:p>
        </w:tc>
      </w:tr>
      <w:tr>
        <w:trPr>
          <w:trHeight w:val="149"/>
        </w:trPr>
        <w:tc>
          <w:tcPr>
            <w:tcW w:w="23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Chairman, President</w:t>
            </w:r>
          </w:p>
        </w:tc>
        <w:tc>
          <w:tcPr>
            <w:tcW w:w="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816,679</w:t>
            </w:r>
          </w:p>
        </w:tc>
        <w:tc>
          <w:tcPr>
            <w:tcW w:w="10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380,000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475,020</w:t>
            </w:r>
          </w:p>
        </w:tc>
        <w:tc>
          <w:tcPr>
            <w:tcW w:w="11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2,096,194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$87,552</w:t>
            </w:r>
          </w:p>
        </w:tc>
        <w:tc>
          <w:tcPr>
            <w:tcW w:w="15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7,000</w:t>
            </w:r>
          </w:p>
        </w:tc>
      </w:tr>
      <w:tr>
        <w:trPr>
          <w:trHeight w:val="174"/>
        </w:trPr>
        <w:tc>
          <w:tcPr>
            <w:tcW w:w="2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 Chief Executive Officer</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2002</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770,000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307,500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384,388</w:t>
            </w:r>
          </w:p>
        </w:tc>
        <w:tc>
          <w:tcPr>
            <w:tcW w:w="200" w:type="dxa"/>
            <w:vAlign w:val="bottom"/>
          </w:tcPr>
          <w:p>
            <w:pPr>
              <w:spacing w:after="0"/>
              <w:rPr>
                <w:sz w:val="15"/>
                <w:szCs w:val="15"/>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125,000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6,873</w:t>
            </w:r>
          </w:p>
        </w:tc>
      </w:tr>
      <w:tr>
        <w:trPr>
          <w:trHeight w:val="27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Philip J. Sipling</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390,500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144,438</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33,917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22,098</w:t>
            </w:r>
          </w:p>
        </w:tc>
      </w:tr>
      <w:tr>
        <w:trPr>
          <w:trHeight w:val="149"/>
        </w:trPr>
        <w:tc>
          <w:tcPr>
            <w:tcW w:w="23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373,000</w:t>
            </w:r>
          </w:p>
        </w:tc>
        <w:tc>
          <w:tcPr>
            <w:tcW w:w="10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112,507</w:t>
            </w:r>
          </w:p>
        </w:tc>
        <w:tc>
          <w:tcPr>
            <w:tcW w:w="11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673,123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44,105</w:t>
            </w:r>
          </w:p>
        </w:tc>
        <w:tc>
          <w:tcPr>
            <w:tcW w:w="15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7,000</w:t>
            </w:r>
          </w:p>
        </w:tc>
      </w:tr>
      <w:tr>
        <w:trPr>
          <w:trHeight w:val="174"/>
        </w:trPr>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2002</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357,500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100,000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103,817</w:t>
            </w:r>
          </w:p>
        </w:tc>
        <w:tc>
          <w:tcPr>
            <w:tcW w:w="200" w:type="dxa"/>
            <w:vAlign w:val="bottom"/>
          </w:tcPr>
          <w:p>
            <w:pPr>
              <w:spacing w:after="0"/>
              <w:rPr>
                <w:sz w:val="15"/>
                <w:szCs w:val="15"/>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5,352</w:t>
            </w:r>
          </w:p>
        </w:tc>
      </w:tr>
      <w:tr>
        <w:trPr>
          <w:trHeight w:val="27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Janice K. Henry</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332,500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173,166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54,157</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28,899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11,839</w:t>
            </w:r>
          </w:p>
        </w:tc>
      </w:tr>
      <w:tr>
        <w:trPr>
          <w:trHeight w:val="149"/>
        </w:trPr>
        <w:tc>
          <w:tcPr>
            <w:tcW w:w="23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Senior Vice President, Chief</w:t>
            </w:r>
          </w:p>
        </w:tc>
        <w:tc>
          <w:tcPr>
            <w:tcW w:w="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317,500</w:t>
            </w:r>
          </w:p>
        </w:tc>
        <w:tc>
          <w:tcPr>
            <w:tcW w:w="10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109,418</w:t>
            </w:r>
          </w:p>
        </w:tc>
        <w:tc>
          <w:tcPr>
            <w:tcW w:w="11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33,639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36,120</w:t>
            </w:r>
          </w:p>
        </w:tc>
        <w:tc>
          <w:tcPr>
            <w:tcW w:w="15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7,000</w:t>
            </w:r>
          </w:p>
        </w:tc>
      </w:tr>
      <w:tr>
        <w:trPr>
          <w:trHeight w:val="174"/>
        </w:trPr>
        <w:tc>
          <w:tcPr>
            <w:tcW w:w="2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2002</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302,748</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67,760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84,703</w:t>
            </w:r>
          </w:p>
        </w:tc>
        <w:tc>
          <w:tcPr>
            <w:tcW w:w="200" w:type="dxa"/>
            <w:vAlign w:val="bottom"/>
          </w:tcPr>
          <w:p>
            <w:pPr>
              <w:spacing w:after="0"/>
              <w:rPr>
                <w:sz w:val="15"/>
                <w:szCs w:val="15"/>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7,000</w:t>
            </w:r>
          </w:p>
        </w:tc>
      </w:tr>
      <w:tr>
        <w:trPr>
          <w:trHeight w:val="27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Donald M. Moe</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295,000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160,244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50,131</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25,645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36,021</w:t>
            </w:r>
          </w:p>
        </w:tc>
      </w:tr>
      <w:tr>
        <w:trPr>
          <w:trHeight w:val="149"/>
        </w:trPr>
        <w:tc>
          <w:tcPr>
            <w:tcW w:w="23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273,750</w:t>
            </w:r>
          </w:p>
        </w:tc>
        <w:tc>
          <w:tcPr>
            <w:tcW w:w="10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125,246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39,172</w:t>
            </w:r>
          </w:p>
        </w:tc>
        <w:tc>
          <w:tcPr>
            <w:tcW w:w="11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660,821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29,638</w:t>
            </w:r>
          </w:p>
        </w:tc>
        <w:tc>
          <w:tcPr>
            <w:tcW w:w="15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7,000</w:t>
            </w:r>
          </w:p>
        </w:tc>
      </w:tr>
      <w:tr>
        <w:trPr>
          <w:trHeight w:val="174"/>
        </w:trPr>
        <w:tc>
          <w:tcPr>
            <w:tcW w:w="2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President — Carolina Division</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2002</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252,500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90,496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28,291</w:t>
            </w:r>
          </w:p>
        </w:tc>
        <w:tc>
          <w:tcPr>
            <w:tcW w:w="200" w:type="dxa"/>
            <w:vAlign w:val="bottom"/>
          </w:tcPr>
          <w:p>
            <w:pPr>
              <w:spacing w:after="0"/>
              <w:rPr>
                <w:sz w:val="15"/>
                <w:szCs w:val="15"/>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15,000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6,628</w:t>
            </w:r>
          </w:p>
        </w:tc>
      </w:tr>
      <w:tr>
        <w:trPr>
          <w:trHeight w:val="271"/>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Roselyn R. Bar</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276,668</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123,504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38,605</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24,045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13,405</w:t>
            </w:r>
          </w:p>
        </w:tc>
      </w:tr>
      <w:tr>
        <w:trPr>
          <w:trHeight w:val="149"/>
        </w:trPr>
        <w:tc>
          <w:tcPr>
            <w:tcW w:w="23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Vice President, General Counsel</w:t>
            </w:r>
          </w:p>
        </w:tc>
        <w:tc>
          <w:tcPr>
            <w:tcW w:w="4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8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250,229</w:t>
            </w:r>
          </w:p>
        </w:tc>
        <w:tc>
          <w:tcPr>
            <w:tcW w:w="108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62,500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78,156</w:t>
            </w:r>
          </w:p>
        </w:tc>
        <w:tc>
          <w:tcPr>
            <w:tcW w:w="1160" w:type="dxa"/>
            <w:vAlign w:val="bottom"/>
            <w:gridSpan w:val="2"/>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23,634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20,667</w:t>
            </w:r>
          </w:p>
        </w:tc>
        <w:tc>
          <w:tcPr>
            <w:tcW w:w="1540" w:type="dxa"/>
            <w:vAlign w:val="bottom"/>
            <w:gridSpan w:val="2"/>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rPr>
              <w:t>7,000</w:t>
            </w:r>
          </w:p>
        </w:tc>
      </w:tr>
      <w:tr>
        <w:trPr>
          <w:trHeight w:val="174"/>
        </w:trPr>
        <w:tc>
          <w:tcPr>
            <w:tcW w:w="2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 Corporate Secretary</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2002</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210,833</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42,061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52,584</w:t>
            </w:r>
          </w:p>
        </w:tc>
        <w:tc>
          <w:tcPr>
            <w:tcW w:w="200" w:type="dxa"/>
            <w:vAlign w:val="bottom"/>
          </w:tcPr>
          <w:p>
            <w:pPr>
              <w:spacing w:after="0"/>
              <w:rPr>
                <w:sz w:val="15"/>
                <w:szCs w:val="15"/>
                <w:color w:val="auto"/>
              </w:rPr>
            </w:pPr>
          </w:p>
        </w:tc>
        <w:tc>
          <w:tcPr>
            <w:tcW w:w="1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72"/>
              <w:spacing w:after="0"/>
              <w:rPr>
                <w:sz w:val="20"/>
                <w:szCs w:val="20"/>
                <w:color w:val="auto"/>
              </w:rPr>
            </w:pPr>
            <w:r>
              <w:rPr>
                <w:rFonts w:ascii="Times New Roman" w:cs="Times New Roman" w:eastAsia="Times New Roman" w:hAnsi="Times New Roman"/>
                <w:sz w:val="14"/>
                <w:szCs w:val="14"/>
                <w:color w:val="auto"/>
              </w:rPr>
              <w:t>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98" w:lineRule="exact"/>
        <w:rPr>
          <w:sz w:val="20"/>
          <w:szCs w:val="20"/>
          <w:color w:val="auto"/>
        </w:rPr>
      </w:pPr>
    </w:p>
    <w:p>
      <w:pPr>
        <w:ind w:left="360" w:right="160" w:hanging="352"/>
        <w:spacing w:after="0" w:line="25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earned in 2004 were paid pursuant to the Martin Marietta Materials, Inc. Executive Incentive Plan. A portion of the cash bonus in 2004, 2003, and 2002 to be paid to the named executive officers and certain other key employees of the Corporation was deferred into stock-based awards pursuant to the Martin Marietta Materials, Inc. Incentive Stock Plan. The amounts deferred in 2004 for each of the named executive officers are as follows: Mr. Zelnak, $430,000; Mr. Sipling, $115,540; Ms. Henry, $43,292; Mr. Moe, $40,061; and Ms. Bar, $30,876. The amounts deferred in 2003 for each of the named executive officers are as follows: Mr. Zelnak, $380,000; Mr. Sipling, $90,000; Ms. Henry, $87,500; Mr. Moe, $31,312; and Ms. Bar, $62,500. The amounts deferred in 2002 for each of the named executive officers are as follows: Mr. Zelnak, $307,500; Mr. Sipling, $83,040; Ms. Henry, $67,760; Mr. Moe, $22,624; and Ms. Bar, $42,061. The amounts reported under “Bonus” do not include such deferred portion which are reported under “Other Annual Compensation.”</w:t>
      </w:r>
    </w:p>
    <w:p>
      <w:pPr>
        <w:spacing w:after="0" w:line="2" w:lineRule="exact"/>
        <w:rPr>
          <w:rFonts w:ascii="Times New Roman" w:cs="Times New Roman" w:eastAsia="Times New Roman" w:hAnsi="Times New Roman"/>
          <w:sz w:val="18"/>
          <w:szCs w:val="18"/>
          <w:color w:val="auto"/>
        </w:rPr>
      </w:pPr>
    </w:p>
    <w:p>
      <w:pPr>
        <w:ind w:left="360" w:right="20" w:hanging="352"/>
        <w:spacing w:after="0" w:line="285"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20% of the annual incentive bonus towards the crediting of Units under the Plan, except for Mr. Zelnak, who is required to use a minimum of 35% towards the crediting of such Units. Any election to purchase Units under the Plan (in addition to the mandatory purchases) must be made at least six months prior to the date the amount of the annual incentive bonus is determined. The Units credited under the Plan generally vest if the executive is continuously employed on December 1 in the year that is immediately preceding three years from the date of grant, at which time shares of common stock are issued to the participant. Dividend equivalents are paid on the Units at the same rate as dividends are paid to all shareholders. The amounts reported under “Other Annual Compensation” represent the market value on the date of grant of the Units credited to each named executive officer. The number of Units credited for 2004 to each of the named executives is as follows: Mr. Zelnak, 9,747; Mr. Sipling, 2,619; Ms. Henry, 982; Mr. Moe, 909; and Ms. Bar, 700. The number of Units credited for 2003 to each of the named executives is as follows: Mr. Zelnak, 10,150; Mr. Sipling, 2,404; Ms. Henry, 2,338; Mr. Moe, 837; and</w:t>
      </w:r>
    </w:p>
    <w:p>
      <w:pPr>
        <w:spacing w:after="0" w:line="187" w:lineRule="exact"/>
        <w:rPr>
          <w:rFonts w:ascii="Times New Roman" w:cs="Times New Roman" w:eastAsia="Times New Roman" w:hAnsi="Times New Roman"/>
          <w:sz w:val="16"/>
          <w:szCs w:val="16"/>
          <w:color w:val="auto"/>
        </w:rPr>
      </w:pPr>
    </w:p>
    <w:p>
      <w:pPr>
        <w:ind w:left="360" w:right="20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Ms. Bar, 1,670. The number of Units credited for 2002 to each of the named executives is as follows: Mr. Zelnak, 13,655; Mr. Sipling, 3,688; Ms. Henry, 3,009; Mr. Moe, 1,005; and Ms. Bar, 1,868. The cost of perquisites furnished to each executive officer did not exceed the lesser of $50,000 or 10% of such officer’s salary and bonus. The perquisites in 2004 for the executive officers included personal use of a company-provided leased vehicle and, for some executive officers, personal use of the Corporation’s plane and personal use of a country club.</w:t>
      </w:r>
    </w:p>
    <w:p>
      <w:pPr>
        <w:spacing w:after="0" w:line="1" w:lineRule="exact"/>
        <w:rPr>
          <w:rFonts w:ascii="Times New Roman" w:cs="Times New Roman" w:eastAsia="Times New Roman" w:hAnsi="Times New Roman"/>
          <w:sz w:val="16"/>
          <w:szCs w:val="16"/>
          <w:color w:val="auto"/>
        </w:rPr>
      </w:pPr>
    </w:p>
    <w:p>
      <w:pPr>
        <w:ind w:left="360" w:right="80" w:hanging="352"/>
        <w:spacing w:after="0" w:line="281" w:lineRule="auto"/>
        <w:tabs>
          <w:tab w:leader="none" w:pos="3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under “Restricted Stock Awards” represent the value of units that correspond to common stock awarded to participants under the Martin Marietta Materials, Inc. Amended and Restated Stock-Based Award Plan based on the closing market price on the date of grant. The awards granted in 2004 are generally based on the Corporation’s performance as measured by its specific return on shareholders investment that are equally weighted and determined by a total return to shareholders ranking that must be at least in the 40th percentile as compared to the Standard and Poor’s index of 400 Midcap companies and to the Standard and Poor’s Materials Index (formerly named the Basic Materials Industrial Group) for the three year performance period ending on January 1 in the year the awards are granted. Other restricted stock awards are based on executive succession planning for the Corporation’s management. The stock-based awards generally vest if the executive is continuously employed on: December 1 in the year that is immediately preceding three or five years from the date of grant; when the participant reaches the age of 62; or on the sixth anniversary of the date of grant; in each case, following which time shares of common stock are issued to the participant. The number of units credited for 2004 to each of the named executives is as follows:</w:t>
      </w:r>
    </w:p>
    <w:p>
      <w:pPr>
        <w:spacing w:after="0" w:line="6" w:lineRule="exact"/>
        <w:rPr>
          <w:rFonts w:ascii="Times New Roman" w:cs="Times New Roman" w:eastAsia="Times New Roman" w:hAnsi="Times New Roman"/>
          <w:sz w:val="16"/>
          <w:szCs w:val="16"/>
          <w:color w:val="auto"/>
        </w:rPr>
      </w:pPr>
    </w:p>
    <w:p>
      <w:pPr>
        <w:ind w:left="360" w:right="26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Zelnak, 1,551; Mr. Sipling, 725; Ms. Henry, 617; Mr. Moe, 524; and Ms. Bar, 505. The number of units credited for 2003 to each of the named executives is as follows: Mr. Zelnak, 62,998; Mr. Sipling, 21,404; Ms. Henry, 1,195; Mr. Moe, 20,967; and Ms. Bar, 5,911. There were no restricted stock awards made for 2002. Dividend equivalents are paid on the Units at the same rate as dividends are paid to all shareholders.</w:t>
      </w:r>
    </w:p>
    <w:p>
      <w:pPr>
        <w:spacing w:after="0" w:line="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are for common stock of the Corporation. There are no awards of SARs for the Corporation’s common stock.</w:t>
      </w:r>
    </w:p>
    <w:p>
      <w:pPr>
        <w:spacing w:after="0" w:line="9" w:lineRule="exact"/>
        <w:rPr>
          <w:rFonts w:ascii="Times New Roman" w:cs="Times New Roman" w:eastAsia="Times New Roman" w:hAnsi="Times New Roman"/>
          <w:sz w:val="18"/>
          <w:szCs w:val="18"/>
          <w:color w:val="auto"/>
        </w:rPr>
      </w:pPr>
    </w:p>
    <w:p>
      <w:pPr>
        <w:ind w:left="360" w:right="20" w:hanging="352"/>
        <w:spacing w:after="0" w:line="250"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under “LTIP Payouts” represent payouts of awards earned under the Martin Marietta Materials, Inc. Shareholder Value Achievement Plan, which are based upon a combination of factors, including a total return to shareholders formula that compares the Corporation’s total return to shareholders to that of the Standard and Poor’s MidCap 400 Index and the Standard and Poor’s Basic Materials Industrial Group, for the immediately preceding three-year performance period. The payouts were made in shares of common stock. The amounts reported reflect the dollar value of the common stock based on the closing price at year-end.</w:t>
      </w:r>
    </w:p>
    <w:p>
      <w:pPr>
        <w:spacing w:after="0" w:line="2" w:lineRule="exact"/>
        <w:rPr>
          <w:rFonts w:ascii="Times New Roman" w:cs="Times New Roman" w:eastAsia="Times New Roman" w:hAnsi="Times New Roman"/>
          <w:sz w:val="18"/>
          <w:szCs w:val="18"/>
          <w:color w:val="auto"/>
        </w:rPr>
      </w:pPr>
    </w:p>
    <w:p>
      <w:pPr>
        <w:ind w:left="360" w:hanging="352"/>
        <w:spacing w:after="0" w:line="261"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under “All Other Compensation” represent matching contributions to the Corporation’s Performance Sharing Plan and payment of accrued and unused vacation paid to all of the Corporation’s eligible employees.</w:t>
      </w:r>
    </w:p>
    <w:p>
      <w:pPr>
        <w:sectPr>
          <w:pgSz w:w="11900" w:h="16838" w:orient="portrait"/>
          <w:cols w:equalWidth="0" w:num="1">
            <w:col w:w="11420"/>
          </w:cols>
          <w:pgMar w:left="240" w:top="916" w:right="239" w:bottom="101"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146685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Option Grants in Last Fiscal Year</w:t>
      </w:r>
    </w:p>
    <w:p>
      <w:pPr>
        <w:spacing w:after="0" w:line="212"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2"/>
          <w:szCs w:val="22"/>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2004.</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gridSpan w:val="3"/>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Individual Grants</w:t>
            </w:r>
            <w:r>
              <w:rPr>
                <w:rFonts w:ascii="Times New Roman" w:cs="Times New Roman" w:eastAsia="Times New Roman" w:hAnsi="Times New Roman"/>
                <w:sz w:val="22"/>
                <w:szCs w:val="22"/>
                <w:b w:val="1"/>
                <w:bCs w:val="1"/>
                <w:color w:val="auto"/>
                <w:vertAlign w:val="superscript"/>
              </w:rPr>
              <w:t>(1)</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
        </w:trPr>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60" w:type="dxa"/>
            <w:vAlign w:val="bottom"/>
            <w:vMerge w:val="restart"/>
          </w:tcPr>
          <w:p>
            <w:pPr>
              <w:spacing w:after="0"/>
              <w:rPr>
                <w:sz w:val="7"/>
                <w:szCs w:val="7"/>
                <w:color w:val="auto"/>
              </w:rPr>
            </w:pPr>
          </w:p>
        </w:tc>
        <w:tc>
          <w:tcPr>
            <w:tcW w:w="3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Potential Realizable Value</w:t>
            </w: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4"/>
              </w:rPr>
              <w:t>Percent of</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20" w:type="dxa"/>
            <w:vAlign w:val="bottom"/>
            <w:gridSpan w:val="4"/>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w w:val="96"/>
              </w:rPr>
              <w:t>at Assumed Annual Rates of</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4"/>
              </w:rPr>
              <w:t>Total Options</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2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Stock Price Appreciation for</w:t>
            </w:r>
          </w:p>
        </w:tc>
        <w:tc>
          <w:tcPr>
            <w:tcW w:w="0" w:type="dxa"/>
            <w:vAlign w:val="bottom"/>
          </w:tcPr>
          <w:p>
            <w:pPr>
              <w:spacing w:after="0"/>
              <w:rPr>
                <w:sz w:val="1"/>
                <w:szCs w:val="1"/>
                <w:color w:val="auto"/>
              </w:rPr>
            </w:pPr>
          </w:p>
        </w:tc>
      </w:tr>
      <w:tr>
        <w:trPr>
          <w:trHeight w:val="219"/>
        </w:trPr>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Underlying</w:t>
            </w:r>
          </w:p>
        </w:tc>
        <w:tc>
          <w:tcPr>
            <w:tcW w:w="2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Granted to</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or</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80" w:type="dxa"/>
            <w:vAlign w:val="bottom"/>
            <w:gridSpan w:val="3"/>
          </w:tcPr>
          <w:p>
            <w:pPr>
              <w:jc w:val="center"/>
              <w:ind w:right="1160"/>
              <w:spacing w:after="0" w:line="219" w:lineRule="exact"/>
              <w:rPr>
                <w:sz w:val="20"/>
                <w:szCs w:val="20"/>
                <w:color w:val="auto"/>
              </w:rPr>
            </w:pPr>
            <w:r>
              <w:rPr>
                <w:rFonts w:ascii="Times New Roman" w:cs="Times New Roman" w:eastAsia="Times New Roman" w:hAnsi="Times New Roman"/>
                <w:sz w:val="14"/>
                <w:szCs w:val="14"/>
                <w:b w:val="1"/>
                <w:bCs w:val="1"/>
                <w:color w:val="auto"/>
                <w:w w:val="91"/>
              </w:rPr>
              <w:t>Option Term</w:t>
            </w:r>
            <w:r>
              <w:rPr>
                <w:rFonts w:ascii="Times New Roman" w:cs="Times New Roman" w:eastAsia="Times New Roman" w:hAnsi="Times New Roman"/>
                <w:sz w:val="22"/>
                <w:szCs w:val="22"/>
                <w:b w:val="1"/>
                <w:bCs w:val="1"/>
                <w:color w:val="auto"/>
                <w:w w:val="91"/>
                <w:vertAlign w:val="superscript"/>
              </w:rPr>
              <w:t>(2)</w:t>
            </w:r>
          </w:p>
        </w:tc>
        <w:tc>
          <w:tcPr>
            <w:tcW w:w="0" w:type="dxa"/>
            <w:vAlign w:val="bottom"/>
          </w:tcPr>
          <w:p>
            <w:pPr>
              <w:spacing w:after="0"/>
              <w:rPr>
                <w:sz w:val="1"/>
                <w:szCs w:val="1"/>
                <w:color w:val="auto"/>
              </w:rPr>
            </w:pPr>
          </w:p>
        </w:tc>
      </w:tr>
      <w:tr>
        <w:trPr>
          <w:trHeight w:val="84"/>
        </w:trPr>
        <w:tc>
          <w:tcPr>
            <w:tcW w:w="2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Options</w:t>
            </w:r>
          </w:p>
        </w:tc>
        <w:tc>
          <w:tcPr>
            <w:tcW w:w="260" w:type="dxa"/>
            <w:vAlign w:val="bottom"/>
            <w:vMerge w:val="restart"/>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Employees in</w:t>
            </w:r>
          </w:p>
        </w:tc>
        <w:tc>
          <w:tcPr>
            <w:tcW w:w="240" w:type="dxa"/>
            <w:vAlign w:val="bottom"/>
            <w:vMerge w:val="restart"/>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 Price</w:t>
            </w:r>
          </w:p>
        </w:tc>
        <w:tc>
          <w:tcPr>
            <w:tcW w:w="240" w:type="dxa"/>
            <w:vAlign w:val="bottom"/>
            <w:vMerge w:val="restart"/>
          </w:tcPr>
          <w:p>
            <w:pPr>
              <w:spacing w:after="0"/>
              <w:rPr>
                <w:sz w:val="7"/>
                <w:szCs w:val="7"/>
                <w:color w:val="auto"/>
              </w:rPr>
            </w:pPr>
          </w:p>
        </w:tc>
        <w:tc>
          <w:tcPr>
            <w:tcW w:w="11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6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Granted</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2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5%</w:t>
            </w:r>
          </w:p>
        </w:tc>
        <w:tc>
          <w:tcPr>
            <w:tcW w:w="20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95"/>
        </w:trPr>
        <w:tc>
          <w:tcPr>
            <w:tcW w:w="2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 Zelnak, Jr.</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125,000</w:t>
            </w:r>
          </w:p>
        </w:tc>
        <w:tc>
          <w:tcPr>
            <w:tcW w:w="1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25.41%</w:t>
            </w:r>
          </w:p>
        </w:tc>
        <w:tc>
          <w:tcPr>
            <w:tcW w:w="14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8/17/14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$3,331,569</w:t>
            </w:r>
          </w:p>
        </w:tc>
        <w:tc>
          <w:tcPr>
            <w:tcW w:w="2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$8,442,851</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J. Sipling</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30,000</w:t>
            </w:r>
          </w:p>
        </w:tc>
        <w:tc>
          <w:tcPr>
            <w:tcW w:w="1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6.10%</w:t>
            </w:r>
          </w:p>
        </w:tc>
        <w:tc>
          <w:tcPr>
            <w:tcW w:w="14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8/17/14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799,577</w:t>
            </w:r>
          </w:p>
        </w:tc>
        <w:tc>
          <w:tcPr>
            <w:tcW w:w="2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2,026,284</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Janice K. Henry</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4.07%</w:t>
            </w:r>
          </w:p>
        </w:tc>
        <w:tc>
          <w:tcPr>
            <w:tcW w:w="14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8/17/14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533,051</w:t>
            </w:r>
          </w:p>
        </w:tc>
        <w:tc>
          <w:tcPr>
            <w:tcW w:w="2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1,350,856</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M. Moe</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3.05%</w:t>
            </w:r>
          </w:p>
        </w:tc>
        <w:tc>
          <w:tcPr>
            <w:tcW w:w="14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8/17/14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399,789</w:t>
            </w:r>
          </w:p>
        </w:tc>
        <w:tc>
          <w:tcPr>
            <w:tcW w:w="2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1,013,142</w:t>
            </w:r>
          </w:p>
        </w:tc>
        <w:tc>
          <w:tcPr>
            <w:tcW w:w="0" w:type="dxa"/>
            <w:vAlign w:val="bottom"/>
          </w:tcPr>
          <w:p>
            <w:pPr>
              <w:spacing w:after="0"/>
              <w:rPr>
                <w:sz w:val="1"/>
                <w:szCs w:val="1"/>
                <w:color w:val="auto"/>
              </w:rPr>
            </w:pPr>
          </w:p>
        </w:tc>
      </w:tr>
      <w:tr>
        <w:trPr>
          <w:trHeight w:val="22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Roselyn R. Bar</w:t>
            </w: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15,000</w:t>
            </w:r>
          </w:p>
        </w:tc>
        <w:tc>
          <w:tcPr>
            <w:tcW w:w="154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3.05%</w:t>
            </w:r>
          </w:p>
        </w:tc>
        <w:tc>
          <w:tcPr>
            <w:tcW w:w="142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42.38</w:t>
            </w: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8/17/14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399,789</w:t>
            </w:r>
          </w:p>
        </w:tc>
        <w:tc>
          <w:tcPr>
            <w:tcW w:w="2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1,013,142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0" w:hanging="352"/>
        <w:spacing w:after="0" w:line="251"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the Stock-Based Award Plan are granted at the discretion of the Management Development and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common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2004 options will vest and become exercisable in three approximately equal increments on August 17, 2005, 2006 and 2007 and expire 10 years from the date of grant. No individual may receive annual grants for more than 10% of the shares available under the Stock-Based Award Plan. Options awarded in 2004 expire 90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5" w:lineRule="exact"/>
        <w:rPr>
          <w:rFonts w:ascii="Times New Roman" w:cs="Times New Roman" w:eastAsia="Times New Roman" w:hAnsi="Times New Roman"/>
          <w:sz w:val="18"/>
          <w:szCs w:val="18"/>
          <w:color w:val="auto"/>
        </w:rPr>
      </w:pPr>
    </w:p>
    <w:p>
      <w:pPr>
        <w:ind w:left="360" w:right="320" w:hanging="352"/>
        <w:spacing w:after="0" w:line="261"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set forth in these columns are the result of calculations at the 5% and 10% rates set by the Securities and Exchange Commission, and therefore are not intended to forecast possible future appreciation, if any, of the price of the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Aggregated Options Exercises in Last Fiscal Year and Fiscal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Year-End Options Values</w:t>
      </w:r>
    </w:p>
    <w:p>
      <w:pPr>
        <w:spacing w:after="0" w:line="21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21"/>
          <w:szCs w:val="21"/>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gridSpan w:val="3"/>
          </w:tcPr>
          <w:p>
            <w:pPr>
              <w:jc w:val="center"/>
              <w:ind w:right="8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80" w:type="dxa"/>
            <w:vAlign w:val="bottom"/>
            <w:gridSpan w:val="3"/>
          </w:tcPr>
          <w:p>
            <w:pPr>
              <w:jc w:val="center"/>
              <w:ind w:right="12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6"/>
        </w:trPr>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Unexercised Options at</w:t>
            </w:r>
          </w:p>
        </w:tc>
        <w:tc>
          <w:tcPr>
            <w:tcW w:w="240" w:type="dxa"/>
            <w:vAlign w:val="bottom"/>
          </w:tcPr>
          <w:p>
            <w:pPr>
              <w:spacing w:after="0"/>
              <w:rPr>
                <w:sz w:val="12"/>
                <w:szCs w:val="12"/>
                <w:color w:val="auto"/>
              </w:rPr>
            </w:pPr>
          </w:p>
        </w:tc>
        <w:tc>
          <w:tcPr>
            <w:tcW w:w="33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5"/>
              </w:rPr>
              <w:t>Unexercised In-the-Money</w:t>
            </w:r>
          </w:p>
        </w:tc>
        <w:tc>
          <w:tcPr>
            <w:tcW w:w="0" w:type="dxa"/>
            <w:vAlign w:val="bottom"/>
          </w:tcPr>
          <w:p>
            <w:pPr>
              <w:spacing w:after="0"/>
              <w:rPr>
                <w:sz w:val="1"/>
                <w:szCs w:val="1"/>
                <w:color w:val="auto"/>
              </w:rPr>
            </w:pPr>
          </w:p>
        </w:tc>
      </w:tr>
      <w:tr>
        <w:trPr>
          <w:trHeight w:val="219"/>
        </w:trPr>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gridSpan w:val="3"/>
          </w:tcPr>
          <w:p>
            <w:pPr>
              <w:jc w:val="center"/>
              <w:ind w:right="892"/>
              <w:spacing w:after="0" w:line="219" w:lineRule="exact"/>
              <w:rPr>
                <w:sz w:val="20"/>
                <w:szCs w:val="20"/>
                <w:color w:val="auto"/>
              </w:rPr>
            </w:pPr>
            <w:r>
              <w:rPr>
                <w:rFonts w:ascii="Times New Roman" w:cs="Times New Roman" w:eastAsia="Times New Roman" w:hAnsi="Times New Roman"/>
                <w:sz w:val="14"/>
                <w:szCs w:val="14"/>
                <w:b w:val="1"/>
                <w:bCs w:val="1"/>
                <w:color w:val="auto"/>
                <w:w w:val="92"/>
              </w:rPr>
              <w:t>Fiscal Year-End</w:t>
            </w:r>
            <w:r>
              <w:rPr>
                <w:rFonts w:ascii="Times New Roman" w:cs="Times New Roman" w:eastAsia="Times New Roman" w:hAnsi="Times New Roman"/>
                <w:sz w:val="22"/>
                <w:szCs w:val="22"/>
                <w:b w:val="1"/>
                <w:bCs w:val="1"/>
                <w:color w:val="auto"/>
                <w:w w:val="92"/>
                <w:vertAlign w:val="superscript"/>
              </w:rPr>
              <w:t>(1)</w:t>
            </w:r>
          </w:p>
        </w:tc>
        <w:tc>
          <w:tcPr>
            <w:tcW w:w="240" w:type="dxa"/>
            <w:vAlign w:val="bottom"/>
          </w:tcPr>
          <w:p>
            <w:pPr>
              <w:spacing w:after="0"/>
              <w:rPr>
                <w:sz w:val="19"/>
                <w:szCs w:val="19"/>
                <w:color w:val="auto"/>
              </w:rPr>
            </w:pPr>
          </w:p>
        </w:tc>
        <w:tc>
          <w:tcPr>
            <w:tcW w:w="3360" w:type="dxa"/>
            <w:vAlign w:val="bottom"/>
            <w:gridSpan w:val="4"/>
          </w:tcPr>
          <w:p>
            <w:pPr>
              <w:jc w:val="center"/>
              <w:spacing w:after="0" w:line="219" w:lineRule="exact"/>
              <w:rPr>
                <w:sz w:val="20"/>
                <w:szCs w:val="20"/>
                <w:color w:val="auto"/>
              </w:rPr>
            </w:pPr>
            <w:r>
              <w:rPr>
                <w:rFonts w:ascii="Times New Roman" w:cs="Times New Roman" w:eastAsia="Times New Roman" w:hAnsi="Times New Roman"/>
                <w:sz w:val="14"/>
                <w:szCs w:val="14"/>
                <w:b w:val="1"/>
                <w:bCs w:val="1"/>
                <w:color w:val="auto"/>
                <w:w w:val="92"/>
              </w:rPr>
              <w:t>Options at Fiscal Year-End</w:t>
            </w:r>
            <w:r>
              <w:rPr>
                <w:rFonts w:ascii="Times New Roman" w:cs="Times New Roman" w:eastAsia="Times New Roman" w:hAnsi="Times New Roman"/>
                <w:sz w:val="22"/>
                <w:szCs w:val="22"/>
                <w:b w:val="1"/>
                <w:bCs w:val="1"/>
                <w:color w:val="auto"/>
                <w:w w:val="92"/>
                <w:vertAlign w:val="superscript"/>
              </w:rPr>
              <w:t>(2)</w:t>
            </w: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w:t>
            </w:r>
          </w:p>
        </w:tc>
        <w:tc>
          <w:tcPr>
            <w:tcW w:w="220" w:type="dxa"/>
            <w:vAlign w:val="bottom"/>
            <w:vMerge w:val="restart"/>
          </w:tcPr>
          <w:p>
            <w:pPr>
              <w:spacing w:after="0"/>
              <w:rPr>
                <w:sz w:val="7"/>
                <w:szCs w:val="7"/>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on Exercise</w:t>
            </w:r>
          </w:p>
        </w:tc>
        <w:tc>
          <w:tcPr>
            <w:tcW w:w="2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6"/>
                <w:szCs w:val="16"/>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Stephen P. Zelnak, Jr.</w:t>
            </w:r>
          </w:p>
        </w:tc>
        <w:tc>
          <w:tcPr>
            <w:tcW w:w="240" w:type="dxa"/>
            <w:vAlign w:val="bottom"/>
          </w:tcPr>
          <w:p>
            <w:pPr>
              <w:spacing w:after="0"/>
              <w:rPr>
                <w:sz w:val="24"/>
                <w:szCs w:val="24"/>
                <w:color w:val="auto"/>
              </w:rPr>
            </w:pP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518,999</w:t>
            </w: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250,001</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$5,678,949</w:t>
            </w:r>
          </w:p>
        </w:tc>
        <w:tc>
          <w:tcPr>
            <w:tcW w:w="20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$3,401,266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Philip J. Sipling</w:t>
            </w:r>
          </w:p>
        </w:tc>
        <w:tc>
          <w:tcPr>
            <w:tcW w:w="240" w:type="dxa"/>
            <w:vAlign w:val="bottom"/>
          </w:tcPr>
          <w:p>
            <w:pPr>
              <w:spacing w:after="0"/>
              <w:rPr>
                <w:sz w:val="18"/>
                <w:szCs w:val="18"/>
                <w:color w:val="auto"/>
              </w:rPr>
            </w:pP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60,000</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2,461,325</w:t>
            </w:r>
          </w:p>
        </w:tc>
        <w:tc>
          <w:tcPr>
            <w:tcW w:w="20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816,300</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Janice K. Henry</w:t>
            </w:r>
          </w:p>
        </w:tc>
        <w:tc>
          <w:tcPr>
            <w:tcW w:w="13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7,000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$175,910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125,499</w:t>
            </w: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40,001</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1,760,164</w:t>
            </w:r>
          </w:p>
        </w:tc>
        <w:tc>
          <w:tcPr>
            <w:tcW w:w="20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544,216</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Donald M. Moe</w:t>
            </w:r>
          </w:p>
        </w:tc>
        <w:tc>
          <w:tcPr>
            <w:tcW w:w="13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6,000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141,360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30,000</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1,299,697</w:t>
            </w:r>
          </w:p>
        </w:tc>
        <w:tc>
          <w:tcPr>
            <w:tcW w:w="20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408,150</w:t>
            </w:r>
          </w:p>
        </w:tc>
        <w:tc>
          <w:tcPr>
            <w:tcW w:w="0" w:type="dxa"/>
            <w:vAlign w:val="bottom"/>
          </w:tcPr>
          <w:p>
            <w:pPr>
              <w:spacing w:after="0"/>
              <w:rPr>
                <w:sz w:val="1"/>
                <w:szCs w:val="1"/>
                <w:color w:val="auto"/>
              </w:rPr>
            </w:pPr>
          </w:p>
        </w:tc>
      </w:tr>
      <w:tr>
        <w:trPr>
          <w:trHeight w:val="22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Roselyn R. Bar</w:t>
            </w:r>
          </w:p>
        </w:tc>
        <w:tc>
          <w:tcPr>
            <w:tcW w:w="240" w:type="dxa"/>
            <w:vAlign w:val="bottom"/>
          </w:tcPr>
          <w:p>
            <w:pPr>
              <w:spacing w:after="0"/>
              <w:rPr>
                <w:sz w:val="19"/>
                <w:szCs w:val="19"/>
                <w:color w:val="auto"/>
              </w:rPr>
            </w:pPr>
          </w:p>
        </w:tc>
        <w:tc>
          <w:tcPr>
            <w:tcW w:w="112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206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28,334</w:t>
            </w:r>
          </w:p>
        </w:tc>
        <w:tc>
          <w:tcPr>
            <w:tcW w:w="15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456,742</w:t>
            </w:r>
          </w:p>
        </w:tc>
        <w:tc>
          <w:tcPr>
            <w:tcW w:w="2080" w:type="dxa"/>
            <w:vAlign w:val="bottom"/>
            <w:gridSpan w:val="3"/>
          </w:tcPr>
          <w:p>
            <w:pPr>
              <w:jc w:val="right"/>
              <w:ind w:right="392"/>
              <w:spacing w:after="0"/>
              <w:rPr>
                <w:sz w:val="20"/>
                <w:szCs w:val="20"/>
                <w:color w:val="auto"/>
              </w:rPr>
            </w:pPr>
            <w:r>
              <w:rPr>
                <w:rFonts w:ascii="Times New Roman" w:cs="Times New Roman" w:eastAsia="Times New Roman" w:hAnsi="Times New Roman"/>
                <w:sz w:val="18"/>
                <w:szCs w:val="18"/>
                <w:color w:val="auto"/>
              </w:rPr>
              <w:t>379,645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0" w:hanging="352"/>
        <w:spacing w:after="0" w:line="255"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by the Corporation in 2004 as shown in “Option Grants in Last Fiscal Year” above, all of which were unexercisable at year-end, are included in this table. Options granted by the Corporation in 2003, one-third of which vested in 2004; in 2002, two-thirds of which were vested in 2004; and in 2001 and in prior years, all of which were vested in 2004, are also included in this table.</w:t>
      </w:r>
    </w:p>
    <w:p>
      <w:pPr>
        <w:ind w:left="360" w:right="180" w:hanging="352"/>
        <w:spacing w:after="0" w:line="261"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presented represents the difference between the closing price of the stock at year-end and the exercise price of the options. Options that were not in-the-money at year-end are not included in this 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Securities Authorized for Issuance Under Equity Compensation Plans</w:t>
      </w:r>
    </w:p>
    <w:p>
      <w:pPr>
        <w:spacing w:after="0" w:line="212" w:lineRule="exact"/>
        <w:rPr>
          <w:sz w:val="20"/>
          <w:szCs w:val="20"/>
          <w:color w:val="auto"/>
        </w:rPr>
      </w:pPr>
    </w:p>
    <w:p>
      <w:pPr>
        <w:ind w:right="20" w:firstLine="486"/>
        <w:spacing w:after="0" w:line="234" w:lineRule="auto"/>
        <w:rPr>
          <w:sz w:val="20"/>
          <w:szCs w:val="20"/>
          <w:color w:val="auto"/>
        </w:rPr>
      </w:pPr>
      <w:r>
        <w:rPr>
          <w:rFonts w:ascii="Times New Roman" w:cs="Times New Roman" w:eastAsia="Times New Roman" w:hAnsi="Times New Roman"/>
          <w:sz w:val="22"/>
          <w:szCs w:val="22"/>
          <w:color w:val="auto"/>
        </w:rPr>
        <w:t>Shown below is a summary of information as of December 31, 2004 with respect to compensation plans (including individual compensation arrangements) under which equity securities of the Corporation are authorized for issuance. The Corporation’s equity compensation plans consist of the Amended and Restated Martin Marietta Materials, Inc. Common Stock Purchase Plan for Directors (the “Directors’ Plan”), the Martin Marietta Materials, Inc. Amended and Restated Stock-Based Award Plan (the “Stock-Based Award Plan”), the Martin Marietta Materials, Inc. Amended Omnibus Securities Award Plan (the “Omnibus Securities Award Plan”), and the Martin Marietta Materials, Inc. Shareholder Value Achievement Plan (the “Achievement Plan”). All of these equity compensation plans have been approved by the Corporation’s shareholders. The Corporation has no individual compensation arrangements under which equity securities of the Corporation are authorized for issuance to employees or non-employees in exchange for goods or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260" w:type="dxa"/>
            <w:vAlign w:val="bottom"/>
          </w:tcPr>
          <w:p>
            <w:pPr>
              <w:spacing w:after="0"/>
              <w:rPr>
                <w:sz w:val="12"/>
                <w:szCs w:val="12"/>
                <w:color w:val="auto"/>
              </w:rPr>
            </w:pPr>
          </w:p>
        </w:tc>
        <w:tc>
          <w:tcPr>
            <w:tcW w:w="2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 Exercise</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 Issuance (Excluding</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Options,</w:t>
            </w:r>
          </w:p>
        </w:tc>
        <w:tc>
          <w:tcPr>
            <w:tcW w:w="260" w:type="dxa"/>
            <w:vAlign w:val="bottom"/>
          </w:tcPr>
          <w:p>
            <w:pPr>
              <w:spacing w:after="0"/>
              <w:rPr>
                <w:sz w:val="12"/>
                <w:szCs w:val="12"/>
                <w:color w:val="auto"/>
              </w:rPr>
            </w:pPr>
          </w:p>
        </w:tc>
        <w:tc>
          <w:tcPr>
            <w:tcW w:w="2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of Outstanding Options,</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Reflected in</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5"/>
                <w:szCs w:val="15"/>
                <w:color w:val="auto"/>
              </w:rPr>
            </w:pPr>
          </w:p>
        </w:tc>
        <w:tc>
          <w:tcPr>
            <w:tcW w:w="2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60" w:type="dxa"/>
            <w:vAlign w:val="bottom"/>
          </w:tcPr>
          <w:p>
            <w:pPr>
              <w:spacing w:after="0"/>
              <w:rPr>
                <w:sz w:val="15"/>
                <w:szCs w:val="15"/>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6"/>
              </w:rPr>
              <w:t>Column (a))</w:t>
            </w:r>
          </w:p>
        </w:tc>
        <w:tc>
          <w:tcPr>
            <w:tcW w:w="0" w:type="dxa"/>
            <w:vAlign w:val="bottom"/>
          </w:tcPr>
          <w:p>
            <w:pPr>
              <w:spacing w:after="0"/>
              <w:rPr>
                <w:sz w:val="1"/>
                <w:szCs w:val="1"/>
                <w:color w:val="auto"/>
              </w:rPr>
            </w:pPr>
          </w:p>
        </w:tc>
      </w:tr>
      <w:tr>
        <w:trPr>
          <w:trHeight w:val="95"/>
        </w:trPr>
        <w:tc>
          <w:tcPr>
            <w:tcW w:w="2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2"/>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2"/>
          </w:tcPr>
          <w:p>
            <w:pPr>
              <w:jc w:val="center"/>
              <w:ind w:right="1000"/>
              <w:spacing w:after="0"/>
              <w:rPr>
                <w:sz w:val="20"/>
                <w:szCs w:val="20"/>
                <w:color w:val="auto"/>
              </w:rPr>
            </w:pPr>
            <w:r>
              <w:rPr>
                <w:rFonts w:ascii="Times New Roman" w:cs="Times New Roman" w:eastAsia="Times New Roman" w:hAnsi="Times New Roman"/>
                <w:sz w:val="27"/>
                <w:szCs w:val="27"/>
                <w:b w:val="1"/>
                <w:bCs w:val="1"/>
                <w:color w:val="auto"/>
                <w:w w:val="87"/>
                <w:vertAlign w:val="subscript"/>
              </w:rPr>
              <w:t>(c)</w:t>
            </w:r>
            <w:r>
              <w:rPr>
                <w:rFonts w:ascii="Times New Roman" w:cs="Times New Roman" w:eastAsia="Times New Roman" w:hAnsi="Times New Roman"/>
                <w:sz w:val="11"/>
                <w:szCs w:val="11"/>
                <w:b w:val="1"/>
                <w:bCs w:val="1"/>
                <w:color w:val="auto"/>
                <w:w w:val="87"/>
              </w:rPr>
              <w:t>(1)(2)</w:t>
            </w:r>
          </w:p>
        </w:tc>
        <w:tc>
          <w:tcPr>
            <w:tcW w:w="0" w:type="dxa"/>
            <w:vAlign w:val="bottom"/>
          </w:tcPr>
          <w:p>
            <w:pPr>
              <w:spacing w:after="0"/>
              <w:rPr>
                <w:sz w:val="1"/>
                <w:szCs w:val="1"/>
                <w:color w:val="auto"/>
              </w:rPr>
            </w:pPr>
          </w:p>
        </w:tc>
      </w:tr>
      <w:tr>
        <w:trPr>
          <w:trHeight w:val="126"/>
        </w:trPr>
        <w:tc>
          <w:tcPr>
            <w:tcW w:w="23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3,496,649</w:t>
            </w:r>
          </w:p>
        </w:tc>
        <w:tc>
          <w:tcPr>
            <w:tcW w:w="10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140" w:type="dxa"/>
            <w:vAlign w:val="bottom"/>
          </w:tcPr>
          <w:p>
            <w:pPr>
              <w:spacing w:after="0"/>
              <w:rPr>
                <w:sz w:val="18"/>
                <w:szCs w:val="18"/>
                <w:color w:val="auto"/>
              </w:rPr>
            </w:pPr>
          </w:p>
        </w:tc>
        <w:tc>
          <w:tcPr>
            <w:tcW w:w="1980" w:type="dxa"/>
            <w:vAlign w:val="bottom"/>
            <w:gridSpan w:val="3"/>
          </w:tcPr>
          <w:p>
            <w:pPr>
              <w:jc w:val="center"/>
              <w:ind w:left="1192"/>
              <w:spacing w:after="0"/>
              <w:rPr>
                <w:sz w:val="20"/>
                <w:szCs w:val="20"/>
                <w:color w:val="auto"/>
              </w:rPr>
            </w:pPr>
            <w:r>
              <w:rPr>
                <w:rFonts w:ascii="Times New Roman" w:cs="Times New Roman" w:eastAsia="Times New Roman" w:hAnsi="Times New Roman"/>
                <w:sz w:val="18"/>
                <w:szCs w:val="18"/>
                <w:color w:val="auto"/>
                <w:w w:val="97"/>
              </w:rPr>
              <w:t>2,776,556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7"/>
              </w:rPr>
              <w:t>None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10"/>
        </w:trPr>
        <w:tc>
          <w:tcPr>
            <w:tcW w:w="238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3,496,649</w:t>
            </w:r>
          </w:p>
        </w:tc>
        <w:tc>
          <w:tcPr>
            <w:tcW w:w="10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140" w:type="dxa"/>
            <w:vAlign w:val="bottom"/>
          </w:tcPr>
          <w:p>
            <w:pPr>
              <w:spacing w:after="0"/>
              <w:rPr>
                <w:sz w:val="24"/>
                <w:szCs w:val="24"/>
                <w:color w:val="auto"/>
              </w:rPr>
            </w:pPr>
          </w:p>
        </w:tc>
        <w:tc>
          <w:tcPr>
            <w:tcW w:w="1980" w:type="dxa"/>
            <w:vAlign w:val="bottom"/>
            <w:gridSpan w:val="3"/>
          </w:tcPr>
          <w:p>
            <w:pPr>
              <w:jc w:val="center"/>
              <w:ind w:left="1192"/>
              <w:spacing w:after="0"/>
              <w:rPr>
                <w:sz w:val="20"/>
                <w:szCs w:val="20"/>
                <w:color w:val="auto"/>
              </w:rPr>
            </w:pPr>
            <w:r>
              <w:rPr>
                <w:rFonts w:ascii="Times New Roman" w:cs="Times New Roman" w:eastAsia="Times New Roman" w:hAnsi="Times New Roman"/>
                <w:sz w:val="18"/>
                <w:szCs w:val="18"/>
                <w:color w:val="auto"/>
                <w:w w:val="97"/>
              </w:rPr>
              <w:t>2,776,556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60" w:right="360" w:hanging="352"/>
        <w:spacing w:after="0" w:line="255"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the Corporation’s common stock available for issuance (other than upon the exercise of an option, warrant, or right) under the Corporation’s equity compensation plans as of December 31, 2004 in the following amounts: Directors’ Plan (225,938 shares), Stock-Based Award Plan (1,842,673 shares), and Achievement Plan (207,945 shares).</w:t>
      </w:r>
    </w:p>
    <w:p>
      <w:pPr>
        <w:ind w:left="360" w:right="100" w:hanging="352"/>
        <w:spacing w:after="0" w:line="253"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Stock Plan was adopted pursuant to the Omnibus Securities Award Plan and applies to grants after 1998 pursuant to the Stock-Based Award Plan. Accordingly, while the shares issuable under the Incentive Stock Plan will be determined based on a formula dependent upon the amount of incentive compensation deferred thereunder and the discounted market value of the Corporation’s common stock, the total number of shares available for issuance under the Incentive Stock Plan will be limited by the fixed number of shares available for issuance under the Omnibus Securities Award Plan and the Stock-Based Award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i w:val="1"/>
          <w:iCs w:val="1"/>
          <w:color w:val="auto"/>
        </w:rPr>
        <w:t>Pension Plan</w:t>
      </w:r>
    </w:p>
    <w:p>
      <w:pPr>
        <w:spacing w:after="0" w:line="212" w:lineRule="exact"/>
        <w:rPr>
          <w:sz w:val="20"/>
          <w:szCs w:val="20"/>
          <w:color w:val="auto"/>
        </w:rPr>
      </w:pPr>
    </w:p>
    <w:p>
      <w:pPr>
        <w:ind w:right="100" w:firstLine="482"/>
        <w:spacing w:after="0" w:line="238" w:lineRule="auto"/>
        <w:rPr>
          <w:sz w:val="20"/>
          <w:szCs w:val="20"/>
          <w:color w:val="auto"/>
        </w:rPr>
      </w:pPr>
      <w:r>
        <w:rPr>
          <w:rFonts w:ascii="Times New Roman" w:cs="Times New Roman" w:eastAsia="Times New Roman" w:hAnsi="Times New Roman"/>
          <w:sz w:val="22"/>
          <w:szCs w:val="22"/>
          <w:color w:val="auto"/>
        </w:rPr>
        <w:t>The named executives participate in the Martin Marietta Materials, Inc. Pension Plan (the “Pension Plan”), which is sponsored by the Corporation and covers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w:t>
      </w:r>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Years of Service</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95"/>
        </w:trPr>
        <w:tc>
          <w:tcPr>
            <w:tcW w:w="3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263"/>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15</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w:t>
            </w:r>
          </w:p>
        </w:tc>
        <w:tc>
          <w:tcPr>
            <w:tcW w:w="116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25</w:t>
            </w:r>
          </w:p>
        </w:tc>
        <w:tc>
          <w:tcPr>
            <w:tcW w:w="180" w:type="dxa"/>
            <w:vAlign w:val="bottom"/>
          </w:tcPr>
          <w:p>
            <w:pPr>
              <w:spacing w:after="0"/>
              <w:rPr>
                <w:sz w:val="22"/>
                <w:szCs w:val="22"/>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30</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95"/>
        </w:trPr>
        <w:tc>
          <w:tcPr>
            <w:tcW w:w="3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30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20,289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33,816</w:t>
            </w:r>
          </w:p>
        </w:tc>
        <w:tc>
          <w:tcPr>
            <w:tcW w:w="180" w:type="dxa"/>
            <w:vAlign w:val="bottom"/>
          </w:tcPr>
          <w:p>
            <w:pPr>
              <w:spacing w:after="0"/>
              <w:rPr>
                <w:sz w:val="24"/>
                <w:szCs w:val="24"/>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40,579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54,842</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tcPr>
          <w:p>
            <w:pPr>
              <w:spacing w:after="0"/>
              <w:rPr>
                <w:sz w:val="18"/>
                <w:szCs w:val="18"/>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31,539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52,566</w:t>
            </w:r>
          </w:p>
        </w:tc>
        <w:tc>
          <w:tcPr>
            <w:tcW w:w="1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63,079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84,842</w:t>
            </w:r>
          </w:p>
        </w:tc>
      </w:tr>
      <w:tr>
        <w:trPr>
          <w:trHeight w:val="2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42,789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71,316</w:t>
            </w:r>
          </w:p>
        </w:tc>
        <w:tc>
          <w:tcPr>
            <w:tcW w:w="18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85,579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65,289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108,816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130,579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$400,000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87,789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146,316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175,579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110,289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183,816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220,579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$750,000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166,539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277,566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333,079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222,789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371,316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445,579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$1,250,000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279,039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465,066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558,079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744,842</w:t>
            </w:r>
          </w:p>
        </w:tc>
      </w:tr>
      <w:tr>
        <w:trPr>
          <w:trHeight w:val="257"/>
        </w:trPr>
        <w:tc>
          <w:tcPr>
            <w:tcW w:w="31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335,289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558,816</w:t>
            </w:r>
          </w:p>
        </w:tc>
        <w:tc>
          <w:tcPr>
            <w:tcW w:w="180" w:type="dxa"/>
            <w:vAlign w:val="bottom"/>
          </w:tcPr>
          <w:p>
            <w:pPr>
              <w:spacing w:after="0"/>
              <w:rPr>
                <w:sz w:val="22"/>
                <w:szCs w:val="22"/>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670,579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894,842</w:t>
            </w:r>
          </w:p>
        </w:tc>
      </w:tr>
      <w:tr>
        <w:trPr>
          <w:trHeight w:val="38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$1,750,000</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4"/>
                <w:szCs w:val="24"/>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391,539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522,053</w:t>
            </w:r>
          </w:p>
        </w:tc>
        <w:tc>
          <w:tcPr>
            <w:tcW w:w="11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652,566</w:t>
            </w:r>
          </w:p>
        </w:tc>
        <w:tc>
          <w:tcPr>
            <w:tcW w:w="180" w:type="dxa"/>
            <w:vAlign w:val="bottom"/>
          </w:tcPr>
          <w:p>
            <w:pPr>
              <w:spacing w:after="0"/>
              <w:rPr>
                <w:sz w:val="24"/>
                <w:szCs w:val="24"/>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783,079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1,044,842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3208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93" w:lineRule="exact"/>
        <w:rPr>
          <w:sz w:val="20"/>
          <w:szCs w:val="20"/>
          <w:color w:val="auto"/>
        </w:rPr>
      </w:pPr>
    </w:p>
    <w:p>
      <w:pPr>
        <w:jc w:val="both"/>
        <w:ind w:left="360" w:right="480" w:hanging="352"/>
        <w:spacing w:after="0" w:line="262"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payable under the Pension Plan may be limited by sections 401(a)(17) and 415(b) of the Internal Revenue Code. The maximum earnings amount in 2004 which may be considered to compute a benefit in accordance with Section 401(a)(17) of the Code is $205,000. The maximum annual amount payable under the Plan as of December 31, 2004 in accordance with Section 415(b) of the Code is $165,000.</w:t>
      </w:r>
    </w:p>
    <w:p>
      <w:pPr>
        <w:spacing w:after="0" w:line="173" w:lineRule="exact"/>
        <w:rPr>
          <w:sz w:val="20"/>
          <w:szCs w:val="20"/>
          <w:color w:val="auto"/>
        </w:rPr>
      </w:pPr>
    </w:p>
    <w:p>
      <w:pPr>
        <w:ind w:firstLine="378"/>
        <w:spacing w:after="0" w:line="234" w:lineRule="auto"/>
        <w:rPr>
          <w:sz w:val="20"/>
          <w:szCs w:val="20"/>
          <w:color w:val="auto"/>
        </w:rPr>
      </w:pPr>
      <w:r>
        <w:rPr>
          <w:rFonts w:ascii="Times New Roman" w:cs="Times New Roman" w:eastAsia="Times New Roman" w:hAnsi="Times New Roman"/>
          <w:sz w:val="22"/>
          <w:szCs w:val="22"/>
          <w:color w:val="auto"/>
        </w:rPr>
        <w:t>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 Plan. The amounts listed in the foregoing table are not subject to any deduction for Social Security benefits or other offset amounts.</w:t>
      </w:r>
    </w:p>
    <w:p>
      <w:pPr>
        <w:spacing w:after="0" w:line="180" w:lineRule="exact"/>
        <w:rPr>
          <w:sz w:val="20"/>
          <w:szCs w:val="20"/>
          <w:color w:val="auto"/>
        </w:rPr>
      </w:pPr>
    </w:p>
    <w:p>
      <w:pPr>
        <w:ind w:right="120" w:firstLine="474"/>
        <w:spacing w:after="0" w:line="242" w:lineRule="auto"/>
        <w:rPr>
          <w:sz w:val="20"/>
          <w:szCs w:val="20"/>
          <w:color w:val="auto"/>
        </w:rPr>
      </w:pPr>
      <w:r>
        <w:rPr>
          <w:rFonts w:ascii="Times New Roman" w:cs="Times New Roman" w:eastAsia="Times New Roman" w:hAnsi="Times New Roman"/>
          <w:sz w:val="22"/>
          <w:szCs w:val="22"/>
          <w:color w:val="auto"/>
        </w:rPr>
        <w:t>As of December 31, 2004, the estimated total annual benefits payable upon retirement at age 65 for the individuals named in the compensation table, based on continued employment at current compensation, are as follows: Mr. Zelnak, $692,909;</w:t>
      </w:r>
    </w:p>
    <w:p>
      <w:pPr>
        <w:ind w:right="100"/>
        <w:spacing w:after="0" w:line="245" w:lineRule="auto"/>
        <w:rPr>
          <w:sz w:val="20"/>
          <w:szCs w:val="20"/>
          <w:color w:val="auto"/>
        </w:rPr>
      </w:pPr>
      <w:r>
        <w:rPr>
          <w:rFonts w:ascii="Times New Roman" w:cs="Times New Roman" w:eastAsia="Times New Roman" w:hAnsi="Times New Roman"/>
          <w:sz w:val="21"/>
          <w:szCs w:val="21"/>
          <w:color w:val="auto"/>
        </w:rPr>
        <w:t>Mr. Sipling, $255,785; Ms. Henry, $308,951; Mr. Moe, $243,093; and Ms. Bar, $165,461. These amounts include benefits that are payable under the SERP. The years of credited service upon assumed retirement at age 65 for Mr. Zelnak, Mr. Sipling, Ms. Henry, Mr. Moe, and Ms. Bar are 28.75 years, 27.67 years, 41.67 years, 36.92 years, and 28.75 years, respectively. The compensation covered by the Pension Plan and the SERP for the individuals named in the Summary Compensation Table is substantially similar to the annual compensation reported in the Summary Compensation Table and does not deviate by more than 10%.</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16"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i w:val="1"/>
          <w:iCs w:val="1"/>
          <w:color w:val="auto"/>
        </w:rPr>
        <w:t>Employment Protection Agreements</w:t>
      </w:r>
    </w:p>
    <w:p>
      <w:pPr>
        <w:spacing w:after="0" w:line="212" w:lineRule="exact"/>
        <w:rPr>
          <w:sz w:val="20"/>
          <w:szCs w:val="20"/>
          <w:color w:val="auto"/>
        </w:rPr>
      </w:pPr>
    </w:p>
    <w:p>
      <w:pPr>
        <w:ind w:right="60" w:firstLine="482"/>
        <w:spacing w:after="0" w:line="234" w:lineRule="auto"/>
        <w:rPr>
          <w:sz w:val="20"/>
          <w:szCs w:val="20"/>
          <w:color w:val="auto"/>
        </w:rPr>
      </w:pPr>
      <w:r>
        <w:rPr>
          <w:rFonts w:ascii="Times New Roman" w:cs="Times New Roman" w:eastAsia="Times New Roman" w:hAnsi="Times New Roman"/>
          <w:sz w:val="22"/>
          <w:szCs w:val="22"/>
          <w:color w:val="auto"/>
        </w:rPr>
        <w:t>The Corporation has entered into Employment Protection Agreements, as amended from time to time (the “Agreements”), with each of the executive officers listed in the summary compensation table.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184" w:lineRule="exact"/>
        <w:rPr>
          <w:sz w:val="20"/>
          <w:szCs w:val="20"/>
          <w:color w:val="auto"/>
        </w:rPr>
      </w:pPr>
    </w:p>
    <w:p>
      <w:pPr>
        <w:ind w:firstLine="482"/>
        <w:spacing w:after="0" w:line="233" w:lineRule="auto"/>
        <w:rPr>
          <w:sz w:val="20"/>
          <w:szCs w:val="20"/>
          <w:color w:val="auto"/>
        </w:rPr>
      </w:pPr>
      <w:r>
        <w:rPr>
          <w:rFonts w:ascii="Times New Roman" w:cs="Times New Roman" w:eastAsia="Times New Roman" w:hAnsi="Times New Roman"/>
          <w:sz w:val="22"/>
          <w:szCs w:val="22"/>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181" w:lineRule="exact"/>
        <w:rPr>
          <w:sz w:val="20"/>
          <w:szCs w:val="20"/>
          <w:color w:val="auto"/>
        </w:rPr>
      </w:pPr>
    </w:p>
    <w:p>
      <w:pPr>
        <w:ind w:right="20" w:firstLine="482"/>
        <w:spacing w:after="0" w:line="238" w:lineRule="auto"/>
        <w:rPr>
          <w:sz w:val="20"/>
          <w:szCs w:val="20"/>
          <w:color w:val="auto"/>
        </w:rPr>
      </w:pPr>
      <w:r>
        <w:rPr>
          <w:rFonts w:ascii="Times New Roman" w:cs="Times New Roman" w:eastAsia="Times New Roman" w:hAnsi="Times New Roman"/>
          <w:sz w:val="22"/>
          <w:szCs w:val="22"/>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PARTICIPATION IN COMPENSATION DECISIONS</w:t>
      </w:r>
    </w:p>
    <w:p>
      <w:pPr>
        <w:spacing w:after="0" w:line="210" w:lineRule="exact"/>
        <w:rPr>
          <w:sz w:val="20"/>
          <w:szCs w:val="20"/>
          <w:color w:val="auto"/>
        </w:rPr>
      </w:pPr>
    </w:p>
    <w:p>
      <w:pPr>
        <w:ind w:right="120" w:firstLine="482"/>
        <w:spacing w:after="0" w:line="238" w:lineRule="auto"/>
        <w:rPr>
          <w:sz w:val="20"/>
          <w:szCs w:val="20"/>
          <w:color w:val="auto"/>
        </w:rPr>
      </w:pPr>
      <w:r>
        <w:rPr>
          <w:rFonts w:ascii="Times New Roman" w:cs="Times New Roman" w:eastAsia="Times New Roman" w:hAnsi="Times New Roman"/>
          <w:sz w:val="22"/>
          <w:szCs w:val="22"/>
          <w:color w:val="auto"/>
        </w:rPr>
        <w:t>The members of the Corporation’s Management Development and Compensation Committee are Directors McDonald, Cole, and Reed, none of whom has ever been an officer or employee of the Corporation or any of its subsidiaries. Richard G. Adamson and Bobby F. Leonard were members of the Committee prior to their retirement from the Board of Directors following the 2004 annual meeting, neither of whom was ever an officer or employee of the Corporation or any of its subsidiaries. Ms. Cole was appointed a member of the Committee following the 2004 annual meeting. There are no executive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6" w:right="25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22"/>
          <w:szCs w:val="22"/>
          <w:color w:val="auto"/>
        </w:rPr>
        <w:t>officer-Director interlocks where an executive of the Corporation serves on the compensation committee of another corporation that has an executive officer serving on the Corporation’s Board of Directors.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210" w:lineRule="exact"/>
        <w:rPr>
          <w:sz w:val="20"/>
          <w:szCs w:val="20"/>
          <w:color w:val="auto"/>
        </w:rPr>
      </w:pPr>
    </w:p>
    <w:p>
      <w:pPr>
        <w:ind w:right="60" w:firstLine="486"/>
        <w:spacing w:after="0" w:line="239" w:lineRule="auto"/>
        <w:rPr>
          <w:sz w:val="20"/>
          <w:szCs w:val="20"/>
          <w:color w:val="auto"/>
        </w:rPr>
      </w:pPr>
      <w:r>
        <w:rPr>
          <w:rFonts w:ascii="Times New Roman" w:cs="Times New Roman" w:eastAsia="Times New Roman" w:hAnsi="Times New Roman"/>
          <w:sz w:val="22"/>
          <w:szCs w:val="22"/>
          <w:color w:val="auto"/>
        </w:rPr>
        <w:t xml:space="preserve">Upon the written request of any shareholder, the Corporation will provide without charge a copy of its Annual Report on Form 10-K for the year ended December 31, 2004, filed with the Securities and Exchange Commission. Requests should be mailed to the Corporate Secretary, Martin Marietta Materials, Inc., 2710 Wycliff Road, Raleigh, North Carolina 27607. A copy of such Annual Report is also posted and available for public viewing on the Corporation’s website at </w:t>
      </w:r>
      <w:r>
        <w:rPr>
          <w:rFonts w:ascii="Times New Roman" w:cs="Times New Roman" w:eastAsia="Times New Roman" w:hAnsi="Times New Roman"/>
          <w:sz w:val="22"/>
          <w:szCs w:val="22"/>
          <w:i w:val="1"/>
          <w:iCs w:val="1"/>
          <w:color w:val="auto"/>
        </w:rPr>
        <w:t>www.martinmarietta.com.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METHOD OF PROXY SOLICITATION</w:t>
      </w:r>
    </w:p>
    <w:p>
      <w:pPr>
        <w:spacing w:after="0" w:line="210" w:lineRule="exact"/>
        <w:rPr>
          <w:sz w:val="20"/>
          <w:szCs w:val="20"/>
          <w:color w:val="auto"/>
        </w:rPr>
      </w:pPr>
    </w:p>
    <w:p>
      <w:pPr>
        <w:ind w:right="180" w:firstLine="482"/>
        <w:spacing w:after="0" w:line="235" w:lineRule="auto"/>
        <w:rPr>
          <w:sz w:val="20"/>
          <w:szCs w:val="20"/>
          <w:color w:val="auto"/>
        </w:rPr>
      </w:pPr>
      <w:r>
        <w:rPr>
          <w:rFonts w:ascii="Times New Roman" w:cs="Times New Roman" w:eastAsia="Times New Roman" w:hAnsi="Times New Roman"/>
          <w:sz w:val="22"/>
          <w:szCs w:val="22"/>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0" w:lineRule="exact"/>
        <w:rPr>
          <w:sz w:val="20"/>
          <w:szCs w:val="20"/>
          <w:color w:val="auto"/>
        </w:rPr>
      </w:pPr>
    </w:p>
    <w:p>
      <w:pPr>
        <w:ind w:firstLine="474"/>
        <w:spacing w:after="0" w:line="238" w:lineRule="auto"/>
        <w:rPr>
          <w:sz w:val="20"/>
          <w:szCs w:val="20"/>
          <w:color w:val="auto"/>
        </w:rPr>
      </w:pPr>
      <w:r>
        <w:rPr>
          <w:rFonts w:ascii="Times New Roman" w:cs="Times New Roman" w:eastAsia="Times New Roman" w:hAnsi="Times New Roman"/>
          <w:sz w:val="22"/>
          <w:szCs w:val="22"/>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jc w:val="both"/>
        <w:ind w:right="180" w:firstLine="482"/>
        <w:spacing w:after="0" w:line="255" w:lineRule="auto"/>
        <w:rPr>
          <w:sz w:val="20"/>
          <w:szCs w:val="20"/>
          <w:color w:val="auto"/>
        </w:rPr>
      </w:pPr>
      <w:r>
        <w:rPr>
          <w:rFonts w:ascii="Times New Roman" w:cs="Times New Roman" w:eastAsia="Times New Roman" w:hAnsi="Times New Roman"/>
          <w:sz w:val="21"/>
          <w:szCs w:val="21"/>
          <w:color w:val="auto"/>
        </w:rPr>
        <w:t>The Report of the Audit Committee on page 16, the Report of the Management Development and Compensation Committee beginning on page 18, and the Performance Graph on page 23 do not constitute soliciting material and should not be deemed filed or incorporated by reference into any other filing by the Corporation under the Securities Act of 1933 or the Securities Exchange Act of 1934, except to the extent that the Corporation specifically incorporates such information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SHAREHOLDERS’ PROPOSALS FOR 2006 ANNUAL MEETING</w:t>
      </w:r>
    </w:p>
    <w:p>
      <w:pPr>
        <w:spacing w:after="0" w:line="21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21"/>
          <w:szCs w:val="21"/>
          <w:color w:val="auto"/>
        </w:rPr>
        <w:t>Proposals by shareholders for nominations for Directors or other matters intended to be presented at the 2006 Annual Meeting of Shareholders of the Corporation must be received by the Secretary of the Corporation no later than November 21, 2005 in order to be included in the proxy statement and on the Proxy Card that will be solicited by the Board of Directors in connection with that meeting. The inclusion of any proposal will be subject to applicable rules of the Securities and Exchange Commission. 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6" w:name="page37"/>
    <w:bookmarkEnd w:id="36"/>
    <w:p>
      <w:pPr>
        <w:spacing w:after="0" w:line="245" w:lineRule="auto"/>
        <w:rPr>
          <w:sz w:val="20"/>
          <w:szCs w:val="20"/>
          <w:color w:val="auto"/>
        </w:rPr>
      </w:pPr>
      <w:r>
        <w:rPr>
          <w:rFonts w:ascii="Times New Roman" w:cs="Times New Roman" w:eastAsia="Times New Roman" w:hAnsi="Times New Roman"/>
          <w:sz w:val="21"/>
          <w:szCs w:val="21"/>
          <w:color w:val="auto"/>
        </w:rPr>
        <w:t>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2006 Annual Meeting of Shareholders, proposals must be received by the Secretary of the Corporation no earlier than December 31, 2005 and no later than January 30, 2006.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MARTIN MARIETTA MATERIALS,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21, 2005</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MARTIN MARIETTA MATERIALS,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GUIDELINES FOR DIRECTOR’S INDEPENDENCE</w:t>
      </w:r>
    </w:p>
    <w:p>
      <w:pPr>
        <w:spacing w:after="0" w:line="210"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21"/>
          <w:szCs w:val="21"/>
          <w:color w:val="auto"/>
        </w:rPr>
        <w:t>For a director to be considered independent, the Board of Directors must affirmatively determine that such director has no material relationship with Martin Marietta Materials, either directly or indirectly. This determination must comply with the rules of the New York Stock Exchange. The Board will broadly consider all relevant facts and circumstances in making its determination.</w:t>
      </w:r>
    </w:p>
    <w:p>
      <w:pPr>
        <w:spacing w:after="0" w:line="155" w:lineRule="exact"/>
        <w:rPr>
          <w:sz w:val="20"/>
          <w:szCs w:val="20"/>
          <w:color w:val="auto"/>
        </w:rPr>
      </w:pPr>
    </w:p>
    <w:p>
      <w:pPr>
        <w:ind w:right="200" w:firstLine="474"/>
        <w:spacing w:after="0" w:line="258" w:lineRule="auto"/>
        <w:rPr>
          <w:sz w:val="20"/>
          <w:szCs w:val="20"/>
          <w:color w:val="auto"/>
        </w:rPr>
      </w:pPr>
      <w:r>
        <w:rPr>
          <w:rFonts w:ascii="Times New Roman" w:cs="Times New Roman" w:eastAsia="Times New Roman" w:hAnsi="Times New Roman"/>
          <w:sz w:val="22"/>
          <w:szCs w:val="22"/>
          <w:color w:val="auto"/>
        </w:rPr>
        <w:t>A director cannot be considered independent until three years after the end of any of the following relationships with Martin Marietta Materials:</w:t>
      </w:r>
    </w:p>
    <w:p>
      <w:pPr>
        <w:spacing w:after="0" w:line="158" w:lineRule="exact"/>
        <w:rPr>
          <w:sz w:val="20"/>
          <w:szCs w:val="20"/>
          <w:color w:val="auto"/>
        </w:rPr>
      </w:pPr>
    </w:p>
    <w:p>
      <w:pPr>
        <w:ind w:left="700" w:right="280" w:hanging="138"/>
        <w:spacing w:after="0" w:line="244"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director who is employed by Martin Marietta Materials or has an immediate family member employed as an executive officer (which, for the purpose of these </w:t>
      </w:r>
      <w:r>
        <w:rPr>
          <w:rFonts w:ascii="Times New Roman" w:cs="Times New Roman" w:eastAsia="Times New Roman" w:hAnsi="Times New Roman"/>
          <w:sz w:val="22"/>
          <w:szCs w:val="22"/>
          <w:i w:val="1"/>
          <w:iCs w:val="1"/>
          <w:color w:val="auto"/>
        </w:rPr>
        <w:t>Guidelines for Director’s Independence,</w:t>
      </w:r>
      <w:r>
        <w:rPr>
          <w:rFonts w:ascii="Times New Roman" w:cs="Times New Roman" w:eastAsia="Times New Roman" w:hAnsi="Times New Roman"/>
          <w:sz w:val="22"/>
          <w:szCs w:val="22"/>
          <w:color w:val="auto"/>
        </w:rPr>
        <w:t xml:space="preserve"> has the meaning ascribed to it in Section 16(a) of the Securities Exchange Act of 1934) of Martin Marietta Materials.</w:t>
      </w:r>
    </w:p>
    <w:p>
      <w:pPr>
        <w:spacing w:after="0" w:line="200" w:lineRule="exact"/>
        <w:rPr>
          <w:rFonts w:ascii="Times New Roman" w:cs="Times New Roman" w:eastAsia="Times New Roman" w:hAnsi="Times New Roman"/>
          <w:sz w:val="22"/>
          <w:szCs w:val="22"/>
          <w:color w:val="auto"/>
        </w:rPr>
      </w:pPr>
    </w:p>
    <w:p>
      <w:pPr>
        <w:ind w:left="700" w:right="40" w:hanging="138"/>
        <w:spacing w:after="0" w:line="238"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receives, or has an immediate family member who receives, more than $100,000 during any 12-month period within the last three years in direct compensation from Martin Marietta Materials, other than director and committee fees, pension or other forms of deferred compensation for prior service (provided that such compensation is not in any way contingent on continued service) and other than compensation received by an immediate family member as a non-executive employee of Martin Marietta Materials.</w:t>
      </w:r>
    </w:p>
    <w:p>
      <w:pPr>
        <w:spacing w:after="0" w:line="204" w:lineRule="exact"/>
        <w:rPr>
          <w:rFonts w:ascii="Times New Roman" w:cs="Times New Roman" w:eastAsia="Times New Roman" w:hAnsi="Times New Roman"/>
          <w:sz w:val="22"/>
          <w:szCs w:val="22"/>
          <w:color w:val="auto"/>
        </w:rPr>
      </w:pPr>
    </w:p>
    <w:p>
      <w:pPr>
        <w:ind w:left="700" w:right="20" w:hanging="138"/>
        <w:spacing w:after="0" w:line="238"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is a current partner or employee of a firm that is the internal or external auditor of Martin Marietta Materials, or who has an immediate family member who is a current partner of such auditor or who is employed by such auditor and who works in such auditor’s audit, assurance or tax compliance (but not tax planning) practice; or if the director or family member has within the last three years (but is no longer) a partner or employee of such auditor, and he or she personally worked during that time on the audit of Martin Marietta Materials.</w:t>
      </w:r>
    </w:p>
    <w:p>
      <w:pPr>
        <w:spacing w:after="0" w:line="204" w:lineRule="exact"/>
        <w:rPr>
          <w:rFonts w:ascii="Times New Roman" w:cs="Times New Roman" w:eastAsia="Times New Roman" w:hAnsi="Times New Roman"/>
          <w:sz w:val="22"/>
          <w:szCs w:val="22"/>
          <w:color w:val="auto"/>
        </w:rPr>
      </w:pPr>
    </w:p>
    <w:p>
      <w:pPr>
        <w:ind w:left="700" w:right="160" w:hanging="138"/>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director who is employed, or has an immediate family member who is employed, as an executive officer of another company where any of Martin Marietta Materials’s present executives serves on that company’s compensation committee.</w:t>
      </w:r>
    </w:p>
    <w:p>
      <w:pPr>
        <w:spacing w:after="0" w:line="161" w:lineRule="exact"/>
        <w:rPr>
          <w:rFonts w:ascii="Times New Roman" w:cs="Times New Roman" w:eastAsia="Times New Roman" w:hAnsi="Times New Roman"/>
          <w:sz w:val="21"/>
          <w:szCs w:val="21"/>
          <w:color w:val="auto"/>
        </w:rPr>
      </w:pPr>
    </w:p>
    <w:p>
      <w:pPr>
        <w:ind w:left="700" w:right="260" w:hanging="138"/>
        <w:spacing w:after="0" w:line="239"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is currently employed, or has a family member currently employed as an executive officer, by a for-profit company that makes payments to, or receives payments from, Martin Marietta Materials for property or services in an amount that exceeds, in any of the last three fiscal years, the greater of $1 million or 2% of the other company’s consolidated gross revenues.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 addition, Audit Committee members must meet the independence requirements set out in the Audit Committee Charter.</w:t>
      </w:r>
    </w:p>
    <w:p>
      <w:pPr>
        <w:spacing w:after="0" w:line="206" w:lineRule="exact"/>
        <w:rPr>
          <w:sz w:val="20"/>
          <w:szCs w:val="20"/>
          <w:color w:val="auto"/>
        </w:rPr>
      </w:pPr>
    </w:p>
    <w:p>
      <w:pPr>
        <w:ind w:firstLine="482"/>
        <w:spacing w:after="0" w:line="238" w:lineRule="auto"/>
        <w:rPr>
          <w:sz w:val="20"/>
          <w:szCs w:val="20"/>
          <w:color w:val="auto"/>
        </w:rPr>
      </w:pPr>
      <w:r>
        <w:rPr>
          <w:rFonts w:ascii="Times New Roman" w:cs="Times New Roman" w:eastAsia="Times New Roman" w:hAnsi="Times New Roman"/>
          <w:sz w:val="22"/>
          <w:szCs w:val="22"/>
          <w:color w:val="auto"/>
        </w:rPr>
        <w:t>There is a presumption that the existence of any of the following relationships or interests is not a material relationship that would impair a director’s independence. Notwithstanding this presumption, the Board will look at the totality of this relationship and other material relationships when determining independence. If a Board member has a relationship that exceeds the standards described below, or has another significant relationship with the Corporation or its management that is not described below, or there are special circumstances relating to the standard below, then the independent members of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Board will determine whether that member’s relationship would affect the Board member’s independence.</w:t>
      </w:r>
    </w:p>
    <w:p>
      <w:pPr>
        <w:spacing w:after="0" w:line="206" w:lineRule="exact"/>
        <w:rPr>
          <w:sz w:val="20"/>
          <w:szCs w:val="20"/>
          <w:color w:val="auto"/>
        </w:rPr>
      </w:pPr>
    </w:p>
    <w:p>
      <w:pPr>
        <w:ind w:left="1620" w:right="320" w:hanging="356"/>
        <w:spacing w:after="0" w:line="244" w:lineRule="auto"/>
        <w:tabs>
          <w:tab w:leader="none" w:pos="1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whose affiliation is with an outside law firm, consultant or other advisor doing business with the Corporation where the business for the prior fiscal year accounts for less than the greater of $1 million of the outside firm’s revenues or 2% percent of the outside firm’s gross revenues.</w:t>
      </w:r>
    </w:p>
    <w:p>
      <w:pPr>
        <w:spacing w:after="0" w:line="200" w:lineRule="exact"/>
        <w:rPr>
          <w:rFonts w:ascii="Times New Roman" w:cs="Times New Roman" w:eastAsia="Times New Roman" w:hAnsi="Times New Roman"/>
          <w:sz w:val="22"/>
          <w:szCs w:val="22"/>
          <w:color w:val="auto"/>
        </w:rPr>
      </w:pPr>
    </w:p>
    <w:p>
      <w:pPr>
        <w:ind w:left="1620" w:hanging="356"/>
        <w:spacing w:after="0" w:line="236" w:lineRule="auto"/>
        <w:tabs>
          <w:tab w:leader="none" w:pos="1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who serves on the Board of Trustees or is employed by or derives income from a charitable organization or other tax-exempt organization to which the Corporation has made in the prior fiscal year a contribution of $100,000 or less. The Corporation will disclose in its annual proxy statement any contributions made by the Corporation to any tax-exempt organization in which a director serves as an executive officer if, within the preceding three years, contributions in any single fiscal year exceeded the greater of $1 million or 2% of such tax-exempt organization’s consolidated gross revenues.</w:t>
      </w:r>
    </w:p>
    <w:p>
      <w:pPr>
        <w:spacing w:after="0" w:line="209" w:lineRule="exact"/>
        <w:rPr>
          <w:rFonts w:ascii="Times New Roman" w:cs="Times New Roman" w:eastAsia="Times New Roman" w:hAnsi="Times New Roman"/>
          <w:sz w:val="22"/>
          <w:szCs w:val="22"/>
          <w:color w:val="auto"/>
        </w:rPr>
      </w:pPr>
    </w:p>
    <w:p>
      <w:pPr>
        <w:ind w:left="1620" w:hanging="356"/>
        <w:spacing w:after="0" w:line="244" w:lineRule="auto"/>
        <w:tabs>
          <w:tab w:leader="none" w:pos="1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relationship arising solely from a director’s position as a director or advisory director (or similar position) of another for-profit or not-for-profit corporation or organization that engages in a transaction with Martin Marietta Materials or receives contributions from Martin Marietta Materials.</w:t>
      </w:r>
    </w:p>
    <w:p>
      <w:pPr>
        <w:spacing w:after="0" w:line="200" w:lineRule="exact"/>
        <w:rPr>
          <w:rFonts w:ascii="Times New Roman" w:cs="Times New Roman" w:eastAsia="Times New Roman" w:hAnsi="Times New Roman"/>
          <w:sz w:val="22"/>
          <w:szCs w:val="22"/>
          <w:color w:val="auto"/>
        </w:rPr>
      </w:pPr>
    </w:p>
    <w:p>
      <w:pPr>
        <w:ind w:left="1620" w:right="60" w:hanging="356"/>
        <w:spacing w:after="0" w:line="258" w:lineRule="auto"/>
        <w:tabs>
          <w:tab w:leader="none" w:pos="1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securities of Martin Marietta Materials where the director does not receive any special benefit not shared by securities holders on a pro rata basis.</w:t>
      </w:r>
    </w:p>
    <w:p>
      <w:pPr>
        <w:spacing w:after="0" w:line="185" w:lineRule="exact"/>
        <w:rPr>
          <w:rFonts w:ascii="Times New Roman" w:cs="Times New Roman" w:eastAsia="Times New Roman" w:hAnsi="Times New Roman"/>
          <w:sz w:val="22"/>
          <w:szCs w:val="22"/>
          <w:color w:val="auto"/>
        </w:rPr>
      </w:pPr>
    </w:p>
    <w:p>
      <w:pPr>
        <w:ind w:left="1620" w:right="200" w:hanging="356"/>
        <w:spacing w:after="0" w:line="258" w:lineRule="auto"/>
        <w:tabs>
          <w:tab w:leader="none" w:pos="1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less than 10% equity interest in another corporation that has a relationship with or is a party to a transaction with Martin Marietta Materials that is at arm’s length terms.</w:t>
      </w:r>
    </w:p>
    <w:p>
      <w:pPr>
        <w:spacing w:after="0" w:line="158" w:lineRule="exact"/>
        <w:rPr>
          <w:sz w:val="20"/>
          <w:szCs w:val="20"/>
          <w:color w:val="auto"/>
        </w:rPr>
      </w:pPr>
    </w:p>
    <w:p>
      <w:pPr>
        <w:ind w:right="20" w:firstLine="474"/>
        <w:spacing w:after="0" w:line="258" w:lineRule="auto"/>
        <w:rPr>
          <w:sz w:val="20"/>
          <w:szCs w:val="20"/>
          <w:color w:val="auto"/>
        </w:rPr>
      </w:pPr>
      <w:r>
        <w:rPr>
          <w:rFonts w:ascii="Times New Roman" w:cs="Times New Roman" w:eastAsia="Times New Roman" w:hAnsi="Times New Roman"/>
          <w:sz w:val="22"/>
          <w:szCs w:val="22"/>
          <w:color w:val="auto"/>
        </w:rPr>
        <w:t>Any determination of independence for a director that does not meet the standards enumerated above will be disclosed by the Board of Directors in the Corporation’s annual proxy statement.</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2" w:right="31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MARTIN MARIETTA MATERIALS,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AUDIT COMMITTEE CHARTER</w:t>
      </w:r>
    </w:p>
    <w:p>
      <w:pPr>
        <w:spacing w:after="0" w:line="210" w:lineRule="exact"/>
        <w:rPr>
          <w:sz w:val="20"/>
          <w:szCs w:val="20"/>
          <w:color w:val="auto"/>
        </w:rPr>
      </w:pPr>
    </w:p>
    <w:p>
      <w:pPr>
        <w:ind w:right="100" w:firstLine="482"/>
        <w:spacing w:after="0" w:line="244" w:lineRule="auto"/>
        <w:rPr>
          <w:sz w:val="20"/>
          <w:szCs w:val="20"/>
          <w:color w:val="auto"/>
        </w:rPr>
      </w:pPr>
      <w:r>
        <w:rPr>
          <w:rFonts w:ascii="Times New Roman" w:cs="Times New Roman" w:eastAsia="Times New Roman" w:hAnsi="Times New Roman"/>
          <w:sz w:val="22"/>
          <w:szCs w:val="22"/>
          <w:color w:val="auto"/>
        </w:rPr>
        <w:t>The Audit Committee will, except when such powers are by statute or the Articles of Incorporation or the Bylaws reserved to the full Board or delegated to another committee of the Board, possess and may exercise the powers of the Board relating to accounting, auditing and financial reporting matters of the 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ind w:right="180" w:firstLine="482"/>
        <w:spacing w:after="0" w:line="244" w:lineRule="auto"/>
        <w:rPr>
          <w:sz w:val="20"/>
          <w:szCs w:val="20"/>
          <w:color w:val="auto"/>
        </w:rPr>
      </w:pPr>
      <w:r>
        <w:rPr>
          <w:rFonts w:ascii="Times New Roman" w:cs="Times New Roman" w:eastAsia="Times New Roman" w:hAnsi="Times New Roman"/>
          <w:sz w:val="22"/>
          <w:szCs w:val="22"/>
          <w:color w:val="auto"/>
        </w:rPr>
        <w:t>The purpose of the Committee is to assist the Board in overseeing the integrity of the Corporation’s financial statements, the Corporation’s compliance with legal and regulatory requirements, the qualifications and independence of the Corporation’s independent auditors, and the performance of the Corporation’s internal audit function and independent auditors.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Composition</w:t>
      </w:r>
    </w:p>
    <w:p>
      <w:pPr>
        <w:spacing w:after="0" w:line="210" w:lineRule="exact"/>
        <w:rPr>
          <w:sz w:val="20"/>
          <w:szCs w:val="20"/>
          <w:color w:val="auto"/>
        </w:rPr>
      </w:pPr>
    </w:p>
    <w:p>
      <w:pPr>
        <w:ind w:firstLine="482"/>
        <w:spacing w:after="0" w:line="233" w:lineRule="auto"/>
        <w:rPr>
          <w:sz w:val="20"/>
          <w:szCs w:val="20"/>
          <w:color w:val="auto"/>
        </w:rPr>
      </w:pPr>
      <w:r>
        <w:rPr>
          <w:rFonts w:ascii="Times New Roman" w:cs="Times New Roman" w:eastAsia="Times New Roman" w:hAnsi="Times New Roman"/>
          <w:sz w:val="22"/>
          <w:szCs w:val="22"/>
          <w:color w:val="auto"/>
        </w:rPr>
        <w:t>The Committee will be comprised of three or more Directors, including a chairperson, who are not officers or employees of the Corporation. The members of the Committee will meet all the requirements of the New York Stock Exchange (“NYSE”), the Securities and Exchange Commission (“SEC”) and other applicable rules and regulations, including the independence and experience requirements. Each Committee member will be financially literate or will become financially literate within a reasonable period of time after appointment to the Committee, and at least one member of the Committee will have accounting or related financial management expertise. A member of the Committee who satisfies the definition of “audit committee financial expert” may be presumed to be financially literate. No member of the Committee may serve on the audit committees of more than three public companies (including the Corporation) unless the Board of Directors determines that the service will not impair the ability of such member to effectively serve on the Committee and such determination is disclosed in the Corporation’s annual proxy statement or Annual Report on Form 10-K. The foregoing qualifications will be determined by the Board in its business judgment. The members of the Committee and the Chairperson of the Committee will be elected by the Board to serve at the pleasure of the Board of Directors and until their successors are duly elected and qualified.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Independence Requirements</w:t>
      </w:r>
    </w:p>
    <w:p>
      <w:pPr>
        <w:spacing w:after="0" w:line="210" w:lineRule="exact"/>
        <w:rPr>
          <w:sz w:val="20"/>
          <w:szCs w:val="20"/>
          <w:color w:val="auto"/>
        </w:rPr>
      </w:pPr>
    </w:p>
    <w:p>
      <w:pPr>
        <w:ind w:right="80" w:firstLine="486"/>
        <w:spacing w:after="0" w:line="235" w:lineRule="auto"/>
        <w:rPr>
          <w:sz w:val="20"/>
          <w:szCs w:val="20"/>
          <w:color w:val="auto"/>
        </w:rPr>
      </w:pPr>
      <w:r>
        <w:rPr>
          <w:rFonts w:ascii="Times New Roman" w:cs="Times New Roman" w:eastAsia="Times New Roman" w:hAnsi="Times New Roman"/>
          <w:sz w:val="22"/>
          <w:szCs w:val="22"/>
          <w:color w:val="auto"/>
        </w:rPr>
        <w:t>In addition to satisfying the Guidelines for Independence adopted by the Board of Directors, as amended from time to time, the members of the Committee will not receive, directly or indirectly, any consulting, advisory or other compensation from the Corporation or any of its subsidiaries, other than directors’ fees and fixed compensation under a retirement plan for prior service with the Corporation, as long as the compensation is not contingent on continued service. A member of the Committee may not be an “affiliated person” of the Corporation or any of its subsidiaries, apart from serving as a director on the Board of Directors, who directly or indirectly through intermediaries, controls, or is controlled by, or is under common control with, the Corporation. A person who is not an executive officer and who does not beneficially own, directly or indirectly, more than 10% of the voting stock of the Corporation is not deemed to “control” the Corporation.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Meetings</w:t>
      </w:r>
    </w:p>
    <w:p>
      <w:pPr>
        <w:spacing w:after="0" w:line="210" w:lineRule="exact"/>
        <w:rPr>
          <w:sz w:val="20"/>
          <w:szCs w:val="20"/>
          <w:color w:val="auto"/>
        </w:rPr>
      </w:pPr>
    </w:p>
    <w:p>
      <w:pPr>
        <w:ind w:right="20" w:firstLine="482"/>
        <w:spacing w:after="0" w:line="262" w:lineRule="auto"/>
        <w:rPr>
          <w:sz w:val="20"/>
          <w:szCs w:val="20"/>
          <w:color w:val="auto"/>
        </w:rPr>
      </w:pPr>
      <w:r>
        <w:rPr>
          <w:rFonts w:ascii="Times New Roman" w:cs="Times New Roman" w:eastAsia="Times New Roman" w:hAnsi="Times New Roman"/>
          <w:sz w:val="21"/>
          <w:szCs w:val="21"/>
          <w:color w:val="auto"/>
        </w:rPr>
        <w:t>The Committee will hold at least five meetings annually and will meet in separate executive sessions with the Corporation’s management, independent auditors, and internal audit department representatives to review and resolve matters of concern presented to the Committee. The Committee may meet as many additional times as the Committee deems necessary or appropriate.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Responsibilities</w:t>
      </w:r>
    </w:p>
    <w:p>
      <w:pPr>
        <w:spacing w:after="0" w:line="210" w:lineRule="exact"/>
        <w:rPr>
          <w:sz w:val="20"/>
          <w:szCs w:val="20"/>
          <w:color w:val="auto"/>
        </w:rPr>
      </w:pPr>
    </w:p>
    <w:p>
      <w:pPr>
        <w:ind w:right="40" w:firstLine="482"/>
        <w:spacing w:after="0" w:line="236" w:lineRule="auto"/>
        <w:rPr>
          <w:sz w:val="20"/>
          <w:szCs w:val="20"/>
          <w:color w:val="auto"/>
        </w:rPr>
      </w:pPr>
      <w:r>
        <w:rPr>
          <w:rFonts w:ascii="Times New Roman" w:cs="Times New Roman" w:eastAsia="Times New Roman" w:hAnsi="Times New Roman"/>
          <w:sz w:val="22"/>
          <w:szCs w:val="22"/>
          <w:color w:val="auto"/>
        </w:rPr>
        <w:t>The Corporation’s management is responsible for maintaining an effective internal control structure and preparing the Corporation’s financial statements, and the independent auditors are responsible for auditing the financial statements. The Committee will oversee the conduct of these activities by the Corporation’s management and its internal and independent auditors. The Committee’s policies and procedures will remain flexible to permit it to react to changing conditions and pertinent requirements. In carrying out its oversight responsibilities, the Committee is not providing any expert or special assurance as to the Corporation’s financial statements or any certification as to the independent auditors’ work.</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 carrying out its oversight function, the Committee will perform the following:</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Independent Auditors:</w:t>
      </w: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i w:val="1"/>
          <w:iCs w:val="1"/>
          <w:u w:val="single" w:color="auto"/>
          <w:color w:val="auto"/>
        </w:rPr>
        <w:t>Selection</w:t>
      </w:r>
    </w:p>
    <w:p>
      <w:pPr>
        <w:spacing w:after="0" w:line="210" w:lineRule="exact"/>
        <w:rPr>
          <w:sz w:val="20"/>
          <w:szCs w:val="20"/>
          <w:color w:val="auto"/>
        </w:rPr>
      </w:pPr>
    </w:p>
    <w:p>
      <w:pPr>
        <w:ind w:right="1280" w:firstLine="486"/>
        <w:spacing w:after="0" w:line="258" w:lineRule="auto"/>
        <w:rPr>
          <w:sz w:val="20"/>
          <w:szCs w:val="20"/>
          <w:color w:val="auto"/>
        </w:rPr>
      </w:pPr>
      <w:r>
        <w:rPr>
          <w:rFonts w:ascii="Times New Roman" w:cs="Times New Roman" w:eastAsia="Times New Roman" w:hAnsi="Times New Roman"/>
          <w:sz w:val="22"/>
          <w:szCs w:val="22"/>
          <w:color w:val="auto"/>
        </w:rPr>
        <w:t>Retain and terminate, in the Committee’s sole discretion, the Corporation’s independent auditors. This includes communicating to the independent auditors that they are ultimately accountable to the Committee.</w:t>
      </w:r>
    </w:p>
    <w:p>
      <w:pPr>
        <w:spacing w:after="0" w:line="3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i w:val="1"/>
          <w:iCs w:val="1"/>
          <w:u w:val="single" w:color="auto"/>
          <w:color w:val="auto"/>
        </w:rPr>
        <w:t>Independence</w:t>
      </w:r>
    </w:p>
    <w:p>
      <w:pPr>
        <w:spacing w:after="0" w:line="210" w:lineRule="exact"/>
        <w:rPr>
          <w:sz w:val="20"/>
          <w:szCs w:val="20"/>
          <w:color w:val="auto"/>
        </w:rPr>
      </w:pPr>
    </w:p>
    <w:p>
      <w:pPr>
        <w:ind w:left="920" w:hanging="331"/>
        <w:spacing w:after="0" w:line="238" w:lineRule="auto"/>
        <w:tabs>
          <w:tab w:leader="none" w:pos="9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Inquire as to the independence of the independent auditors and receive from the independent auditors, at least annually, a formal written statement delineating all relationships between the independent auditors and the Corporation as contemplated by Independence Standards Board Standard No. 1, </w:t>
      </w:r>
      <w:r>
        <w:rPr>
          <w:rFonts w:ascii="Times New Roman" w:cs="Times New Roman" w:eastAsia="Times New Roman" w:hAnsi="Times New Roman"/>
          <w:sz w:val="22"/>
          <w:szCs w:val="22"/>
          <w:i w:val="1"/>
          <w:iCs w:val="1"/>
          <w:color w:val="auto"/>
        </w:rPr>
        <w:t>Independence Discussions with Audit Committees.</w:t>
      </w:r>
      <w:r>
        <w:rPr>
          <w:rFonts w:ascii="Times New Roman" w:cs="Times New Roman" w:eastAsia="Times New Roman" w:hAnsi="Times New Roman"/>
          <w:sz w:val="22"/>
          <w:szCs w:val="22"/>
          <w:color w:val="auto"/>
        </w:rPr>
        <w:t xml:space="preserve"> Assure regular rotation of the lead and concurring audit partners, and other significant audit partners, as required by applicable statute, rule or regulation.</w:t>
      </w:r>
    </w:p>
    <w:p>
      <w:pPr>
        <w:spacing w:after="0" w:line="204" w:lineRule="exact"/>
        <w:rPr>
          <w:rFonts w:ascii="Times New Roman" w:cs="Times New Roman" w:eastAsia="Times New Roman" w:hAnsi="Times New Roman"/>
          <w:sz w:val="22"/>
          <w:szCs w:val="22"/>
          <w:color w:val="auto"/>
        </w:rPr>
      </w:pPr>
    </w:p>
    <w:p>
      <w:pPr>
        <w:ind w:left="920" w:right="80" w:hanging="331"/>
        <w:spacing w:after="0" w:line="262" w:lineRule="auto"/>
        <w:tabs>
          <w:tab w:leader="none" w:pos="9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Actively engage in a dialogue with the independent auditors with respect to any disclosed relationships or services that may impact the objectivity and independence of the independent auditors and, if appropriate, recommend that the Board take action in response to the independent auditors’ report to satisfy itself of the independent auditors’ independence.</w:t>
      </w:r>
    </w:p>
    <w:p>
      <w:pPr>
        <w:spacing w:after="0" w:line="3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i w:val="1"/>
          <w:iCs w:val="1"/>
          <w:u w:val="single" w:color="auto"/>
          <w:color w:val="auto"/>
        </w:rPr>
        <w:t>Annual Procedures</w:t>
      </w:r>
    </w:p>
    <w:p>
      <w:pPr>
        <w:spacing w:after="0" w:line="210" w:lineRule="exact"/>
        <w:rPr>
          <w:sz w:val="20"/>
          <w:szCs w:val="20"/>
          <w:color w:val="auto"/>
        </w:rPr>
      </w:pPr>
    </w:p>
    <w:p>
      <w:pPr>
        <w:jc w:val="both"/>
        <w:ind w:left="920" w:right="640" w:hanging="331"/>
        <w:spacing w:after="0" w:line="262" w:lineRule="auto"/>
        <w:tabs>
          <w:tab w:leader="none" w:pos="9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end of the fiscal year, review and approve the scope and timing of the annual independent audit of the Corporation’s financial statements. The Committee’s review should include an explanation from the independent auditors of the factors considered by the auditors in determining the audit scope, including the major risk factors.</w:t>
      </w:r>
    </w:p>
    <w:p>
      <w:pPr>
        <w:spacing w:after="0" w:line="181" w:lineRule="exact"/>
        <w:rPr>
          <w:rFonts w:ascii="Times New Roman" w:cs="Times New Roman" w:eastAsia="Times New Roman" w:hAnsi="Times New Roman"/>
          <w:sz w:val="21"/>
          <w:szCs w:val="21"/>
          <w:color w:val="auto"/>
        </w:rPr>
      </w:pPr>
    </w:p>
    <w:p>
      <w:pPr>
        <w:ind w:left="920" w:right="160" w:hanging="331"/>
        <w:spacing w:after="0" w:line="258" w:lineRule="auto"/>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Engage the independent auditors to perform a timely quarterly review of the interim financial statements in accordance with Statement on Auditing Standards No. 71, </w:t>
      </w:r>
      <w:r>
        <w:rPr>
          <w:rFonts w:ascii="Times New Roman" w:cs="Times New Roman" w:eastAsia="Times New Roman" w:hAnsi="Times New Roman"/>
          <w:sz w:val="22"/>
          <w:szCs w:val="22"/>
          <w:i w:val="1"/>
          <w:iCs w:val="1"/>
          <w:color w:val="auto"/>
        </w:rPr>
        <w:t>Interim Financial Information.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41" w:name="page42"/>
    <w:bookmarkEnd w:id="41"/>
    <w:p>
      <w:pPr>
        <w:ind w:left="920" w:right="180" w:hanging="331"/>
        <w:spacing w:after="0" w:line="282" w:lineRule="auto"/>
        <w:tabs>
          <w:tab w:leader="none" w:pos="9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the independent auditors to perform other non-audit services as deemed appropriate, consistent with the requirements of the SEC and the NYSE. The Committee may delegate the approval of such services to its Chairperson.</w:t>
      </w:r>
    </w:p>
    <w:p>
      <w:pPr>
        <w:spacing w:after="0" w:line="161" w:lineRule="exact"/>
        <w:rPr>
          <w:rFonts w:ascii="Times New Roman" w:cs="Times New Roman" w:eastAsia="Times New Roman" w:hAnsi="Times New Roman"/>
          <w:sz w:val="21"/>
          <w:szCs w:val="21"/>
          <w:color w:val="auto"/>
        </w:rPr>
      </w:pPr>
    </w:p>
    <w:p>
      <w:pPr>
        <w:ind w:left="920" w:hanging="331"/>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management to engage the independent auditors for other work as deemed necessary.</w:t>
      </w:r>
    </w:p>
    <w:p>
      <w:pPr>
        <w:spacing w:after="0" w:line="233" w:lineRule="exact"/>
        <w:rPr>
          <w:rFonts w:ascii="Times New Roman" w:cs="Times New Roman" w:eastAsia="Times New Roman" w:hAnsi="Times New Roman"/>
          <w:sz w:val="22"/>
          <w:szCs w:val="22"/>
          <w:color w:val="auto"/>
        </w:rPr>
      </w:pPr>
    </w:p>
    <w:p>
      <w:pPr>
        <w:ind w:left="920" w:right="180" w:hanging="331"/>
        <w:spacing w:after="0" w:line="244"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policies and procedures governing the Committee’s pre-approval of all audit and permitted non-audit services to be provided by the independent auditors, and disclose pre-approval policies as required by applicable statute, rule or regulation.</w:t>
      </w:r>
    </w:p>
    <w:p>
      <w:pPr>
        <w:spacing w:after="0" w:line="200" w:lineRule="exact"/>
        <w:rPr>
          <w:rFonts w:ascii="Times New Roman" w:cs="Times New Roman" w:eastAsia="Times New Roman" w:hAnsi="Times New Roman"/>
          <w:sz w:val="22"/>
          <w:szCs w:val="22"/>
          <w:color w:val="auto"/>
        </w:rPr>
      </w:pPr>
    </w:p>
    <w:p>
      <w:pPr>
        <w:ind w:left="920" w:hanging="331"/>
        <w:spacing w:after="0" w:line="236"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annually the fee arrangement with the independent auditors and approve the fees, terms, and other compensation to be paid to the independent auditors, including the nature, extent, and fees for any services performed for the Corporation outside of the annual audit. The Committee has the sole authority to approve all engagement fees and terms, but may consult with management as to the appropriateness of the fee arrangement. Discuss with management and the independent auditors the adequacy of funding for services approved by the Committee that are provided by the independent auditors or any advisors.</w:t>
      </w:r>
    </w:p>
    <w:p>
      <w:pPr>
        <w:spacing w:after="0" w:line="209" w:lineRule="exact"/>
        <w:rPr>
          <w:rFonts w:ascii="Times New Roman" w:cs="Times New Roman" w:eastAsia="Times New Roman" w:hAnsi="Times New Roman"/>
          <w:sz w:val="22"/>
          <w:szCs w:val="22"/>
          <w:color w:val="auto"/>
        </w:rPr>
      </w:pPr>
    </w:p>
    <w:p>
      <w:pPr>
        <w:ind w:left="920" w:right="100" w:hanging="331"/>
        <w:spacing w:after="0" w:line="258"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annually the independent auditors’ registration form or annual update filed with the accounting oversight board. Significant matters noted should be discussed with the independent auditors.</w:t>
      </w:r>
    </w:p>
    <w:p>
      <w:pPr>
        <w:spacing w:after="0" w:line="185" w:lineRule="exact"/>
        <w:rPr>
          <w:rFonts w:ascii="Times New Roman" w:cs="Times New Roman" w:eastAsia="Times New Roman" w:hAnsi="Times New Roman"/>
          <w:sz w:val="22"/>
          <w:szCs w:val="22"/>
          <w:color w:val="auto"/>
        </w:rPr>
      </w:pPr>
    </w:p>
    <w:p>
      <w:pPr>
        <w:ind w:left="920" w:hanging="331"/>
        <w:spacing w:after="0" w:line="235" w:lineRule="auto"/>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annually a report by the independent auditor describing: the firm’s internal quality control procedures; any material issues raised by the most recent internal quality-control review or peer review; and any material issues raised by any inquiry or investigation by governmental or professional authorities, within the preceding five years, respecting one or more independent audits carried out by the firm, and any steps taken to deal with any such issues. Assure the regular rotation of the lead audit partner, as required by law. Based on the foregoing report, the independent auditor’s work throughout the year and the opinions of management, the Committee will report to the Board its conclusions with respect to the independent auditors’ qualifications, performance and independence.</w:t>
      </w:r>
    </w:p>
    <w:p>
      <w:pPr>
        <w:spacing w:after="0" w:line="210"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with the independent auditors the quality of the Corporation’s financial, accounting, and auditing personnel.</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Internal Auditors:</w:t>
      </w:r>
    </w:p>
    <w:p>
      <w:pPr>
        <w:spacing w:after="0" w:line="210" w:lineRule="exact"/>
        <w:rPr>
          <w:sz w:val="20"/>
          <w:szCs w:val="20"/>
          <w:color w:val="auto"/>
        </w:rPr>
      </w:pPr>
    </w:p>
    <w:p>
      <w:pPr>
        <w:ind w:left="920" w:right="80" w:hanging="331"/>
        <w:spacing w:after="0" w:line="258" w:lineRule="auto"/>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qualifications and work of the Corporation’s internal auditing staff, including the adequacy of its budget and staffing.</w:t>
      </w:r>
    </w:p>
    <w:p>
      <w:pPr>
        <w:spacing w:after="0" w:line="185" w:lineRule="exact"/>
        <w:rPr>
          <w:rFonts w:ascii="Times New Roman" w:cs="Times New Roman" w:eastAsia="Times New Roman" w:hAnsi="Times New Roman"/>
          <w:sz w:val="22"/>
          <w:szCs w:val="22"/>
          <w:color w:val="auto"/>
        </w:rPr>
      </w:pPr>
    </w:p>
    <w:p>
      <w:pPr>
        <w:ind w:left="920" w:right="100" w:hanging="331"/>
        <w:spacing w:after="0" w:line="244" w:lineRule="auto"/>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annually and discuss with management and the independent auditors the plan and scope of internal audit’s work plan for the year, and any changes to such plan and/or scope, including coordination of the audit with the independent auditors.</w:t>
      </w:r>
    </w:p>
    <w:p>
      <w:pPr>
        <w:spacing w:after="0" w:line="200" w:lineRule="exact"/>
        <w:rPr>
          <w:rFonts w:ascii="Times New Roman" w:cs="Times New Roman" w:eastAsia="Times New Roman" w:hAnsi="Times New Roman"/>
          <w:sz w:val="22"/>
          <w:szCs w:val="22"/>
          <w:color w:val="auto"/>
        </w:rPr>
      </w:pPr>
    </w:p>
    <w:p>
      <w:pPr>
        <w:ind w:left="920" w:hanging="331"/>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Communicate to the internal auditors that they are ultimately accountable to the Committee.</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Financial Reporting Process:</w:t>
      </w:r>
    </w:p>
    <w:p>
      <w:pPr>
        <w:spacing w:after="0" w:line="206"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Audited Financial Statements.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the completion of the annual audit, review with management, the internal auditors,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 auditors the following:</w:t>
      </w:r>
    </w:p>
    <w:p>
      <w:pPr>
        <w:spacing w:after="0" w:line="154" w:lineRule="exact"/>
        <w:rPr>
          <w:sz w:val="20"/>
          <w:szCs w:val="20"/>
          <w:color w:val="auto"/>
        </w:rPr>
      </w:pPr>
    </w:p>
    <w:p>
      <w:pPr>
        <w:ind w:left="920" w:right="560" w:hanging="331"/>
        <w:spacing w:after="0" w:line="258" w:lineRule="auto"/>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financial statements and related footnotes and financial information to be included in the Corporation’s annual report to shareholders and on Form 10-K prior to its filing,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42" w:name="page43"/>
    <w:bookmarkEnd w:id="42"/>
    <w:p>
      <w:pPr>
        <w:ind w:left="920" w:right="580"/>
        <w:spacing w:after="0" w:line="258" w:lineRule="auto"/>
        <w:rPr>
          <w:sz w:val="20"/>
          <w:szCs w:val="20"/>
          <w:color w:val="auto"/>
        </w:rPr>
      </w:pPr>
      <w:r>
        <w:rPr>
          <w:rFonts w:ascii="Times New Roman" w:cs="Times New Roman" w:eastAsia="Times New Roman" w:hAnsi="Times New Roman"/>
          <w:sz w:val="22"/>
          <w:szCs w:val="22"/>
          <w:color w:val="auto"/>
        </w:rPr>
        <w:t>including the Corporation’s disclosures under “Management’s Discussion and Analysis of Financial Condition and Results of Operations.”</w:t>
      </w:r>
    </w:p>
    <w:p>
      <w:pPr>
        <w:spacing w:after="0" w:line="185" w:lineRule="exact"/>
        <w:rPr>
          <w:sz w:val="20"/>
          <w:szCs w:val="20"/>
          <w:color w:val="auto"/>
        </w:rPr>
      </w:pPr>
    </w:p>
    <w:p>
      <w:pPr>
        <w:ind w:left="920" w:right="560" w:hanging="331"/>
        <w:spacing w:after="0" w:line="258"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of the audit of the financial statements and the related report thereon and, if applicable, a report on changes during the year in accounting principles and their application.</w:t>
      </w:r>
    </w:p>
    <w:p>
      <w:pPr>
        <w:spacing w:after="0" w:line="185" w:lineRule="exact"/>
        <w:rPr>
          <w:rFonts w:ascii="Times New Roman" w:cs="Times New Roman" w:eastAsia="Times New Roman" w:hAnsi="Times New Roman"/>
          <w:sz w:val="22"/>
          <w:szCs w:val="22"/>
          <w:color w:val="auto"/>
        </w:rPr>
      </w:pPr>
    </w:p>
    <w:p>
      <w:pPr>
        <w:ind w:left="920" w:hanging="331"/>
        <w:spacing w:after="0" w:line="234"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to the external audit plan and significant variations in the actual scope of the independent audit, if any, and any serious disputes or difficulties with management encountered during the audit. Inquire about the cooperation received by the independent auditors during their audit, including access to all requested records, data, and information. Resolve disagreements between management and the independent auditors regarding the Corporation’s financial reporting. Inquire of the independent auditors whether there have been any disagreements with management, which if not satisfactorily resolved would have caused them to issue a nonstandard report on the Corporation’s financial statements and whether any limitations have been placed by management on the scope or nature of their audit procedures, and whether any accounting adjustments were noted or proposed by the independent auditors but were not made. Inquire about the quality and consistency of the accounting principles selected. Inquire of the independent auditors as to any consultations with its regional/national technical personnel.</w:t>
      </w:r>
    </w:p>
    <w:p>
      <w:pPr>
        <w:spacing w:after="0" w:line="207" w:lineRule="exact"/>
        <w:rPr>
          <w:rFonts w:ascii="Times New Roman" w:cs="Times New Roman" w:eastAsia="Times New Roman" w:hAnsi="Times New Roman"/>
          <w:sz w:val="22"/>
          <w:szCs w:val="22"/>
          <w:color w:val="auto"/>
        </w:rPr>
      </w:pPr>
    </w:p>
    <w:p>
      <w:pPr>
        <w:ind w:left="920" w:right="100" w:hanging="331"/>
        <w:spacing w:after="0" w:line="258"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communications as required to be communicated by the independent auditors by Statement of Auditing Standards (SAS) 61 as amended by SAS 90 relating to the conduct of the audit.</w:t>
      </w:r>
    </w:p>
    <w:p>
      <w:pPr>
        <w:spacing w:after="0" w:line="185" w:lineRule="exact"/>
        <w:rPr>
          <w:rFonts w:ascii="Times New Roman" w:cs="Times New Roman" w:eastAsia="Times New Roman" w:hAnsi="Times New Roman"/>
          <w:sz w:val="22"/>
          <w:szCs w:val="22"/>
          <w:color w:val="auto"/>
        </w:rPr>
      </w:pPr>
    </w:p>
    <w:p>
      <w:pPr>
        <w:jc w:val="both"/>
        <w:ind w:left="920" w:right="1100" w:hanging="331"/>
        <w:spacing w:after="0" w:line="282" w:lineRule="auto"/>
        <w:tabs>
          <w:tab w:leader="none" w:pos="9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Discuss any relevant significant recommendations that the independent auditors may have, particularly those characterized as “material,” review management’s responses, and receive follow-up reports on actions taken.</w:t>
      </w:r>
    </w:p>
    <w:p>
      <w:pPr>
        <w:spacing w:after="0" w:line="161" w:lineRule="exact"/>
        <w:rPr>
          <w:rFonts w:ascii="Times New Roman" w:cs="Times New Roman" w:eastAsia="Times New Roman" w:hAnsi="Times New Roman"/>
          <w:sz w:val="21"/>
          <w:szCs w:val="21"/>
          <w:color w:val="auto"/>
        </w:rPr>
      </w:pPr>
    </w:p>
    <w:p>
      <w:pPr>
        <w:ind w:left="920" w:right="740" w:hanging="331"/>
        <w:spacing w:after="0" w:line="258"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deemed appropriate after such review and discussion, recommend to the Board that the financial statements be included in the Corporation’s annual report on Form 10-K.</w:t>
      </w:r>
    </w:p>
    <w:p>
      <w:pPr>
        <w:spacing w:after="0" w:line="185" w:lineRule="exact"/>
        <w:rPr>
          <w:rFonts w:ascii="Times New Roman" w:cs="Times New Roman" w:eastAsia="Times New Roman" w:hAnsi="Times New Roman"/>
          <w:sz w:val="22"/>
          <w:szCs w:val="22"/>
          <w:color w:val="auto"/>
        </w:rPr>
      </w:pPr>
    </w:p>
    <w:p>
      <w:pPr>
        <w:ind w:left="920" w:right="340" w:hanging="331"/>
        <w:spacing w:after="0" w:line="258"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at least annually, receive a written report from the Corporation’s counsel regarding any legal, regulatory, and environmental matters that may have a material impact on the financial statements.</w:t>
      </w:r>
    </w:p>
    <w:p>
      <w:pPr>
        <w:spacing w:after="0" w:line="154"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Interim Financial Statements.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through the Chairperson or the Committee as a whole, will review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management of the Corporation and the independent auditors, prior to filing the quarterly reports on Form 10-Q, any matters described in Statement on Auditing Standards No. 61, </w:t>
      </w:r>
      <w:r>
        <w:rPr>
          <w:rFonts w:ascii="Times New Roman" w:cs="Times New Roman" w:eastAsia="Times New Roman" w:hAnsi="Times New Roman"/>
          <w:sz w:val="22"/>
          <w:szCs w:val="22"/>
          <w:i w:val="1"/>
          <w:iCs w:val="1"/>
          <w:color w:val="auto"/>
        </w:rPr>
        <w:t>Communications with Audit Committees</w:t>
      </w:r>
      <w:r>
        <w:rPr>
          <w:rFonts w:ascii="Times New Roman" w:cs="Times New Roman" w:eastAsia="Times New Roman" w:hAnsi="Times New Roman"/>
          <w:sz w:val="22"/>
          <w:szCs w:val="22"/>
          <w:color w:val="auto"/>
        </w:rPr>
        <w:t xml:space="preserve"> and identified as having a significant effect on the interim financial statements. In connection with this review, the Committee, through its Chairperson or as a whole, will discuss earnings press releases with management, prior to their release.</w:t>
      </w:r>
    </w:p>
    <w:p>
      <w:pPr>
        <w:spacing w:after="0" w:line="177" w:lineRule="exact"/>
        <w:rPr>
          <w:sz w:val="20"/>
          <w:szCs w:val="20"/>
          <w:color w:val="auto"/>
        </w:rPr>
      </w:pPr>
    </w:p>
    <w:p>
      <w:pPr>
        <w:ind w:right="840" w:firstLine="486"/>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Financial Reporting Practices.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will review annually with management, the internal auditors,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 auditors the following:</w:t>
      </w:r>
    </w:p>
    <w:p>
      <w:pPr>
        <w:spacing w:after="0" w:line="154" w:lineRule="exact"/>
        <w:rPr>
          <w:sz w:val="20"/>
          <w:szCs w:val="20"/>
          <w:color w:val="auto"/>
        </w:rPr>
      </w:pPr>
    </w:p>
    <w:p>
      <w:pPr>
        <w:ind w:left="920" w:right="60" w:hanging="331"/>
        <w:spacing w:after="0" w:line="236" w:lineRule="auto"/>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assessment of and report on the effectiveness of internal control over financial reporting as of the end of the most recent fiscal year, and the independent auditor’s related report, including (a) any significant deficiencies or material weaknesses in the design or operation of internal controls over financial reporting, (b) any fraud, whether or not material, that involves management or other employees having a significant role in the internal controls over financial reporting, and (c) any significant changes to internal controls over financial reporting, including corrective actions, since the last report to the Committee.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3" w:name="page44"/>
    <w:bookmarkEnd w:id="43"/>
    <w:p>
      <w:pPr>
        <w:ind w:left="920" w:right="240" w:hanging="331"/>
        <w:spacing w:after="0" w:line="244"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accounting and reporting principles, practices, and procedures applied by the Corporation in preparing its financial statements, including any changes thereto, significant judgments that may affect the financial results and any recommendations to improve existing practices.</w:t>
      </w:r>
    </w:p>
    <w:p>
      <w:pPr>
        <w:spacing w:after="0" w:line="200" w:lineRule="exact"/>
        <w:rPr>
          <w:rFonts w:ascii="Times New Roman" w:cs="Times New Roman" w:eastAsia="Times New Roman" w:hAnsi="Times New Roman"/>
          <w:sz w:val="22"/>
          <w:szCs w:val="22"/>
          <w:color w:val="auto"/>
        </w:rPr>
      </w:pPr>
    </w:p>
    <w:p>
      <w:pPr>
        <w:ind w:left="920" w:hanging="331"/>
        <w:spacing w:after="0" w:line="244"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Inquire about the Corporation’s significant risks and exposures and assess the steps taken by management to minimize such risks and exposures to the Corporation. Review periodically, as appropriate, the internal audit scope or work plan to ensure that it addresses the areas of significant risk and exposure identified by management.</w:t>
      </w:r>
    </w:p>
    <w:p>
      <w:pPr>
        <w:spacing w:after="0" w:line="200" w:lineRule="exact"/>
        <w:rPr>
          <w:rFonts w:ascii="Times New Roman" w:cs="Times New Roman" w:eastAsia="Times New Roman" w:hAnsi="Times New Roman"/>
          <w:sz w:val="22"/>
          <w:szCs w:val="22"/>
          <w:color w:val="auto"/>
        </w:rPr>
      </w:pPr>
    </w:p>
    <w:p>
      <w:pPr>
        <w:ind w:left="920" w:right="580" w:hanging="331"/>
        <w:spacing w:after="0" w:line="258"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significant reports prepared by internal audit together with management’s response and follow-up to these reports.</w:t>
      </w:r>
    </w:p>
    <w:p>
      <w:pPr>
        <w:spacing w:after="0" w:line="185" w:lineRule="exact"/>
        <w:rPr>
          <w:rFonts w:ascii="Times New Roman" w:cs="Times New Roman" w:eastAsia="Times New Roman" w:hAnsi="Times New Roman"/>
          <w:sz w:val="22"/>
          <w:szCs w:val="22"/>
          <w:color w:val="auto"/>
        </w:rPr>
      </w:pPr>
    </w:p>
    <w:p>
      <w:pPr>
        <w:ind w:left="920" w:right="60" w:hanging="331"/>
        <w:spacing w:after="0" w:line="258"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guidelines and policies to govern the process by which the Chief Executive Officer and senior management will assess and manage the Corporation’s exposure to risk.</w:t>
      </w:r>
    </w:p>
    <w:p>
      <w:pPr>
        <w:spacing w:after="0" w:line="185" w:lineRule="exact"/>
        <w:rPr>
          <w:rFonts w:ascii="Times New Roman" w:cs="Times New Roman" w:eastAsia="Times New Roman" w:hAnsi="Times New Roman"/>
          <w:sz w:val="22"/>
          <w:szCs w:val="22"/>
          <w:color w:val="auto"/>
        </w:rPr>
      </w:pPr>
    </w:p>
    <w:p>
      <w:pPr>
        <w:ind w:left="920" w:right="200" w:hanging="331"/>
        <w:spacing w:after="0" w:line="239"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major issues regarding accounting principles and financial statement presentations, analyses prepared by management and/or the independent auditors setting forth significant financial reporting issues and judgments made in connection with the preparation of the financial statements, and the effect of regulatory and accounting initiatives and off-balance sheet transactions on the financial statements.</w:t>
      </w:r>
    </w:p>
    <w:p>
      <w:pPr>
        <w:spacing w:after="0" w:line="177" w:lineRule="exact"/>
        <w:rPr>
          <w:sz w:val="20"/>
          <w:szCs w:val="20"/>
          <w:color w:val="auto"/>
        </w:rPr>
      </w:pPr>
    </w:p>
    <w:p>
      <w:pPr>
        <w:ind w:right="260" w:firstLine="486"/>
        <w:spacing w:after="0" w:line="262" w:lineRule="auto"/>
        <w:rPr>
          <w:sz w:val="20"/>
          <w:szCs w:val="20"/>
          <w:color w:val="auto"/>
        </w:rPr>
      </w:pPr>
      <w:r>
        <w:rPr>
          <w:rFonts w:ascii="Times New Roman" w:cs="Times New Roman" w:eastAsia="Times New Roman" w:hAnsi="Times New Roman"/>
          <w:sz w:val="22"/>
          <w:szCs w:val="22"/>
          <w:i w:val="1"/>
          <w:iCs w:val="1"/>
          <w:u w:val="single" w:color="auto"/>
          <w:color w:val="auto"/>
        </w:rPr>
        <w:t>Information Provided to Analysts and Rating Agencies.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will review and discuss with management earnings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press releases, financial information, and earnings guidance provided to analysts and rating agencies.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10" w:lineRule="exact"/>
        <w:rPr>
          <w:sz w:val="20"/>
          <w:szCs w:val="20"/>
          <w:color w:val="auto"/>
        </w:rPr>
      </w:pPr>
    </w:p>
    <w:p>
      <w:pPr>
        <w:ind w:right="800" w:firstLine="482"/>
        <w:spacing w:after="0" w:line="258" w:lineRule="auto"/>
        <w:rPr>
          <w:sz w:val="20"/>
          <w:szCs w:val="20"/>
          <w:color w:val="auto"/>
        </w:rPr>
      </w:pPr>
      <w:r>
        <w:rPr>
          <w:rFonts w:ascii="Times New Roman" w:cs="Times New Roman" w:eastAsia="Times New Roman" w:hAnsi="Times New Roman"/>
          <w:sz w:val="22"/>
          <w:szCs w:val="22"/>
          <w:color w:val="auto"/>
        </w:rPr>
        <w:t>The Committee is granted the authority to investigate any matter or activity within the scope of its responsibility. All employees will be directed to cooperate as requested by members of the Committee.</w:t>
      </w:r>
    </w:p>
    <w:p>
      <w:pPr>
        <w:spacing w:after="0" w:line="158" w:lineRule="exact"/>
        <w:rPr>
          <w:sz w:val="20"/>
          <w:szCs w:val="20"/>
          <w:color w:val="auto"/>
        </w:rPr>
      </w:pPr>
    </w:p>
    <w:p>
      <w:pPr>
        <w:jc w:val="both"/>
        <w:ind w:right="520" w:firstLine="482"/>
        <w:spacing w:after="0" w:line="282" w:lineRule="auto"/>
        <w:rPr>
          <w:sz w:val="20"/>
          <w:szCs w:val="20"/>
          <w:color w:val="auto"/>
        </w:rPr>
      </w:pPr>
      <w:r>
        <w:rPr>
          <w:rFonts w:ascii="Times New Roman" w:cs="Times New Roman" w:eastAsia="Times New Roman" w:hAnsi="Times New Roman"/>
          <w:sz w:val="21"/>
          <w:szCs w:val="21"/>
          <w:color w:val="auto"/>
        </w:rPr>
        <w:t>The Committee may, in its sole discretion, at the Corporation’s expense and without the requirement of obtaining Board approval, retain outside legal, accounting, or other consultants or experts, as it deems necessary to assist in its investigations.</w:t>
      </w:r>
    </w:p>
    <w:p>
      <w:pPr>
        <w:spacing w:after="0" w:line="135" w:lineRule="exact"/>
        <w:rPr>
          <w:sz w:val="20"/>
          <w:szCs w:val="20"/>
          <w:color w:val="auto"/>
        </w:rPr>
      </w:pPr>
    </w:p>
    <w:p>
      <w:pPr>
        <w:jc w:val="both"/>
        <w:ind w:right="580" w:firstLine="482"/>
        <w:spacing w:after="0" w:line="244" w:lineRule="auto"/>
        <w:rPr>
          <w:sz w:val="20"/>
          <w:szCs w:val="20"/>
          <w:color w:val="auto"/>
        </w:rPr>
      </w:pPr>
      <w:r>
        <w:rPr>
          <w:rFonts w:ascii="Times New Roman" w:cs="Times New Roman" w:eastAsia="Times New Roman" w:hAnsi="Times New Roman"/>
          <w:sz w:val="22"/>
          <w:szCs w:val="22"/>
          <w:color w:val="auto"/>
        </w:rPr>
        <w:t>The Committee will establish procedures for receiving, retention, and treatment of complaints regarding accounting or auditing matters, and will periodically receive reports regarding the status and treatment of complaints submitted through the procedures, subject to SEC, NYSE and other legal requirements.</w:t>
      </w:r>
    </w:p>
    <w:p>
      <w:pPr>
        <w:spacing w:after="0" w:line="174" w:lineRule="exact"/>
        <w:rPr>
          <w:sz w:val="20"/>
          <w:szCs w:val="20"/>
          <w:color w:val="auto"/>
        </w:rPr>
      </w:pPr>
    </w:p>
    <w:p>
      <w:pPr>
        <w:ind w:right="320" w:firstLine="482"/>
        <w:spacing w:after="0" w:line="258" w:lineRule="auto"/>
        <w:rPr>
          <w:sz w:val="20"/>
          <w:szCs w:val="20"/>
          <w:color w:val="auto"/>
        </w:rPr>
      </w:pPr>
      <w:r>
        <w:rPr>
          <w:rFonts w:ascii="Times New Roman" w:cs="Times New Roman" w:eastAsia="Times New Roman" w:hAnsi="Times New Roman"/>
          <w:sz w:val="22"/>
          <w:szCs w:val="22"/>
          <w:color w:val="auto"/>
        </w:rPr>
        <w:t>The Committee will investigate any material violations of securities laws or breaches of fiduciary duty that are reported to them due to management not taking appropriate action on such matters.</w:t>
      </w:r>
    </w:p>
    <w:p>
      <w:pPr>
        <w:spacing w:after="0" w:line="158" w:lineRule="exact"/>
        <w:rPr>
          <w:sz w:val="20"/>
          <w:szCs w:val="20"/>
          <w:color w:val="auto"/>
        </w:rPr>
      </w:pPr>
    </w:p>
    <w:p>
      <w:pPr>
        <w:ind w:right="120" w:firstLine="482"/>
        <w:spacing w:after="0" w:line="258" w:lineRule="auto"/>
        <w:rPr>
          <w:sz w:val="20"/>
          <w:szCs w:val="20"/>
          <w:color w:val="auto"/>
        </w:rPr>
      </w:pPr>
      <w:r>
        <w:rPr>
          <w:rFonts w:ascii="Times New Roman" w:cs="Times New Roman" w:eastAsia="Times New Roman" w:hAnsi="Times New Roman"/>
          <w:sz w:val="22"/>
          <w:szCs w:val="22"/>
          <w:color w:val="auto"/>
        </w:rPr>
        <w:t>The Committee will establish hiring policies and guidelines for employees or former employees of the independent auditors, subject to SEC, NYSE and other legal requirements.</w:t>
      </w:r>
    </w:p>
    <w:p>
      <w:pPr>
        <w:spacing w:after="0" w:line="158" w:lineRule="exact"/>
        <w:rPr>
          <w:sz w:val="20"/>
          <w:szCs w:val="20"/>
          <w:color w:val="auto"/>
        </w:rPr>
      </w:pPr>
    </w:p>
    <w:p>
      <w:pPr>
        <w:ind w:right="240" w:firstLine="482"/>
        <w:spacing w:after="0" w:line="239" w:lineRule="auto"/>
        <w:rPr>
          <w:sz w:val="20"/>
          <w:szCs w:val="20"/>
          <w:color w:val="auto"/>
        </w:rPr>
      </w:pPr>
      <w:r>
        <w:rPr>
          <w:rFonts w:ascii="Times New Roman" w:cs="Times New Roman" w:eastAsia="Times New Roman" w:hAnsi="Times New Roman"/>
          <w:sz w:val="22"/>
          <w:szCs w:val="22"/>
          <w:color w:val="auto"/>
        </w:rPr>
        <w:t>The Committee will review and reassess the adequacy of this charter annually in compliance with applicable NYSE Audit Committee Requirements or other laws and regulations and recommend proposed changes, if any, to the Board for approval. The Committee will conduct and present to the Board and/or the Nominating and Corporate Governance Committee an annual performance evaluation of the Committee.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2" w:right="279" w:bottom="1440" w:gutter="0" w:footer="0" w:header="0"/>
        </w:sectPr>
      </w:pPr>
    </w:p>
    <w:bookmarkStart w:id="44" w:name="page45"/>
    <w:bookmarkEnd w:id="44"/>
    <w:p>
      <w:pPr>
        <w:ind w:firstLine="482"/>
        <w:spacing w:after="0" w:line="258" w:lineRule="auto"/>
        <w:rPr>
          <w:sz w:val="20"/>
          <w:szCs w:val="20"/>
          <w:color w:val="auto"/>
        </w:rPr>
      </w:pPr>
      <w:r>
        <w:rPr>
          <w:rFonts w:ascii="Times New Roman" w:cs="Times New Roman" w:eastAsia="Times New Roman" w:hAnsi="Times New Roman"/>
          <w:sz w:val="22"/>
          <w:szCs w:val="22"/>
          <w:color w:val="auto"/>
        </w:rPr>
        <w:t>The Committee will approve the report required under SEC and NYSE rules to be included in the Corporation’s annual proxy statement, including publication of this charter at least every three years as an appendix to the proxy statement.</w:t>
      </w:r>
    </w:p>
    <w:p>
      <w:pPr>
        <w:spacing w:after="0" w:line="158" w:lineRule="exact"/>
        <w:rPr>
          <w:sz w:val="20"/>
          <w:szCs w:val="20"/>
          <w:color w:val="auto"/>
        </w:rPr>
      </w:pPr>
    </w:p>
    <w:p>
      <w:pPr>
        <w:ind w:right="160" w:firstLine="482"/>
        <w:spacing w:after="0" w:line="244" w:lineRule="auto"/>
        <w:rPr>
          <w:sz w:val="20"/>
          <w:szCs w:val="20"/>
          <w:color w:val="auto"/>
        </w:rPr>
      </w:pPr>
      <w:r>
        <w:rPr>
          <w:rFonts w:ascii="Times New Roman" w:cs="Times New Roman" w:eastAsia="Times New Roman" w:hAnsi="Times New Roman"/>
          <w:sz w:val="22"/>
          <w:szCs w:val="22"/>
          <w:color w:val="auto"/>
        </w:rPr>
        <w:t>The Committee will report to the Board the matters that come before it, and all formal actions will be reported to the Committee at its meeting next succeeding such action, and will be subject to revisions and alteration by the Board as appropriate, except as otherwise provided in this charter.</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2" w:right="31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C</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MARTIN MARIETTA MATERIALS, INC.</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GUIDELINES FOR POTENTIAL NEW BOARD MEMBERS</w:t>
      </w:r>
    </w:p>
    <w:p>
      <w:pPr>
        <w:spacing w:after="0" w:line="206" w:lineRule="exact"/>
        <w:rPr>
          <w:sz w:val="20"/>
          <w:szCs w:val="20"/>
          <w:color w:val="auto"/>
        </w:rPr>
      </w:pPr>
    </w:p>
    <w:p>
      <w:pPr>
        <w:ind w:right="40" w:firstLine="486"/>
        <w:spacing w:after="0" w:line="235" w:lineRule="auto"/>
        <w:rPr>
          <w:sz w:val="20"/>
          <w:szCs w:val="20"/>
          <w:color w:val="auto"/>
        </w:rPr>
      </w:pPr>
      <w:r>
        <w:rPr>
          <w:rFonts w:ascii="Times New Roman" w:cs="Times New Roman" w:eastAsia="Times New Roman" w:hAnsi="Times New Roman"/>
          <w:sz w:val="22"/>
          <w:szCs w:val="22"/>
          <w:i w:val="1"/>
          <w:iCs w:val="1"/>
          <w:u w:val="single" w:color="auto"/>
          <w:color w:val="auto"/>
        </w:rPr>
        <w:t>Preamble</w:t>
      </w:r>
      <w:r>
        <w:rPr>
          <w:rFonts w:ascii="Times New Roman" w:cs="Times New Roman" w:eastAsia="Times New Roman" w:hAnsi="Times New Roman"/>
          <w:sz w:val="22"/>
          <w:szCs w:val="22"/>
          <w:i w:val="1"/>
          <w:iCs w:val="1"/>
          <w:color w:val="auto"/>
        </w:rPr>
        <w:t xml:space="preserve">: The following guidelines are one of the tools used to assist the Nominating and Corporate Governance Committee in the exercise of its responsibility to evaluate the suitability of new potential candidates for the Board of Directors, consistent with any criteria set out in the Corporation’s </w:t>
      </w:r>
      <w:r>
        <w:rPr>
          <w:rFonts w:ascii="Times New Roman" w:cs="Times New Roman" w:eastAsia="Times New Roman" w:hAnsi="Times New Roman"/>
          <w:sz w:val="22"/>
          <w:szCs w:val="22"/>
          <w:color w:val="auto"/>
        </w:rPr>
        <w:t>Corporate Governance Guidelines</w:t>
      </w:r>
      <w:r>
        <w:rPr>
          <w:rFonts w:ascii="Times New Roman" w:cs="Times New Roman" w:eastAsia="Times New Roman" w:hAnsi="Times New Roman"/>
          <w:sz w:val="22"/>
          <w:szCs w:val="22"/>
          <w:i w:val="1"/>
          <w:iCs w:val="1"/>
          <w:color w:val="auto"/>
        </w:rPr>
        <w:t>. In evaluating a new potential 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179" w:lineRule="exact"/>
        <w:rPr>
          <w:sz w:val="20"/>
          <w:szCs w:val="20"/>
          <w:color w:val="auto"/>
        </w:rPr>
      </w:pPr>
    </w:p>
    <w:p>
      <w:pPr>
        <w:ind w:right="280" w:firstLine="548"/>
        <w:spacing w:after="0" w:line="258"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Candidates should have a long-term history of the highest integrity and should ascribe fully to the ethics program of the Corporation.</w:t>
      </w:r>
    </w:p>
    <w:p>
      <w:pPr>
        <w:spacing w:after="0" w:line="158" w:lineRule="exact"/>
        <w:rPr>
          <w:rFonts w:ascii="Times New Roman" w:cs="Times New Roman" w:eastAsia="Times New Roman" w:hAnsi="Times New Roman"/>
          <w:sz w:val="22"/>
          <w:szCs w:val="22"/>
          <w:color w:val="auto"/>
        </w:rPr>
      </w:pPr>
    </w:p>
    <w:p>
      <w:pPr>
        <w:ind w:firstLine="548"/>
        <w:spacing w:after="0" w:line="258"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Candidates should be experienced and seasoned but still active in their careers. Ideally they should have five years or more expected in their full-time career before normal retirement.</w:t>
      </w:r>
    </w:p>
    <w:p>
      <w:pPr>
        <w:spacing w:after="0" w:line="158" w:lineRule="exact"/>
        <w:rPr>
          <w:rFonts w:ascii="Times New Roman" w:cs="Times New Roman" w:eastAsia="Times New Roman" w:hAnsi="Times New Roman"/>
          <w:sz w:val="22"/>
          <w:szCs w:val="22"/>
          <w:color w:val="auto"/>
        </w:rPr>
      </w:pPr>
    </w:p>
    <w:p>
      <w:pPr>
        <w:ind w:right="540" w:firstLine="548"/>
        <w:spacing w:after="0" w:line="258"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should be given to matching the geographic base of the candidate with the geographic coverage of the Corporation.</w:t>
      </w:r>
    </w:p>
    <w:p>
      <w:pPr>
        <w:spacing w:after="0" w:line="158" w:lineRule="exact"/>
        <w:rPr>
          <w:rFonts w:ascii="Times New Roman" w:cs="Times New Roman" w:eastAsia="Times New Roman" w:hAnsi="Times New Roman"/>
          <w:sz w:val="22"/>
          <w:szCs w:val="22"/>
          <w:color w:val="auto"/>
        </w:rPr>
      </w:pPr>
    </w:p>
    <w:p>
      <w:pPr>
        <w:ind w:firstLine="548"/>
        <w:spacing w:after="0" w:line="258"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should be given to diversity on the Board, including candidates that have ethnic backgrounds that reflect the constituencies of the Corporation.</w:t>
      </w:r>
    </w:p>
    <w:p>
      <w:pPr>
        <w:spacing w:after="0" w:line="158" w:lineRule="exact"/>
        <w:rPr>
          <w:rFonts w:ascii="Times New Roman" w:cs="Times New Roman" w:eastAsia="Times New Roman" w:hAnsi="Times New Roman"/>
          <w:sz w:val="22"/>
          <w:szCs w:val="22"/>
          <w:color w:val="auto"/>
        </w:rPr>
      </w:pPr>
    </w:p>
    <w:p>
      <w:pPr>
        <w:ind w:right="100" w:firstLine="548"/>
        <w:spacing w:after="0" w:line="258"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candidates should not come from firms or companies that are significant sellers or buyers of good and services to or from the Corporation.</w:t>
      </w:r>
    </w:p>
    <w:p>
      <w:pPr>
        <w:spacing w:after="0" w:line="158" w:lineRule="exact"/>
        <w:rPr>
          <w:rFonts w:ascii="Times New Roman" w:cs="Times New Roman" w:eastAsia="Times New Roman" w:hAnsi="Times New Roman"/>
          <w:sz w:val="22"/>
          <w:szCs w:val="22"/>
          <w:color w:val="auto"/>
        </w:rPr>
      </w:pPr>
    </w:p>
    <w:p>
      <w:pPr>
        <w:jc w:val="both"/>
        <w:ind w:right="160" w:firstLine="548"/>
        <w:spacing w:after="0" w:line="244"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Times New Roman" w:cs="Times New Roman" w:eastAsia="Times New Roman" w:hAnsi="Times New Roman"/>
          <w:sz w:val="22"/>
          <w:szCs w:val="22"/>
          <w:i w:val="1"/>
          <w:iCs w:val="1"/>
          <w:color w:val="auto"/>
        </w:rPr>
        <w:t>Corporate Governance Guidelines.</w:t>
      </w:r>
    </w:p>
    <w:p>
      <w:pPr>
        <w:spacing w:after="0" w:line="173" w:lineRule="exact"/>
        <w:rPr>
          <w:rFonts w:ascii="Times New Roman" w:cs="Times New Roman" w:eastAsia="Times New Roman" w:hAnsi="Times New Roman"/>
          <w:sz w:val="22"/>
          <w:szCs w:val="22"/>
          <w:color w:val="auto"/>
        </w:rPr>
      </w:pPr>
    </w:p>
    <w:p>
      <w:pPr>
        <w:ind w:right="20" w:firstLine="548"/>
        <w:spacing w:after="0" w:line="239"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180" w:lineRule="exact"/>
        <w:rPr>
          <w:rFonts w:ascii="Times New Roman" w:cs="Times New Roman" w:eastAsia="Times New Roman" w:hAnsi="Times New Roman"/>
          <w:sz w:val="22"/>
          <w:szCs w:val="22"/>
          <w:color w:val="auto"/>
        </w:rPr>
      </w:pPr>
    </w:p>
    <w:p>
      <w:pPr>
        <w:ind w:right="40" w:firstLine="548"/>
        <w:spacing w:after="0" w:line="239"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180" w:lineRule="exact"/>
        <w:rPr>
          <w:rFonts w:ascii="Times New Roman" w:cs="Times New Roman" w:eastAsia="Times New Roman" w:hAnsi="Times New Roman"/>
          <w:sz w:val="22"/>
          <w:szCs w:val="22"/>
          <w:color w:val="auto"/>
        </w:rPr>
      </w:pPr>
    </w:p>
    <w:p>
      <w:pPr>
        <w:ind w:left="760" w:hanging="212"/>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company experience is highly desirable.</w:t>
      </w:r>
    </w:p>
    <w:p>
      <w:pPr>
        <w:spacing w:after="0" w:line="206" w:lineRule="exact"/>
        <w:rPr>
          <w:sz w:val="20"/>
          <w:szCs w:val="20"/>
          <w:color w:val="auto"/>
        </w:rPr>
      </w:pPr>
    </w:p>
    <w:p>
      <w:pPr>
        <w:ind w:right="100" w:firstLine="494"/>
        <w:spacing w:after="0" w:line="258" w:lineRule="auto"/>
        <w:tabs>
          <w:tab w:leader="none" w:pos="81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Candidates from education or nonprofit organizations will be considered where there is a specific priority need identified by the Board and where such a candidate can add value.</w:t>
      </w:r>
    </w:p>
    <w:p>
      <w:pPr>
        <w:spacing w:after="0" w:line="158" w:lineRule="exact"/>
        <w:rPr>
          <w:rFonts w:ascii="Times New Roman" w:cs="Times New Roman" w:eastAsia="Times New Roman" w:hAnsi="Times New Roman"/>
          <w:sz w:val="22"/>
          <w:szCs w:val="22"/>
          <w:color w:val="auto"/>
        </w:rPr>
      </w:pPr>
    </w:p>
    <w:p>
      <w:pPr>
        <w:ind w:right="300" w:firstLine="494"/>
        <w:spacing w:after="0" w:line="258" w:lineRule="auto"/>
        <w:tabs>
          <w:tab w:leader="none" w:pos="80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candidates ideally would serve on no more than three for-profit boards inclusive of Martin Marietta Materials to assure adequate time to discharge the duties of a Board member.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1924050</wp:posOffset>
            </wp:positionH>
            <wp:positionV relativeFrom="page">
              <wp:posOffset>603250</wp:posOffset>
            </wp:positionV>
            <wp:extent cx="3713480" cy="626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Martin Marietta Materials,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Raleigh, North Carolina 27607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center"/>
        <w:ind w:right="-99"/>
        <w:spacing w:after="0"/>
        <w:rPr>
          <w:sz w:val="20"/>
          <w:szCs w:val="20"/>
          <w:color w:val="auto"/>
        </w:rPr>
      </w:pPr>
      <w:r>
        <w:rPr>
          <w:rFonts w:ascii="Times New Roman" w:cs="Times New Roman" w:eastAsia="Times New Roman" w:hAnsi="Times New Roman"/>
          <w:sz w:val="18"/>
          <w:szCs w:val="18"/>
          <w:color w:val="auto"/>
        </w:rPr>
        <w:t>- FOLD AND DETACH HERE -</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solicited by the Board of Directors for the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Annual Meeting to be held May 24, 2005</w:t>
      </w:r>
    </w:p>
    <w:p>
      <w:pPr>
        <w:spacing w:after="0" w:line="2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24, 2005, and at any adjournment thereof.</w:t>
      </w:r>
    </w:p>
    <w:p>
      <w:pPr>
        <w:spacing w:after="0" w:line="184" w:lineRule="exact"/>
        <w:rPr>
          <w:sz w:val="20"/>
          <w:szCs w:val="20"/>
          <w:color w:val="auto"/>
        </w:rPr>
      </w:pPr>
    </w:p>
    <w:p>
      <w:pPr>
        <w:ind w:left="240" w:right="180" w:hanging="232"/>
        <w:spacing w:after="0" w:line="277" w:lineRule="auto"/>
        <w:tabs>
          <w:tab w:leader="none" w:pos="2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Nominees are Sue W. Cole, Laree E. Perez, William B. Sansom, and Stephen P. Zelnak, Jr., for the terms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Martin Marietta Materials, Inc. Proxy Statement dated March 21, 2005.</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153670</wp:posOffset>
            </wp:positionV>
            <wp:extent cx="54457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o WITHHOLD AUTHORITY </w:t>
      </w:r>
      <w:r>
        <w:rPr>
          <w:rFonts w:ascii="Times New Roman" w:cs="Times New Roman" w:eastAsia="Times New Roman" w:hAnsi="Times New Roman"/>
          <w:sz w:val="18"/>
          <w:szCs w:val="18"/>
          <w:color w:val="auto"/>
        </w:rPr>
        <w:t>to vote for the listed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RATIFICATION OF SELECTION OF ERNST &amp; YOUNG LLP AS INDEPENDENT AUDITORS.</w:t>
      </w:r>
    </w:p>
    <w:p>
      <w:pPr>
        <w:spacing w:after="0" w:line="200" w:lineRule="exact"/>
        <w:rPr>
          <w:sz w:val="20"/>
          <w:szCs w:val="20"/>
          <w:color w:val="auto"/>
        </w:rPr>
      </w:pPr>
    </w:p>
    <w:p>
      <w:pPr>
        <w:spacing w:after="0" w:line="268" w:lineRule="exact"/>
        <w:rPr>
          <w:sz w:val="20"/>
          <w:szCs w:val="20"/>
          <w:color w:val="auto"/>
        </w:rPr>
      </w:pPr>
    </w:p>
    <w:p>
      <w:pPr>
        <w:ind w:left="1620"/>
        <w:spacing w:after="0"/>
        <w:tabs>
          <w:tab w:leader="none" w:pos="5220" w:val="left"/>
          <w:tab w:leader="none" w:pos="9060" w:val="left"/>
        </w:tabs>
        <w:rPr>
          <w:sz w:val="20"/>
          <w:szCs w:val="20"/>
          <w:color w:val="auto"/>
        </w:rPr>
      </w:pPr>
      <w:r>
        <w:rPr>
          <w:rFonts w:ascii="Times New Roman" w:cs="Times New Roman" w:eastAsia="Times New Roman" w:hAnsi="Times New Roman"/>
          <w:sz w:val="18"/>
          <w:szCs w:val="18"/>
          <w:b w:val="1"/>
          <w:bCs w:val="1"/>
          <w:color w:val="auto"/>
        </w:rPr>
        <w:t>o FOR</w:t>
      </w:r>
      <w:r>
        <w:rPr>
          <w:sz w:val="20"/>
          <w:szCs w:val="20"/>
          <w:color w:val="auto"/>
        </w:rPr>
        <w:tab/>
      </w:r>
      <w:r>
        <w:rPr>
          <w:rFonts w:ascii="Times New Roman" w:cs="Times New Roman" w:eastAsia="Times New Roman" w:hAnsi="Times New Roman"/>
          <w:sz w:val="18"/>
          <w:szCs w:val="18"/>
          <w:b w:val="1"/>
          <w:bCs w:val="1"/>
          <w:color w:val="auto"/>
        </w:rPr>
        <w:t>o AGAINST</w:t>
      </w:r>
      <w:r>
        <w:rPr>
          <w:sz w:val="20"/>
          <w:szCs w:val="20"/>
          <w:color w:val="auto"/>
        </w:rPr>
        <w:tab/>
      </w:r>
      <w:r>
        <w:rPr>
          <w:rFonts w:ascii="Times New Roman" w:cs="Times New Roman" w:eastAsia="Times New Roman" w:hAnsi="Times New Roman"/>
          <w:sz w:val="18"/>
          <w:szCs w:val="18"/>
          <w:b w:val="1"/>
          <w:bCs w:val="1"/>
          <w:color w:val="auto"/>
        </w:rPr>
        <w:t>o ABSTAIN</w:t>
      </w:r>
    </w:p>
    <w:p>
      <w:pPr>
        <w:spacing w:after="0" w:line="225" w:lineRule="exact"/>
        <w:rPr>
          <w:sz w:val="20"/>
          <w:szCs w:val="20"/>
          <w:color w:val="auto"/>
        </w:rPr>
      </w:pPr>
    </w:p>
    <w:p>
      <w:pPr>
        <w:ind w:left="240" w:right="420" w:hanging="232"/>
        <w:spacing w:after="0" w:line="277" w:lineRule="auto"/>
        <w:tabs>
          <w:tab w:leader="none" w:pos="2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48" w:name="page49"/>
    <w:bookmarkEnd w:id="4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FOLD AND DETACH HERE -</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 xml:space="preserve">This proxy is solicited by the Board of Directors and when properly executed will be voted as specified herein and, unless otherwise directed,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all nominees as Directors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selection of Ernst &amp; Young LLP as independent auditors. The Board of Directors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item.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Notice of Annual Meeting of Shareholders and accompanying Proxy Statement is hereby acknowledged.</w:t>
      </w:r>
    </w:p>
    <w:p>
      <w:pPr>
        <w:spacing w:after="0" w:line="223" w:lineRule="exact"/>
        <w:rPr>
          <w:sz w:val="20"/>
          <w:szCs w:val="20"/>
          <w:color w:val="auto"/>
        </w:rPr>
      </w:pPr>
    </w:p>
    <w:p>
      <w:pPr>
        <w:ind w:left="5040" w:right="180"/>
        <w:spacing w:after="0" w:line="277" w:lineRule="auto"/>
        <w:rPr>
          <w:sz w:val="20"/>
          <w:szCs w:val="20"/>
          <w:color w:val="auto"/>
        </w:rPr>
      </w:pPr>
      <w:r>
        <w:rPr>
          <w:rFonts w:ascii="Times New Roman" w:cs="Times New Roman" w:eastAsia="Times New Roman" w:hAnsi="Times New Roman"/>
          <w:sz w:val="18"/>
          <w:szCs w:val="18"/>
          <w:b w:val="1"/>
          <w:bCs w:val="1"/>
          <w:color w:val="auto"/>
        </w:rPr>
        <w:t>Please date and sign exactly as printed below and return promptly in the enclosed postage paid envelope.</w:t>
      </w:r>
    </w:p>
    <w:p>
      <w:pPr>
        <w:spacing w:after="0" w:line="200" w:lineRule="exact"/>
        <w:rPr>
          <w:sz w:val="20"/>
          <w:szCs w:val="20"/>
          <w:color w:val="auto"/>
        </w:rPr>
      </w:pPr>
    </w:p>
    <w:p>
      <w:pPr>
        <w:spacing w:after="0" w:line="392" w:lineRule="exact"/>
        <w:rPr>
          <w:sz w:val="20"/>
          <w:szCs w:val="20"/>
          <w:color w:val="auto"/>
        </w:rPr>
      </w:pPr>
    </w:p>
    <w:p>
      <w:pPr>
        <w:ind w:left="5160"/>
        <w:spacing w:after="0"/>
        <w:tabs>
          <w:tab w:leader="none" w:pos="5840" w:val="left"/>
          <w:tab w:leader="none" w:pos="86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22"/>
          <w:szCs w:val="22"/>
          <w:color w:val="auto"/>
        </w:rPr>
        <w:t>________________________</w:t>
      </w:r>
      <w:r>
        <w:rPr>
          <w:sz w:val="20"/>
          <w:szCs w:val="20"/>
          <w:color w:val="auto"/>
        </w:rPr>
        <w:tab/>
      </w:r>
      <w:r>
        <w:rPr>
          <w:rFonts w:ascii="Times New Roman" w:cs="Times New Roman" w:eastAsia="Times New Roman" w:hAnsi="Times New Roman"/>
          <w:sz w:val="16"/>
          <w:szCs w:val="16"/>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217170</wp:posOffset>
            </wp:positionV>
            <wp:extent cx="28898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220980</wp:posOffset>
            </wp:positionV>
            <wp:extent cx="28898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(When signing as attorney, executor, administrator, trustee,</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guardian, etc., give title as such. If joint account, each joint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owner should sign. If a corporation or a partnership, sign</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full corporate name or partnership name, as the case may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be, by an authorized person.)</w:t>
      </w:r>
    </w:p>
    <w:sectPr>
      <w:pgSz w:w="11900" w:h="16838" w:orient="portrait"/>
      <w:cols w:equalWidth="0" w:num="1">
        <w:col w:w="11320"/>
      </w:cols>
      <w:pgMar w:left="240" w:top="9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lvl w:ilvl="1">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0"/>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2019-12-14T03:03:27Z</dcterms:created>
  <dcterms:modified xsi:type="dcterms:W3CDTF">2019-12-14T03:03:27Z</dcterms:modified>
</cp:coreProperties>
</file>