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156845</wp:posOffset>
            </wp:positionH>
            <wp:positionV relativeFrom="page">
              <wp:posOffset>292735</wp:posOffset>
            </wp:positionV>
            <wp:extent cx="72478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890" cy="8255"/>
                    </a:xfrm>
                    <a:prstGeom prst="rect">
                      <a:avLst/>
                    </a:prstGeom>
                    <a:noFill/>
                  </pic:spPr>
                </pic:pic>
              </a:graphicData>
            </a:graphic>
          </wp:anchor>
        </w:drawing>
        <w:drawing>
          <wp:anchor simplePos="0" relativeHeight="251657728" behindDoc="1" locked="0" layoutInCell="0" allowOverlap="1">
            <wp:simplePos x="0" y="0"/>
            <wp:positionH relativeFrom="page">
              <wp:posOffset>156845</wp:posOffset>
            </wp:positionH>
            <wp:positionV relativeFrom="page">
              <wp:posOffset>318135</wp:posOffset>
            </wp:positionV>
            <wp:extent cx="72478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890" cy="8255"/>
                    </a:xfrm>
                    <a:prstGeom prst="rect">
                      <a:avLst/>
                    </a:prstGeom>
                    <a:noFill/>
                  </pic:spPr>
                </pic:pic>
              </a:graphicData>
            </a:graphic>
          </wp:anchor>
        </w:drawing>
        <w:t>SECURITIES AND EXCHANGE COMMISSION</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-130175</wp:posOffset>
            </wp:positionV>
            <wp:extent cx="14528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2880" cy="8255"/>
                    </a:xfrm>
                    <a:prstGeom prst="rect">
                      <a:avLst/>
                    </a:prstGeom>
                    <a:noFill/>
                  </pic:spPr>
                </pic:pic>
              </a:graphicData>
            </a:graphic>
          </wp:anchor>
        </w:drawing>
      </w:r>
    </w:p>
    <w:p>
      <w:pPr>
        <w:spacing w:after="0" w:line="83"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-130175</wp:posOffset>
            </wp:positionV>
            <wp:extent cx="14528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2880" cy="8255"/>
                    </a:xfrm>
                    <a:prstGeom prst="rect">
                      <a:avLst/>
                    </a:prstGeom>
                    <a:noFill/>
                  </pic:spPr>
                </pic:pic>
              </a:graphicData>
            </a:graphic>
          </wp:anchor>
        </w:drawing>
      </w:r>
    </w:p>
    <w:p>
      <w:pPr>
        <w:ind w:left="3820" w:right="1400" w:hanging="3813"/>
        <w:spacing w:after="0"/>
        <w:tabs>
          <w:tab w:leader="none" w:pos="509" w:val="left"/>
        </w:tabs>
        <w:numPr>
          <w:ilvl w:val="0"/>
          <w:numId w:val="1"/>
        </w:numPr>
        <w:rPr>
          <w:rFonts w:ascii="MS PGothic" w:cs="MS PGothic" w:eastAsia="MS PGothic" w:hAnsi="MS PGothic"/>
          <w:sz w:val="18"/>
          <w:szCs w:val="18"/>
          <w:color w:val="auto"/>
        </w:rPr>
      </w:pPr>
      <w:r>
        <w:rPr>
          <w:rFonts w:ascii="Arial" w:cs="Arial" w:eastAsia="Arial" w:hAnsi="Arial"/>
          <w:sz w:val="19"/>
          <w:szCs w:val="19"/>
          <w:b w:val="1"/>
          <w:bCs w:val="1"/>
          <w:color w:val="auto"/>
        </w:rPr>
        <w:t>QUARTERLY REPORT PURSUANT TO SECTION 13 OR 15(d) OF THE SECURITIES EXCHANGE ACT OF 1934 For the quarterly period ended March 31, 2018</w:t>
      </w:r>
    </w:p>
    <w:p>
      <w:pPr>
        <w:spacing w:after="0" w:line="185" w:lineRule="exact"/>
        <w:rPr>
          <w:sz w:val="24"/>
          <w:szCs w:val="24"/>
          <w:color w:val="auto"/>
        </w:rPr>
      </w:pPr>
    </w:p>
    <w:p>
      <w:pPr>
        <w:ind w:left="520" w:hanging="513"/>
        <w:spacing w:after="0"/>
        <w:tabs>
          <w:tab w:leader="none" w:pos="520" w:val="left"/>
        </w:tabs>
        <w:numPr>
          <w:ilvl w:val="0"/>
          <w:numId w:val="2"/>
        </w:numPr>
        <w:rPr>
          <w:rFonts w:ascii="MS PGothic" w:cs="MS PGothic" w:eastAsia="MS PGothic" w:hAnsi="MS PGothic"/>
          <w:sz w:val="17"/>
          <w:szCs w:val="17"/>
          <w:color w:val="auto"/>
        </w:rPr>
      </w:pPr>
      <w:r>
        <w:rPr>
          <w:rFonts w:ascii="Arial" w:cs="Arial" w:eastAsia="Arial" w:hAnsi="Arial"/>
          <w:sz w:val="18"/>
          <w:szCs w:val="18"/>
          <w:b w:val="1"/>
          <w:bCs w:val="1"/>
          <w:color w:val="auto"/>
        </w:rPr>
        <w:t>TRANSITION REPORT PURSUANT TO SECTION 13 OR 15(d) OF THE SECURITIES EXCHANGE ACT OF 1934</w:t>
      </w:r>
    </w:p>
    <w:p>
      <w:pPr>
        <w:sectPr>
          <w:pgSz w:w="11900" w:h="16838" w:orient="portrait"/>
          <w:cols w:equalWidth="0" w:num="1">
            <w:col w:w="11440"/>
          </w:cols>
          <w:pgMar w:left="240" w:top="595" w:right="219" w:bottom="1440" w:gutter="0" w:footer="0" w:header="0"/>
        </w:sectPr>
      </w:pPr>
    </w:p>
    <w:p>
      <w:pPr>
        <w:spacing w:after="0" w:line="23" w:lineRule="exact"/>
        <w:rPr>
          <w:sz w:val="24"/>
          <w:szCs w:val="24"/>
          <w:color w:val="auto"/>
        </w:rPr>
      </w:pPr>
    </w:p>
    <w:p>
      <w:pPr>
        <w:jc w:val="right"/>
        <w:ind w:right="4420"/>
        <w:spacing w:after="0"/>
        <w:tabs>
          <w:tab w:leader="none" w:pos="180" w:val="left"/>
        </w:tabs>
        <w:rPr>
          <w:sz w:val="20"/>
          <w:szCs w:val="20"/>
          <w:color w:val="auto"/>
        </w:rPr>
      </w:pPr>
      <w:r>
        <w:rPr>
          <w:rFonts w:ascii="Arial" w:cs="Arial" w:eastAsia="Arial" w:hAnsi="Arial"/>
          <w:sz w:val="19"/>
          <w:szCs w:val="19"/>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jc w:val="right"/>
        <w:ind w:right="4360"/>
        <w:spacing w:after="0"/>
        <w:rPr>
          <w:sz w:val="20"/>
          <w:szCs w:val="20"/>
          <w:color w:val="auto"/>
        </w:rPr>
      </w:pPr>
      <w:r>
        <w:rPr>
          <w:rFonts w:ascii="Arial" w:cs="Arial" w:eastAsia="Arial" w:hAnsi="Arial"/>
          <w:sz w:val="19"/>
          <w:szCs w:val="19"/>
          <w:b w:val="1"/>
          <w:bCs w:val="1"/>
          <w:color w:val="auto"/>
        </w:rPr>
        <w:t>Commission File Number 1-12744</w:t>
      </w:r>
    </w:p>
    <w:p>
      <w:pPr>
        <w:sectPr>
          <w:pgSz w:w="11900" w:h="16838" w:orient="portrait"/>
          <w:cols w:equalWidth="0" w:num="1">
            <w:col w:w="11440"/>
          </w:cols>
          <w:pgMar w:left="240" w:top="595" w:right="219" w:bottom="1440" w:gutter="0" w:footer="0" w:header="0"/>
          <w:type w:val="continuous"/>
        </w:sectPr>
      </w:pPr>
    </w:p>
    <w:p>
      <w:pPr>
        <w:spacing w:after="0" w:line="69"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MARTIN MARIETTA MATERIALS,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-130175</wp:posOffset>
            </wp:positionV>
            <wp:extent cx="14528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2880" cy="825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9"/>
          <w:szCs w:val="19"/>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60960</wp:posOffset>
            </wp:positionV>
            <wp:extent cx="1452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2880" cy="8255"/>
                    </a:xfrm>
                    <a:prstGeom prst="rect">
                      <a:avLst/>
                    </a:prstGeom>
                    <a:noFill/>
                  </pic:spPr>
                </pic:pic>
              </a:graphicData>
            </a:graphic>
          </wp:anchor>
        </w:drawing>
      </w:r>
    </w:p>
    <w:p>
      <w:pPr>
        <w:spacing w:after="0" w:line="152" w:lineRule="exact"/>
        <w:rPr>
          <w:sz w:val="24"/>
          <w:szCs w:val="24"/>
          <w:color w:val="auto"/>
        </w:rPr>
      </w:pPr>
    </w:p>
    <w:tbl>
      <w:tblPr>
        <w:tblLayout w:type="fixed"/>
        <w:tblInd w:w="1260" w:type="dxa"/>
        <w:tblCellMar>
          <w:top w:w="0" w:type="dxa"/>
          <w:left w:w="0" w:type="dxa"/>
          <w:bottom w:w="0" w:type="dxa"/>
          <w:right w:w="0" w:type="dxa"/>
        </w:tblCellMar>
      </w:tblPr>
      <w:tr>
        <w:trPr>
          <w:trHeight w:val="218"/>
        </w:trPr>
        <w:tc>
          <w:tcPr>
            <w:tcW w:w="4760" w:type="dxa"/>
            <w:vAlign w:val="bottom"/>
          </w:tcPr>
          <w:p>
            <w:pPr>
              <w:jc w:val="center"/>
              <w:ind w:right="1526"/>
              <w:spacing w:after="0"/>
              <w:rPr>
                <w:sz w:val="20"/>
                <w:szCs w:val="20"/>
                <w:color w:val="auto"/>
              </w:rPr>
            </w:pPr>
            <w:r>
              <w:rPr>
                <w:rFonts w:ascii="Arial" w:cs="Arial" w:eastAsia="Arial" w:hAnsi="Arial"/>
                <w:sz w:val="19"/>
                <w:szCs w:val="19"/>
                <w:b w:val="1"/>
                <w:bCs w:val="1"/>
                <w:color w:val="auto"/>
                <w:w w:val="92"/>
              </w:rPr>
              <w:t>North Carolina</w:t>
            </w:r>
          </w:p>
        </w:tc>
        <w:tc>
          <w:tcPr>
            <w:tcW w:w="3540" w:type="dxa"/>
            <w:vAlign w:val="bottom"/>
          </w:tcPr>
          <w:p>
            <w:pPr>
              <w:jc w:val="center"/>
              <w:ind w:left="1586"/>
              <w:spacing w:after="0"/>
              <w:rPr>
                <w:sz w:val="20"/>
                <w:szCs w:val="20"/>
                <w:color w:val="auto"/>
              </w:rPr>
            </w:pPr>
            <w:r>
              <w:rPr>
                <w:rFonts w:ascii="Arial" w:cs="Arial" w:eastAsia="Arial" w:hAnsi="Arial"/>
                <w:sz w:val="19"/>
                <w:szCs w:val="19"/>
                <w:b w:val="1"/>
                <w:bCs w:val="1"/>
                <w:color w:val="auto"/>
                <w:w w:val="88"/>
              </w:rPr>
              <w:t>56-1848578</w:t>
            </w:r>
          </w:p>
        </w:tc>
      </w:tr>
      <w:tr>
        <w:trPr>
          <w:trHeight w:val="214"/>
        </w:trPr>
        <w:tc>
          <w:tcPr>
            <w:tcW w:w="4760" w:type="dxa"/>
            <w:vAlign w:val="bottom"/>
          </w:tcPr>
          <w:p>
            <w:pPr>
              <w:jc w:val="center"/>
              <w:ind w:right="1566"/>
              <w:spacing w:after="0" w:line="214" w:lineRule="exact"/>
              <w:rPr>
                <w:sz w:val="20"/>
                <w:szCs w:val="20"/>
                <w:color w:val="auto"/>
              </w:rPr>
            </w:pPr>
            <w:r>
              <w:rPr>
                <w:rFonts w:ascii="Arial" w:cs="Arial" w:eastAsia="Arial" w:hAnsi="Arial"/>
                <w:sz w:val="19"/>
                <w:szCs w:val="19"/>
                <w:b w:val="1"/>
                <w:bCs w:val="1"/>
                <w:color w:val="auto"/>
                <w:w w:val="89"/>
              </w:rPr>
              <w:t>(State or other jurisdiction of</w:t>
            </w:r>
          </w:p>
        </w:tc>
        <w:tc>
          <w:tcPr>
            <w:tcW w:w="3540" w:type="dxa"/>
            <w:vAlign w:val="bottom"/>
          </w:tcPr>
          <w:p>
            <w:pPr>
              <w:jc w:val="center"/>
              <w:ind w:left="1586"/>
              <w:spacing w:after="0" w:line="214" w:lineRule="exact"/>
              <w:rPr>
                <w:sz w:val="20"/>
                <w:szCs w:val="20"/>
                <w:color w:val="auto"/>
              </w:rPr>
            </w:pPr>
            <w:r>
              <w:rPr>
                <w:rFonts w:ascii="Arial" w:cs="Arial" w:eastAsia="Arial" w:hAnsi="Arial"/>
                <w:sz w:val="19"/>
                <w:szCs w:val="19"/>
                <w:b w:val="1"/>
                <w:bCs w:val="1"/>
                <w:color w:val="auto"/>
                <w:w w:val="91"/>
              </w:rPr>
              <w:t>(I.R.S. Employer</w:t>
            </w:r>
          </w:p>
        </w:tc>
      </w:tr>
      <w:tr>
        <w:trPr>
          <w:trHeight w:val="243"/>
        </w:trPr>
        <w:tc>
          <w:tcPr>
            <w:tcW w:w="4760" w:type="dxa"/>
            <w:vAlign w:val="bottom"/>
          </w:tcPr>
          <w:p>
            <w:pPr>
              <w:jc w:val="center"/>
              <w:ind w:right="1586"/>
              <w:spacing w:after="0"/>
              <w:rPr>
                <w:sz w:val="20"/>
                <w:szCs w:val="20"/>
                <w:color w:val="auto"/>
              </w:rPr>
            </w:pPr>
            <w:r>
              <w:rPr>
                <w:rFonts w:ascii="Arial" w:cs="Arial" w:eastAsia="Arial" w:hAnsi="Arial"/>
                <w:sz w:val="19"/>
                <w:szCs w:val="19"/>
                <w:b w:val="1"/>
                <w:bCs w:val="1"/>
                <w:color w:val="auto"/>
                <w:w w:val="89"/>
              </w:rPr>
              <w:t>incorporation or organization)</w:t>
            </w:r>
          </w:p>
        </w:tc>
        <w:tc>
          <w:tcPr>
            <w:tcW w:w="3540" w:type="dxa"/>
            <w:vAlign w:val="bottom"/>
          </w:tcPr>
          <w:p>
            <w:pPr>
              <w:jc w:val="center"/>
              <w:ind w:left="1586"/>
              <w:spacing w:after="0"/>
              <w:rPr>
                <w:sz w:val="20"/>
                <w:szCs w:val="20"/>
                <w:color w:val="auto"/>
              </w:rPr>
            </w:pPr>
            <w:r>
              <w:rPr>
                <w:rFonts w:ascii="Arial" w:cs="Arial" w:eastAsia="Arial" w:hAnsi="Arial"/>
                <w:sz w:val="19"/>
                <w:szCs w:val="19"/>
                <w:b w:val="1"/>
                <w:bCs w:val="1"/>
                <w:color w:val="auto"/>
                <w:w w:val="92"/>
              </w:rPr>
              <w:t>Identification Number)</w:t>
            </w:r>
          </w:p>
        </w:tc>
      </w:tr>
      <w:tr>
        <w:trPr>
          <w:trHeight w:val="413"/>
        </w:trPr>
        <w:tc>
          <w:tcPr>
            <w:tcW w:w="4760" w:type="dxa"/>
            <w:vAlign w:val="bottom"/>
          </w:tcPr>
          <w:p>
            <w:pPr>
              <w:jc w:val="center"/>
              <w:ind w:right="1586"/>
              <w:spacing w:after="0"/>
              <w:rPr>
                <w:sz w:val="20"/>
                <w:szCs w:val="20"/>
                <w:color w:val="auto"/>
              </w:rPr>
            </w:pPr>
            <w:r>
              <w:rPr>
                <w:rFonts w:ascii="Arial" w:cs="Arial" w:eastAsia="Arial" w:hAnsi="Arial"/>
                <w:sz w:val="19"/>
                <w:szCs w:val="19"/>
                <w:b w:val="1"/>
                <w:bCs w:val="1"/>
                <w:color w:val="auto"/>
                <w:w w:val="91"/>
              </w:rPr>
              <w:t>2710 Wycliff Road, Raleigh, NC</w:t>
            </w:r>
          </w:p>
        </w:tc>
        <w:tc>
          <w:tcPr>
            <w:tcW w:w="3540" w:type="dxa"/>
            <w:vAlign w:val="bottom"/>
          </w:tcPr>
          <w:p>
            <w:pPr>
              <w:jc w:val="center"/>
              <w:ind w:left="1586"/>
              <w:spacing w:after="0"/>
              <w:rPr>
                <w:sz w:val="20"/>
                <w:szCs w:val="20"/>
                <w:color w:val="auto"/>
              </w:rPr>
            </w:pPr>
            <w:r>
              <w:rPr>
                <w:rFonts w:ascii="Arial" w:cs="Arial" w:eastAsia="Arial" w:hAnsi="Arial"/>
                <w:sz w:val="19"/>
                <w:szCs w:val="19"/>
                <w:b w:val="1"/>
                <w:bCs w:val="1"/>
                <w:color w:val="auto"/>
                <w:w w:val="88"/>
              </w:rPr>
              <w:t>27607-3033</w:t>
            </w:r>
          </w:p>
        </w:tc>
      </w:tr>
      <w:tr>
        <w:trPr>
          <w:trHeight w:val="234"/>
        </w:trPr>
        <w:tc>
          <w:tcPr>
            <w:tcW w:w="4760" w:type="dxa"/>
            <w:vAlign w:val="bottom"/>
          </w:tcPr>
          <w:p>
            <w:pPr>
              <w:jc w:val="center"/>
              <w:ind w:right="1566"/>
              <w:spacing w:after="0"/>
              <w:rPr>
                <w:sz w:val="20"/>
                <w:szCs w:val="20"/>
                <w:color w:val="auto"/>
              </w:rPr>
            </w:pPr>
            <w:r>
              <w:rPr>
                <w:rFonts w:ascii="Arial" w:cs="Arial" w:eastAsia="Arial" w:hAnsi="Arial"/>
                <w:sz w:val="19"/>
                <w:szCs w:val="19"/>
                <w:b w:val="1"/>
                <w:bCs w:val="1"/>
                <w:color w:val="auto"/>
                <w:w w:val="87"/>
              </w:rPr>
              <w:t>(Address of principal executive offices)</w:t>
            </w:r>
          </w:p>
        </w:tc>
        <w:tc>
          <w:tcPr>
            <w:tcW w:w="3540" w:type="dxa"/>
            <w:vAlign w:val="bottom"/>
          </w:tcPr>
          <w:p>
            <w:pPr>
              <w:jc w:val="center"/>
              <w:ind w:left="1586"/>
              <w:spacing w:after="0"/>
              <w:rPr>
                <w:sz w:val="20"/>
                <w:szCs w:val="20"/>
                <w:color w:val="auto"/>
              </w:rPr>
            </w:pPr>
            <w:r>
              <w:rPr>
                <w:rFonts w:ascii="Arial" w:cs="Arial" w:eastAsia="Arial" w:hAnsi="Arial"/>
                <w:sz w:val="19"/>
                <w:szCs w:val="19"/>
                <w:b w:val="1"/>
                <w:bCs w:val="1"/>
                <w:color w:val="auto"/>
                <w:w w:val="91"/>
              </w:rPr>
              <w:t>(Zip Code)</w:t>
            </w:r>
          </w:p>
        </w:tc>
      </w:tr>
    </w:tbl>
    <w:p>
      <w:pPr>
        <w:jc w:val="center"/>
        <w:ind w:right="20"/>
        <w:spacing w:after="0" w:line="235" w:lineRule="auto"/>
        <w:rPr>
          <w:sz w:val="20"/>
          <w:szCs w:val="20"/>
          <w:color w:val="auto"/>
        </w:rPr>
      </w:pPr>
      <w:r>
        <w:rPr>
          <w:rFonts w:ascii="Arial" w:cs="Arial" w:eastAsia="Arial" w:hAnsi="Arial"/>
          <w:sz w:val="19"/>
          <w:szCs w:val="19"/>
          <w:b w:val="1"/>
          <w:bCs w:val="1"/>
          <w:color w:val="auto"/>
        </w:rPr>
        <w:t>Registrant’s telephone number, including area code 919-781-4550</w:t>
      </w:r>
    </w:p>
    <w:p>
      <w:pPr>
        <w:jc w:val="center"/>
        <w:ind w:right="20"/>
        <w:spacing w:after="0" w:line="235" w:lineRule="auto"/>
        <w:rPr>
          <w:sz w:val="20"/>
          <w:szCs w:val="20"/>
          <w:color w:val="auto"/>
        </w:rPr>
      </w:pPr>
      <w:r>
        <w:rPr>
          <w:rFonts w:ascii="Arial" w:cs="Arial" w:eastAsia="Arial" w:hAnsi="Arial"/>
          <w:sz w:val="19"/>
          <w:szCs w:val="19"/>
          <w:b w:val="1"/>
          <w:bCs w:val="1"/>
          <w:color w:val="auto"/>
        </w:rPr>
        <w:t>Former name: None</w:t>
      </w:r>
    </w:p>
    <w:p>
      <w:pPr>
        <w:jc w:val="center"/>
        <w:ind w:right="20"/>
        <w:spacing w:after="0" w:line="235" w:lineRule="auto"/>
        <w:rPr>
          <w:sz w:val="20"/>
          <w:szCs w:val="20"/>
          <w:color w:val="auto"/>
        </w:rPr>
      </w:pPr>
      <w:r>
        <w:rPr>
          <w:rFonts w:ascii="Arial" w:cs="Arial" w:eastAsia="Arial" w:hAnsi="Arial"/>
          <w:sz w:val="19"/>
          <w:szCs w:val="19"/>
          <w:b w:val="1"/>
          <w:bCs w:val="1"/>
          <w:color w:val="auto"/>
        </w:rPr>
        <w:t>Former name, former address and former fiscal year, if changes since last report.</w:t>
      </w:r>
    </w:p>
    <w:p>
      <w:pPr>
        <w:jc w:val="both"/>
        <w:ind w:right="20"/>
        <w:spacing w:after="0" w:line="235" w:lineRule="auto"/>
        <w:rPr>
          <w:sz w:val="20"/>
          <w:szCs w:val="20"/>
          <w:color w:val="auto"/>
        </w:rPr>
      </w:pPr>
      <w:r>
        <w:rPr>
          <w:rFonts w:ascii="Arial" w:cs="Arial" w:eastAsia="Arial" w:hAnsi="Arial"/>
          <w:sz w:val="19"/>
          <w:szCs w:val="19"/>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center"/>
        <w:spacing w:after="0" w:line="214" w:lineRule="exact"/>
        <w:tabs>
          <w:tab w:leader="none" w:pos="160" w:val="left"/>
        </w:tabs>
        <w:rPr>
          <w:sz w:val="20"/>
          <w:szCs w:val="20"/>
          <w:color w:val="auto"/>
        </w:rPr>
      </w:pPr>
      <w:r>
        <w:rPr>
          <w:rFonts w:ascii="Arial" w:cs="Arial" w:eastAsia="Arial" w:hAnsi="Arial"/>
          <w:sz w:val="19"/>
          <w:szCs w:val="19"/>
          <w:color w:val="auto"/>
        </w:rPr>
        <w:t xml:space="preserve">Yes </w:t>
      </w:r>
      <w:r>
        <w:rPr>
          <w:rFonts w:ascii="MS PGothic" w:cs="MS PGothic" w:eastAsia="MS PGothic" w:hAnsi="MS PGothic"/>
          <w:sz w:val="17"/>
          <w:szCs w:val="17"/>
          <w:color w:val="auto"/>
        </w:rPr>
        <w:t>☑</w:t>
      </w:r>
      <w:r>
        <w:rPr>
          <w:rFonts w:ascii="Arial" w:cs="Arial" w:eastAsia="Arial" w:hAnsi="Arial"/>
          <w:sz w:val="19"/>
          <w:szCs w:val="19"/>
          <w:color w:val="auto"/>
        </w:rPr>
        <w:tab/>
        <w:t xml:space="preserve">No </w:t>
      </w:r>
      <w:r>
        <w:rPr>
          <w:rFonts w:ascii="MS PGothic" w:cs="MS PGothic" w:eastAsia="MS PGothic" w:hAnsi="MS PGothic"/>
          <w:sz w:val="17"/>
          <w:szCs w:val="17"/>
          <w:color w:val="auto"/>
        </w:rPr>
        <w:t>☐</w:t>
      </w:r>
    </w:p>
    <w:p>
      <w:pPr>
        <w:spacing w:after="0" w:line="1" w:lineRule="exact"/>
        <w:rPr>
          <w:sz w:val="24"/>
          <w:szCs w:val="24"/>
          <w:color w:val="auto"/>
        </w:rPr>
      </w:pPr>
    </w:p>
    <w:p>
      <w:pPr>
        <w:jc w:val="both"/>
        <w:ind w:right="20"/>
        <w:spacing w:after="0" w:line="235" w:lineRule="auto"/>
        <w:rPr>
          <w:sz w:val="20"/>
          <w:szCs w:val="20"/>
          <w:color w:val="auto"/>
        </w:rPr>
      </w:pPr>
      <w:r>
        <w:rPr>
          <w:rFonts w:ascii="Arial" w:cs="Arial" w:eastAsia="Arial" w:hAnsi="Arial"/>
          <w:sz w:val="19"/>
          <w:szCs w:val="19"/>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jc w:val="center"/>
        <w:spacing w:after="0" w:line="214" w:lineRule="exact"/>
        <w:tabs>
          <w:tab w:leader="none" w:pos="160" w:val="left"/>
        </w:tabs>
        <w:rPr>
          <w:sz w:val="20"/>
          <w:szCs w:val="20"/>
          <w:color w:val="auto"/>
        </w:rPr>
      </w:pPr>
      <w:r>
        <w:rPr>
          <w:rFonts w:ascii="Arial" w:cs="Arial" w:eastAsia="Arial" w:hAnsi="Arial"/>
          <w:sz w:val="19"/>
          <w:szCs w:val="19"/>
          <w:color w:val="auto"/>
        </w:rPr>
        <w:t xml:space="preserve">Yes </w:t>
      </w:r>
      <w:r>
        <w:rPr>
          <w:rFonts w:ascii="MS PGothic" w:cs="MS PGothic" w:eastAsia="MS PGothic" w:hAnsi="MS PGothic"/>
          <w:sz w:val="17"/>
          <w:szCs w:val="17"/>
          <w:color w:val="auto"/>
        </w:rPr>
        <w:t>☑</w:t>
      </w:r>
      <w:r>
        <w:rPr>
          <w:rFonts w:ascii="Arial" w:cs="Arial" w:eastAsia="Arial" w:hAnsi="Arial"/>
          <w:sz w:val="19"/>
          <w:szCs w:val="19"/>
          <w:color w:val="auto"/>
        </w:rPr>
        <w:tab/>
        <w:t xml:space="preserve">No </w:t>
      </w:r>
      <w:r>
        <w:rPr>
          <w:rFonts w:ascii="MS PGothic" w:cs="MS PGothic" w:eastAsia="MS PGothic" w:hAnsi="MS PGothic"/>
          <w:sz w:val="17"/>
          <w:szCs w:val="17"/>
          <w:color w:val="auto"/>
        </w:rPr>
        <w:t>☐</w:t>
      </w:r>
    </w:p>
    <w:p>
      <w:pPr>
        <w:spacing w:after="0" w:line="1" w:lineRule="exact"/>
        <w:rPr>
          <w:sz w:val="24"/>
          <w:szCs w:val="24"/>
          <w:color w:val="auto"/>
        </w:rPr>
      </w:pPr>
    </w:p>
    <w:p>
      <w:pPr>
        <w:jc w:val="both"/>
        <w:ind w:right="20"/>
        <w:spacing w:after="0" w:line="238" w:lineRule="auto"/>
        <w:rPr>
          <w:sz w:val="20"/>
          <w:szCs w:val="20"/>
          <w:color w:val="auto"/>
        </w:rPr>
      </w:pPr>
      <w:r>
        <w:rPr>
          <w:rFonts w:ascii="Arial" w:cs="Arial" w:eastAsia="Arial" w:hAnsi="Arial"/>
          <w:sz w:val="19"/>
          <w:szCs w:val="19"/>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45" w:lineRule="exact"/>
        <w:rPr>
          <w:sz w:val="24"/>
          <w:szCs w:val="24"/>
          <w:color w:val="auto"/>
        </w:rPr>
      </w:pPr>
    </w:p>
    <w:tbl>
      <w:tblPr>
        <w:tblLayout w:type="fixed"/>
        <w:tblInd w:w="0" w:type="dxa"/>
        <w:tblCellMar>
          <w:top w:w="0" w:type="dxa"/>
          <w:left w:w="0" w:type="dxa"/>
          <w:bottom w:w="0" w:type="dxa"/>
          <w:right w:w="0" w:type="dxa"/>
        </w:tblCellMar>
      </w:tblPr>
      <w:tr>
        <w:trPr>
          <w:trHeight w:val="280"/>
        </w:trPr>
        <w:tc>
          <w:tcPr>
            <w:tcW w:w="2780" w:type="dxa"/>
            <w:vAlign w:val="bottom"/>
          </w:tcPr>
          <w:p>
            <w:pPr>
              <w:ind w:left="60"/>
              <w:spacing w:after="0"/>
              <w:rPr>
                <w:sz w:val="20"/>
                <w:szCs w:val="20"/>
                <w:color w:val="auto"/>
              </w:rPr>
            </w:pPr>
            <w:r>
              <w:rPr>
                <w:rFonts w:ascii="Arial" w:cs="Arial" w:eastAsia="Arial" w:hAnsi="Arial"/>
                <w:sz w:val="19"/>
                <w:szCs w:val="19"/>
                <w:color w:val="auto"/>
              </w:rPr>
              <w:t>Large accelerated filer</w:t>
            </w:r>
          </w:p>
        </w:tc>
        <w:tc>
          <w:tcPr>
            <w:tcW w:w="2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000"/>
              <w:spacing w:after="0"/>
              <w:rPr>
                <w:sz w:val="20"/>
                <w:szCs w:val="20"/>
                <w:color w:val="auto"/>
              </w:rPr>
            </w:pPr>
            <w:r>
              <w:rPr>
                <w:rFonts w:ascii="Arial" w:cs="Arial" w:eastAsia="Arial" w:hAnsi="Arial"/>
                <w:sz w:val="19"/>
                <w:szCs w:val="19"/>
                <w:color w:val="auto"/>
              </w:rPr>
              <w:t>Accelerated filer</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8"/>
        </w:trPr>
        <w:tc>
          <w:tcPr>
            <w:tcW w:w="2780" w:type="dxa"/>
            <w:vAlign w:val="bottom"/>
          </w:tcPr>
          <w:p>
            <w:pPr>
              <w:spacing w:after="0"/>
              <w:rPr>
                <w:sz w:val="20"/>
                <w:szCs w:val="20"/>
                <w:color w:val="auto"/>
              </w:rPr>
            </w:pPr>
            <w:r>
              <w:rPr>
                <w:rFonts w:ascii="Arial" w:cs="Arial" w:eastAsia="Arial" w:hAnsi="Arial"/>
                <w:sz w:val="19"/>
                <w:szCs w:val="19"/>
                <w:color w:val="auto"/>
              </w:rPr>
              <w:t>Non-accelerated filer</w:t>
            </w:r>
          </w:p>
        </w:tc>
        <w:tc>
          <w:tcPr>
            <w:tcW w:w="2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000"/>
              <w:spacing w:after="0"/>
              <w:rPr>
                <w:sz w:val="20"/>
                <w:szCs w:val="20"/>
                <w:color w:val="auto"/>
              </w:rPr>
            </w:pPr>
            <w:r>
              <w:rPr>
                <w:rFonts w:ascii="Arial" w:cs="Arial" w:eastAsia="Arial" w:hAnsi="Arial"/>
                <w:sz w:val="19"/>
                <w:szCs w:val="19"/>
                <w:color w:val="auto"/>
              </w:rPr>
              <w:t>Smaller reporting company</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8"/>
        </w:trPr>
        <w:tc>
          <w:tcPr>
            <w:tcW w:w="2780" w:type="dxa"/>
            <w:vAlign w:val="bottom"/>
          </w:tcPr>
          <w:p>
            <w:pPr>
              <w:spacing w:after="0"/>
              <w:rPr>
                <w:sz w:val="20"/>
                <w:szCs w:val="20"/>
                <w:color w:val="auto"/>
              </w:rPr>
            </w:pPr>
            <w:r>
              <w:rPr>
                <w:rFonts w:ascii="Arial" w:cs="Arial" w:eastAsia="Arial" w:hAnsi="Arial"/>
                <w:sz w:val="19"/>
                <w:szCs w:val="19"/>
                <w:color w:val="auto"/>
              </w:rPr>
              <w:t>Emerging growth company</w:t>
            </w:r>
          </w:p>
        </w:tc>
        <w:tc>
          <w:tcPr>
            <w:tcW w:w="2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66" w:lineRule="exact"/>
        <w:rPr>
          <w:sz w:val="24"/>
          <w:szCs w:val="24"/>
          <w:color w:val="auto"/>
        </w:rPr>
      </w:pPr>
    </w:p>
    <w:p>
      <w:pPr>
        <w:ind w:right="20"/>
        <w:spacing w:after="0" w:line="220"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Securities Act. </w:t>
      </w:r>
      <w:r>
        <w:rPr>
          <w:rFonts w:ascii="MS PGothic" w:cs="MS PGothic" w:eastAsia="MS PGothic" w:hAnsi="MS PGothic"/>
          <w:sz w:val="17"/>
          <w:szCs w:val="17"/>
          <w:color w:val="auto"/>
        </w:rPr>
        <w:t>☐</w:t>
      </w:r>
      <w:r>
        <w:rPr>
          <w:rFonts w:ascii="Arial" w:cs="Arial" w:eastAsia="Arial" w:hAnsi="Arial"/>
          <w:sz w:val="19"/>
          <w:szCs w:val="19"/>
          <w:color w:val="auto"/>
        </w:rPr>
        <w:t xml:space="preserve"> Indicate by check mark whether the registrant is a shell company (as defined in Rule 12b-2 of the Exchange Act).</w:t>
      </w: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5700" w:type="dxa"/>
            <w:vAlign w:val="bottom"/>
            <w:gridSpan w:val="2"/>
          </w:tcPr>
          <w:p>
            <w:pPr>
              <w:ind w:left="5080"/>
              <w:spacing w:after="0" w:line="198" w:lineRule="exact"/>
              <w:rPr>
                <w:sz w:val="20"/>
                <w:szCs w:val="20"/>
                <w:color w:val="auto"/>
              </w:rPr>
            </w:pPr>
            <w:r>
              <w:rPr>
                <w:rFonts w:ascii="Arial" w:cs="Arial" w:eastAsia="Arial" w:hAnsi="Arial"/>
                <w:sz w:val="19"/>
                <w:szCs w:val="19"/>
                <w:color w:val="auto"/>
              </w:rPr>
              <w:t xml:space="preserve">Yes </w:t>
            </w:r>
            <w:r>
              <w:rPr>
                <w:rFonts w:ascii="MS PGothic" w:cs="MS PGothic" w:eastAsia="MS PGothic" w:hAnsi="MS PGothic"/>
                <w:sz w:val="17"/>
                <w:szCs w:val="17"/>
                <w:color w:val="auto"/>
              </w:rPr>
              <w:t>☐</w:t>
            </w:r>
          </w:p>
        </w:tc>
        <w:tc>
          <w:tcPr>
            <w:tcW w:w="5700" w:type="dxa"/>
            <w:vAlign w:val="bottom"/>
            <w:gridSpan w:val="2"/>
          </w:tcPr>
          <w:p>
            <w:pPr>
              <w:ind w:left="80"/>
              <w:spacing w:after="0" w:line="198" w:lineRule="exact"/>
              <w:rPr>
                <w:sz w:val="20"/>
                <w:szCs w:val="20"/>
                <w:color w:val="auto"/>
              </w:rPr>
            </w:pPr>
            <w:r>
              <w:rPr>
                <w:rFonts w:ascii="Arial" w:cs="Arial" w:eastAsia="Arial" w:hAnsi="Arial"/>
                <w:sz w:val="19"/>
                <w:szCs w:val="19"/>
                <w:color w:val="auto"/>
              </w:rPr>
              <w:t xml:space="preserve">No  </w:t>
            </w:r>
            <w:r>
              <w:rPr>
                <w:rFonts w:ascii="MS PGothic" w:cs="MS PGothic" w:eastAsia="MS PGothic" w:hAnsi="MS PGothic"/>
                <w:sz w:val="17"/>
                <w:szCs w:val="17"/>
                <w:color w:val="auto"/>
              </w:rPr>
              <w:t>☑</w:t>
            </w:r>
          </w:p>
        </w:tc>
        <w:tc>
          <w:tcPr>
            <w:tcW w:w="20" w:type="dxa"/>
            <w:vAlign w:val="bottom"/>
          </w:tcPr>
          <w:p>
            <w:pPr>
              <w:spacing w:after="0"/>
              <w:rPr>
                <w:sz w:val="17"/>
                <w:szCs w:val="17"/>
                <w:color w:val="auto"/>
              </w:rPr>
            </w:pPr>
          </w:p>
        </w:tc>
      </w:tr>
      <w:tr>
        <w:trPr>
          <w:trHeight w:val="239"/>
        </w:trPr>
        <w:tc>
          <w:tcPr>
            <w:tcW w:w="11420" w:type="dxa"/>
            <w:vAlign w:val="bottom"/>
            <w:gridSpan w:val="5"/>
          </w:tcPr>
          <w:p>
            <w:pPr>
              <w:spacing w:after="0"/>
              <w:rPr>
                <w:sz w:val="20"/>
                <w:szCs w:val="20"/>
                <w:color w:val="auto"/>
              </w:rPr>
            </w:pPr>
            <w:r>
              <w:rPr>
                <w:rFonts w:ascii="Arial" w:cs="Arial" w:eastAsia="Arial" w:hAnsi="Arial"/>
                <w:sz w:val="19"/>
                <w:szCs w:val="19"/>
                <w:color w:val="auto"/>
              </w:rPr>
              <w:t>Indicate the number of shares outstanding of each of the issuer’s classes of Common Stock, as of the latest practicable date.</w:t>
            </w:r>
          </w:p>
        </w:tc>
        <w:tc>
          <w:tcPr>
            <w:tcW w:w="20" w:type="dxa"/>
            <w:vAlign w:val="bottom"/>
          </w:tcPr>
          <w:p>
            <w:pPr>
              <w:spacing w:after="0"/>
              <w:rPr>
                <w:sz w:val="20"/>
                <w:szCs w:val="20"/>
                <w:color w:val="auto"/>
              </w:rPr>
            </w:pPr>
          </w:p>
        </w:tc>
      </w:tr>
      <w:tr>
        <w:trPr>
          <w:trHeight w:val="319"/>
        </w:trPr>
        <w:tc>
          <w:tcPr>
            <w:tcW w:w="20" w:type="dxa"/>
            <w:vAlign w:val="bottom"/>
          </w:tcPr>
          <w:p>
            <w:pPr>
              <w:spacing w:after="0"/>
              <w:rPr>
                <w:sz w:val="24"/>
                <w:szCs w:val="24"/>
                <w:color w:val="auto"/>
              </w:rPr>
            </w:pPr>
          </w:p>
        </w:tc>
        <w:tc>
          <w:tcPr>
            <w:tcW w:w="5700" w:type="dxa"/>
            <w:vAlign w:val="bottom"/>
            <w:gridSpan w:val="2"/>
          </w:tcPr>
          <w:p>
            <w:pPr>
              <w:jc w:val="center"/>
              <w:ind w:right="120"/>
              <w:spacing w:after="0"/>
              <w:rPr>
                <w:sz w:val="20"/>
                <w:szCs w:val="20"/>
                <w:color w:val="auto"/>
              </w:rPr>
            </w:pPr>
            <w:r>
              <w:rPr>
                <w:rFonts w:ascii="Arial" w:cs="Arial" w:eastAsia="Arial" w:hAnsi="Arial"/>
                <w:sz w:val="19"/>
                <w:szCs w:val="19"/>
                <w:b w:val="1"/>
                <w:bCs w:val="1"/>
                <w:color w:val="auto"/>
                <w:w w:val="82"/>
              </w:rPr>
              <w:t>Class</w:t>
            </w:r>
          </w:p>
        </w:tc>
        <w:tc>
          <w:tcPr>
            <w:tcW w:w="12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Arial" w:cs="Arial" w:eastAsia="Arial" w:hAnsi="Arial"/>
                <w:sz w:val="19"/>
                <w:szCs w:val="19"/>
                <w:b w:val="1"/>
                <w:bCs w:val="1"/>
                <w:color w:val="auto"/>
                <w:w w:val="88"/>
              </w:rPr>
              <w:t>Outstanding as of May 2, 2018</w:t>
            </w:r>
          </w:p>
        </w:tc>
        <w:tc>
          <w:tcPr>
            <w:tcW w:w="20" w:type="dxa"/>
            <w:vAlign w:val="bottom"/>
          </w:tcPr>
          <w:p>
            <w:pPr>
              <w:spacing w:after="0"/>
              <w:rPr>
                <w:sz w:val="24"/>
                <w:szCs w:val="24"/>
                <w:color w:val="auto"/>
              </w:rPr>
            </w:pPr>
          </w:p>
        </w:tc>
      </w:tr>
      <w:tr>
        <w:trPr>
          <w:trHeight w:val="232"/>
        </w:trPr>
        <w:tc>
          <w:tcPr>
            <w:tcW w:w="20" w:type="dxa"/>
            <w:vAlign w:val="bottom"/>
          </w:tcPr>
          <w:p>
            <w:pPr>
              <w:spacing w:after="0"/>
              <w:rPr>
                <w:sz w:val="20"/>
                <w:szCs w:val="20"/>
                <w:color w:val="auto"/>
              </w:rPr>
            </w:pPr>
          </w:p>
        </w:tc>
        <w:tc>
          <w:tcPr>
            <w:tcW w:w="5580" w:type="dxa"/>
            <w:vAlign w:val="bottom"/>
            <w:tcBorders>
              <w:top w:val="single" w:sz="8" w:color="auto"/>
            </w:tcBorders>
          </w:tcPr>
          <w:p>
            <w:pPr>
              <w:jc w:val="center"/>
              <w:spacing w:after="0"/>
              <w:rPr>
                <w:sz w:val="20"/>
                <w:szCs w:val="20"/>
                <w:color w:val="auto"/>
              </w:rPr>
            </w:pPr>
            <w:r>
              <w:rPr>
                <w:rFonts w:ascii="Arial" w:cs="Arial" w:eastAsia="Arial" w:hAnsi="Arial"/>
                <w:sz w:val="19"/>
                <w:szCs w:val="19"/>
                <w:color w:val="auto"/>
                <w:w w:val="89"/>
              </w:rPr>
              <w:t>Common Stock, $0.01 par 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80" w:type="dxa"/>
            <w:vAlign w:val="bottom"/>
            <w:tcBorders>
              <w:top w:val="single" w:sz="8" w:color="auto"/>
            </w:tcBorders>
          </w:tcPr>
          <w:p>
            <w:pPr>
              <w:jc w:val="right"/>
              <w:ind w:right="2266"/>
              <w:spacing w:after="0"/>
              <w:rPr>
                <w:sz w:val="20"/>
                <w:szCs w:val="20"/>
                <w:color w:val="auto"/>
              </w:rPr>
            </w:pPr>
            <w:r>
              <w:rPr>
                <w:rFonts w:ascii="Arial" w:cs="Arial" w:eastAsia="Arial" w:hAnsi="Arial"/>
                <w:sz w:val="19"/>
                <w:szCs w:val="19"/>
                <w:color w:val="auto"/>
              </w:rPr>
              <w:t>62,951,453</w:t>
            </w:r>
          </w:p>
        </w:tc>
        <w:tc>
          <w:tcPr>
            <w:tcW w:w="20" w:type="dxa"/>
            <w:vAlign w:val="bottom"/>
          </w:tcPr>
          <w:p>
            <w:pPr>
              <w:spacing w:after="0"/>
              <w:rPr>
                <w:sz w:val="20"/>
                <w:szCs w:val="20"/>
                <w:color w:val="auto"/>
              </w:rPr>
            </w:pPr>
          </w:p>
        </w:tc>
      </w:tr>
      <w:tr>
        <w:trPr>
          <w:trHeight w:val="149"/>
        </w:trPr>
        <w:tc>
          <w:tcPr>
            <w:tcW w:w="20" w:type="dxa"/>
            <w:vAlign w:val="bottom"/>
          </w:tcPr>
          <w:p>
            <w:pPr>
              <w:spacing w:after="0"/>
              <w:rPr>
                <w:sz w:val="12"/>
                <w:szCs w:val="12"/>
                <w:color w:val="auto"/>
              </w:rPr>
            </w:pPr>
          </w:p>
        </w:tc>
        <w:tc>
          <w:tcPr>
            <w:tcW w:w="55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5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776"/>
        </w:trPr>
        <w:tc>
          <w:tcPr>
            <w:tcW w:w="20" w:type="dxa"/>
            <w:vAlign w:val="bottom"/>
          </w:tcPr>
          <w:p>
            <w:pPr>
              <w:spacing w:after="0"/>
              <w:rPr>
                <w:sz w:val="24"/>
                <w:szCs w:val="24"/>
                <w:color w:val="auto"/>
              </w:rPr>
            </w:pPr>
          </w:p>
        </w:tc>
        <w:tc>
          <w:tcPr>
            <w:tcW w:w="5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595" w:right="2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2018</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0860" w:type="dxa"/>
            <w:vAlign w:val="bottom"/>
            <w:gridSpan w:val="18"/>
            <w:vMerge w:val="restart"/>
          </w:tcPr>
          <w:p>
            <w:pPr>
              <w:spacing w:after="0"/>
              <w:rPr>
                <w:sz w:val="20"/>
                <w:szCs w:val="20"/>
                <w:color w:val="auto"/>
              </w:rPr>
            </w:pPr>
            <w:r>
              <w:rPr>
                <w:rFonts w:ascii="Arial" w:cs="Arial" w:eastAsia="Arial" w:hAnsi="Arial"/>
                <w:sz w:val="20"/>
                <w:szCs w:val="20"/>
                <w:color w:val="auto"/>
              </w:rPr>
              <w:t>Part I. Financial Information:</w:t>
            </w:r>
          </w:p>
        </w:tc>
        <w:tc>
          <w:tcPr>
            <w:tcW w:w="560" w:type="dxa"/>
            <w:vAlign w:val="bottom"/>
            <w:tcBorders>
              <w:bottom w:val="single" w:sz="8" w:color="auto"/>
            </w:tcBorders>
          </w:tcPr>
          <w:p>
            <w:pPr>
              <w:jc w:val="right"/>
              <w:ind w:right="62"/>
              <w:spacing w:after="0"/>
              <w:rPr>
                <w:sz w:val="20"/>
                <w:szCs w:val="20"/>
                <w:color w:val="auto"/>
              </w:rPr>
            </w:pPr>
            <w:r>
              <w:rPr>
                <w:rFonts w:ascii="Arial" w:cs="Arial" w:eastAsia="Arial" w:hAnsi="Arial"/>
                <w:sz w:val="20"/>
                <w:szCs w:val="20"/>
                <w:color w:val="auto"/>
                <w:w w:val="81"/>
              </w:rPr>
              <w:t>Page</w:t>
            </w:r>
          </w:p>
        </w:tc>
        <w:tc>
          <w:tcPr>
            <w:tcW w:w="0" w:type="dxa"/>
            <w:vAlign w:val="bottom"/>
          </w:tcPr>
          <w:p>
            <w:pPr>
              <w:spacing w:after="0"/>
              <w:rPr>
                <w:sz w:val="1"/>
                <w:szCs w:val="1"/>
                <w:color w:val="auto"/>
              </w:rPr>
            </w:pPr>
          </w:p>
        </w:tc>
      </w:tr>
      <w:tr>
        <w:trPr>
          <w:trHeight w:val="225"/>
        </w:trPr>
        <w:tc>
          <w:tcPr>
            <w:tcW w:w="10860" w:type="dxa"/>
            <w:vAlign w:val="bottom"/>
            <w:gridSpan w:val="18"/>
            <w:vMerge w:val="continue"/>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220" w:type="dxa"/>
            <w:vAlign w:val="bottom"/>
          </w:tcPr>
          <w:p>
            <w:pPr>
              <w:spacing w:after="0"/>
              <w:rPr>
                <w:sz w:val="24"/>
                <w:szCs w:val="24"/>
                <w:color w:val="auto"/>
              </w:rPr>
            </w:pPr>
          </w:p>
        </w:tc>
        <w:tc>
          <w:tcPr>
            <w:tcW w:w="10640" w:type="dxa"/>
            <w:vAlign w:val="bottom"/>
            <w:gridSpan w:val="17"/>
          </w:tcPr>
          <w:p>
            <w:pPr>
              <w:spacing w:after="0"/>
              <w:rPr>
                <w:rFonts w:ascii="Arial" w:cs="Arial" w:eastAsia="Arial" w:hAnsi="Arial"/>
                <w:sz w:val="20"/>
                <w:szCs w:val="20"/>
                <w:color w:val="0000EE"/>
              </w:rPr>
            </w:pPr>
            <w:hyperlink w:anchor="page3">
              <w:r>
                <w:rPr>
                  <w:rFonts w:ascii="Arial" w:cs="Arial" w:eastAsia="Arial" w:hAnsi="Arial"/>
                  <w:sz w:val="20"/>
                  <w:szCs w:val="20"/>
                  <w:color w:val="0000EE"/>
                </w:rPr>
                <w:t>Item 1. Financial Statements</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20" w:type="dxa"/>
            <w:vAlign w:val="bottom"/>
            <w:gridSpan w:val="16"/>
          </w:tcPr>
          <w:p>
            <w:pPr>
              <w:spacing w:after="0"/>
              <w:rPr>
                <w:rFonts w:ascii="Arial" w:cs="Arial" w:eastAsia="Arial" w:hAnsi="Arial"/>
                <w:sz w:val="20"/>
                <w:szCs w:val="20"/>
                <w:color w:val="0000EE"/>
              </w:rPr>
            </w:pPr>
            <w:hyperlink w:anchor="page3">
              <w:r>
                <w:rPr>
                  <w:rFonts w:ascii="Arial" w:cs="Arial" w:eastAsia="Arial" w:hAnsi="Arial"/>
                  <w:sz w:val="20"/>
                  <w:szCs w:val="20"/>
                  <w:color w:val="0000EE"/>
                </w:rPr>
                <w:t>Consolidated Balance Sheets – March 31, 2018, December 31, 2017 and March 31, 2017</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0" w:type="dxa"/>
            <w:vAlign w:val="bottom"/>
            <w:tcBorders>
              <w:bottom w:val="single" w:sz="8" w:color="0000EE"/>
            </w:tcBorders>
            <w:gridSpan w:val="15"/>
          </w:tcPr>
          <w:p>
            <w:pPr>
              <w:spacing w:after="0"/>
              <w:rPr>
                <w:rFonts w:ascii="Arial" w:cs="Arial" w:eastAsia="Arial" w:hAnsi="Arial"/>
                <w:sz w:val="20"/>
                <w:szCs w:val="20"/>
                <w:color w:val="0000EE"/>
                <w:w w:val="88"/>
              </w:rPr>
            </w:pPr>
            <w:hyperlink w:anchor="page4">
              <w:r>
                <w:rPr>
                  <w:rFonts w:ascii="Arial" w:cs="Arial" w:eastAsia="Arial" w:hAnsi="Arial"/>
                  <w:sz w:val="20"/>
                  <w:szCs w:val="20"/>
                  <w:color w:val="0000EE"/>
                  <w:w w:val="88"/>
                </w:rPr>
                <w:t>Consolidated Statements of Earnings and Comprehensive Earnings – Three-Months Ended March 31, 2018 and 2017</w:t>
              </w:r>
            </w:hyperlink>
          </w:p>
        </w:tc>
        <w:tc>
          <w:tcPr>
            <w:tcW w:w="1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328"/>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60" w:type="dxa"/>
            <w:vAlign w:val="bottom"/>
            <w:tcBorders>
              <w:bottom w:val="single" w:sz="8" w:color="0000EE"/>
            </w:tcBorders>
            <w:gridSpan w:val="13"/>
          </w:tcPr>
          <w:p>
            <w:pPr>
              <w:spacing w:after="0"/>
              <w:rPr>
                <w:rFonts w:ascii="Arial" w:cs="Arial" w:eastAsia="Arial" w:hAnsi="Arial"/>
                <w:sz w:val="20"/>
                <w:szCs w:val="20"/>
                <w:color w:val="0000EE"/>
                <w:w w:val="88"/>
              </w:rPr>
            </w:pPr>
            <w:hyperlink w:anchor="page5">
              <w:r>
                <w:rPr>
                  <w:rFonts w:ascii="Arial" w:cs="Arial" w:eastAsia="Arial" w:hAnsi="Arial"/>
                  <w:sz w:val="20"/>
                  <w:szCs w:val="20"/>
                  <w:color w:val="0000EE"/>
                  <w:w w:val="88"/>
                </w:rPr>
                <w:t>Consolidated Statements of Cash Flows – Three-Months Ended March 31, 2018 and 2017</w:t>
              </w:r>
            </w:hyperlink>
          </w:p>
        </w:tc>
        <w:tc>
          <w:tcPr>
            <w:tcW w:w="3360" w:type="dxa"/>
            <w:vAlign w:val="bottom"/>
            <w:gridSpan w:val="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328"/>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20" w:type="dxa"/>
            <w:vAlign w:val="bottom"/>
            <w:gridSpan w:val="16"/>
          </w:tcPr>
          <w:p>
            <w:pPr>
              <w:spacing w:after="0"/>
              <w:rPr>
                <w:rFonts w:ascii="Arial" w:cs="Arial" w:eastAsia="Arial" w:hAnsi="Arial"/>
                <w:sz w:val="20"/>
                <w:szCs w:val="20"/>
                <w:color w:val="0000EE"/>
              </w:rPr>
            </w:pPr>
            <w:hyperlink w:anchor="page6">
              <w:r>
                <w:rPr>
                  <w:rFonts w:ascii="Arial" w:cs="Arial" w:eastAsia="Arial" w:hAnsi="Arial"/>
                  <w:sz w:val="20"/>
                  <w:szCs w:val="20"/>
                  <w:color w:val="0000EE"/>
                </w:rPr>
                <w:t>Consolidated Statement of Total Equity – Three-Months Ended March 31, 2018</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328"/>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60" w:type="dxa"/>
            <w:vAlign w:val="bottom"/>
            <w:tcBorders>
              <w:top w:val="single" w:sz="8" w:color="0000EE"/>
            </w:tcBorders>
            <w:gridSpan w:val="11"/>
          </w:tcPr>
          <w:p>
            <w:pPr>
              <w:spacing w:after="0"/>
              <w:rPr>
                <w:rFonts w:ascii="Arial" w:cs="Arial" w:eastAsia="Arial" w:hAnsi="Arial"/>
                <w:sz w:val="20"/>
                <w:szCs w:val="20"/>
                <w:color w:val="0000EE"/>
              </w:rPr>
            </w:pPr>
            <w:hyperlink w:anchor="page7">
              <w:r>
                <w:rPr>
                  <w:rFonts w:ascii="Arial" w:cs="Arial" w:eastAsia="Arial" w:hAnsi="Arial"/>
                  <w:sz w:val="20"/>
                  <w:szCs w:val="20"/>
                  <w:color w:val="0000EE"/>
                </w:rPr>
                <w:t>Notes to Consolidated Financial Statements</w:t>
              </w:r>
            </w:hyperlink>
          </w:p>
        </w:tc>
        <w:tc>
          <w:tcPr>
            <w:tcW w:w="4160" w:type="dxa"/>
            <w:vAlign w:val="bottom"/>
            <w:gridSpan w:val="5"/>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20" w:type="dxa"/>
            <w:vAlign w:val="bottom"/>
          </w:tcPr>
          <w:p>
            <w:pPr>
              <w:spacing w:after="0"/>
              <w:rPr>
                <w:sz w:val="24"/>
                <w:szCs w:val="24"/>
                <w:color w:val="auto"/>
              </w:rPr>
            </w:pPr>
          </w:p>
        </w:tc>
        <w:tc>
          <w:tcPr>
            <w:tcW w:w="10640" w:type="dxa"/>
            <w:vAlign w:val="bottom"/>
            <w:gridSpan w:val="17"/>
          </w:tcPr>
          <w:p>
            <w:pPr>
              <w:spacing w:after="0"/>
              <w:rPr>
                <w:rFonts w:ascii="Arial" w:cs="Arial" w:eastAsia="Arial" w:hAnsi="Arial"/>
                <w:sz w:val="20"/>
                <w:szCs w:val="20"/>
                <w:color w:val="0000EE"/>
              </w:rPr>
            </w:pPr>
            <w:hyperlink w:anchor="page24">
              <w:r>
                <w:rPr>
                  <w:rFonts w:ascii="Arial" w:cs="Arial" w:eastAsia="Arial" w:hAnsi="Arial"/>
                  <w:sz w:val="20"/>
                  <w:szCs w:val="20"/>
                  <w:color w:val="0000EE"/>
                </w:rPr>
                <w:t>Item 2. Management’s Discussion and Analysis of Financial Condition and Results of Operations</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24</w:t>
            </w:r>
          </w:p>
        </w:tc>
        <w:tc>
          <w:tcPr>
            <w:tcW w:w="0" w:type="dxa"/>
            <w:vAlign w:val="bottom"/>
          </w:tcPr>
          <w:p>
            <w:pPr>
              <w:spacing w:after="0"/>
              <w:rPr>
                <w:sz w:val="1"/>
                <w:szCs w:val="1"/>
                <w:color w:val="auto"/>
              </w:rPr>
            </w:pPr>
          </w:p>
        </w:tc>
      </w:tr>
      <w:tr>
        <w:trPr>
          <w:trHeight w:val="328"/>
        </w:trPr>
        <w:tc>
          <w:tcPr>
            <w:tcW w:w="220" w:type="dxa"/>
            <w:vAlign w:val="bottom"/>
          </w:tcPr>
          <w:p>
            <w:pPr>
              <w:spacing w:after="0"/>
              <w:rPr>
                <w:sz w:val="24"/>
                <w:szCs w:val="24"/>
                <w:color w:val="auto"/>
              </w:rPr>
            </w:pPr>
          </w:p>
        </w:tc>
        <w:tc>
          <w:tcPr>
            <w:tcW w:w="5360" w:type="dxa"/>
            <w:vAlign w:val="bottom"/>
            <w:tcBorders>
              <w:top w:val="single" w:sz="8" w:color="0000EE"/>
              <w:bottom w:val="single" w:sz="8" w:color="0000EE"/>
            </w:tcBorders>
            <w:gridSpan w:val="11"/>
          </w:tcPr>
          <w:p>
            <w:pPr>
              <w:spacing w:after="0"/>
              <w:rPr>
                <w:rFonts w:ascii="Arial" w:cs="Arial" w:eastAsia="Arial" w:hAnsi="Arial"/>
                <w:sz w:val="20"/>
                <w:szCs w:val="20"/>
                <w:color w:val="0000EE"/>
                <w:w w:val="90"/>
              </w:rPr>
            </w:pPr>
            <w:hyperlink w:anchor="page38">
              <w:r>
                <w:rPr>
                  <w:rFonts w:ascii="Arial" w:cs="Arial" w:eastAsia="Arial" w:hAnsi="Arial"/>
                  <w:sz w:val="20"/>
                  <w:szCs w:val="20"/>
                  <w:color w:val="0000EE"/>
                  <w:w w:val="90"/>
                </w:rPr>
                <w:t>Item 3. Quantitative and Qualitative Disclosures About Market Risk</w:t>
              </w:r>
            </w:hyperlink>
          </w:p>
        </w:tc>
        <w:tc>
          <w:tcPr>
            <w:tcW w:w="2280" w:type="dxa"/>
            <w:vAlign w:val="bottom"/>
            <w:tcBorders>
              <w:top w:val="single" w:sz="8" w:color="0000EE"/>
            </w:tcBorders>
            <w:gridSpan w:val="4"/>
          </w:tcPr>
          <w:p>
            <w:pPr>
              <w:spacing w:after="0"/>
              <w:rPr>
                <w:sz w:val="24"/>
                <w:szCs w:val="24"/>
                <w:color w:val="auto"/>
              </w:rPr>
            </w:pPr>
          </w:p>
        </w:tc>
        <w:tc>
          <w:tcPr>
            <w:tcW w:w="3000" w:type="dxa"/>
            <w:vAlign w:val="bottom"/>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38</w:t>
            </w:r>
          </w:p>
        </w:tc>
        <w:tc>
          <w:tcPr>
            <w:tcW w:w="0" w:type="dxa"/>
            <w:vAlign w:val="bottom"/>
          </w:tcPr>
          <w:p>
            <w:pPr>
              <w:spacing w:after="0"/>
              <w:rPr>
                <w:sz w:val="1"/>
                <w:szCs w:val="1"/>
                <w:color w:val="auto"/>
              </w:rPr>
            </w:pPr>
          </w:p>
        </w:tc>
      </w:tr>
      <w:tr>
        <w:trPr>
          <w:trHeight w:val="328"/>
        </w:trPr>
        <w:tc>
          <w:tcPr>
            <w:tcW w:w="220" w:type="dxa"/>
            <w:vAlign w:val="bottom"/>
          </w:tcPr>
          <w:p>
            <w:pPr>
              <w:spacing w:after="0"/>
              <w:rPr>
                <w:sz w:val="24"/>
                <w:szCs w:val="24"/>
                <w:color w:val="auto"/>
              </w:rPr>
            </w:pPr>
          </w:p>
        </w:tc>
        <w:tc>
          <w:tcPr>
            <w:tcW w:w="2540" w:type="dxa"/>
            <w:vAlign w:val="bottom"/>
            <w:tcBorders>
              <w:bottom w:val="single" w:sz="8" w:color="0000EE"/>
            </w:tcBorders>
            <w:gridSpan w:val="8"/>
          </w:tcPr>
          <w:p>
            <w:pPr>
              <w:spacing w:after="0"/>
              <w:rPr>
                <w:rFonts w:ascii="Arial" w:cs="Arial" w:eastAsia="Arial" w:hAnsi="Arial"/>
                <w:sz w:val="20"/>
                <w:szCs w:val="20"/>
                <w:color w:val="0000EE"/>
                <w:w w:val="87"/>
              </w:rPr>
            </w:pPr>
            <w:hyperlink w:anchor="page39">
              <w:r>
                <w:rPr>
                  <w:rFonts w:ascii="Arial" w:cs="Arial" w:eastAsia="Arial" w:hAnsi="Arial"/>
                  <w:sz w:val="20"/>
                  <w:szCs w:val="20"/>
                  <w:color w:val="0000EE"/>
                  <w:w w:val="87"/>
                </w:rPr>
                <w:t>Item 4. Controls and Procedures</w:t>
              </w:r>
            </w:hyperlink>
          </w:p>
        </w:tc>
        <w:tc>
          <w:tcPr>
            <w:tcW w:w="8100" w:type="dxa"/>
            <w:vAlign w:val="bottom"/>
            <w:gridSpan w:val="9"/>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39</w:t>
            </w:r>
          </w:p>
        </w:tc>
        <w:tc>
          <w:tcPr>
            <w:tcW w:w="0" w:type="dxa"/>
            <w:vAlign w:val="bottom"/>
          </w:tcPr>
          <w:p>
            <w:pPr>
              <w:spacing w:after="0"/>
              <w:rPr>
                <w:sz w:val="1"/>
                <w:szCs w:val="1"/>
                <w:color w:val="auto"/>
              </w:rPr>
            </w:pPr>
          </w:p>
        </w:tc>
      </w:tr>
      <w:tr>
        <w:trPr>
          <w:trHeight w:val="373"/>
        </w:trPr>
        <w:tc>
          <w:tcPr>
            <w:tcW w:w="10860" w:type="dxa"/>
            <w:vAlign w:val="bottom"/>
            <w:gridSpan w:val="18"/>
          </w:tcPr>
          <w:p>
            <w:pPr>
              <w:spacing w:after="0"/>
              <w:rPr>
                <w:sz w:val="20"/>
                <w:szCs w:val="20"/>
                <w:color w:val="auto"/>
              </w:rPr>
            </w:pPr>
            <w:r>
              <w:rPr>
                <w:rFonts w:ascii="Arial" w:cs="Arial" w:eastAsia="Arial" w:hAnsi="Arial"/>
                <w:sz w:val="20"/>
                <w:szCs w:val="20"/>
                <w:color w:val="auto"/>
              </w:rPr>
              <w:t>Part II. Other Information: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spacing w:after="0"/>
              <w:rPr>
                <w:sz w:val="24"/>
                <w:szCs w:val="24"/>
                <w:color w:val="auto"/>
              </w:rPr>
            </w:pPr>
          </w:p>
        </w:tc>
        <w:tc>
          <w:tcPr>
            <w:tcW w:w="580" w:type="dxa"/>
            <w:vAlign w:val="bottom"/>
            <w:tcBorders>
              <w:bottom w:val="single" w:sz="8" w:color="0000EE"/>
            </w:tcBorders>
            <w:gridSpan w:val="2"/>
          </w:tcPr>
          <w:p>
            <w:pPr>
              <w:spacing w:after="0"/>
              <w:rPr>
                <w:rFonts w:ascii="Arial" w:cs="Arial" w:eastAsia="Arial" w:hAnsi="Arial"/>
                <w:sz w:val="20"/>
                <w:szCs w:val="20"/>
                <w:color w:val="0000EE"/>
                <w:w w:val="91"/>
              </w:rPr>
            </w:pPr>
            <w:hyperlink w:anchor="page40">
              <w:r>
                <w:rPr>
                  <w:rFonts w:ascii="Arial" w:cs="Arial" w:eastAsia="Arial" w:hAnsi="Arial"/>
                  <w:sz w:val="20"/>
                  <w:szCs w:val="20"/>
                  <w:color w:val="0000EE"/>
                  <w:w w:val="91"/>
                </w:rPr>
                <w:t>Item 1.</w:t>
              </w:r>
            </w:hyperlink>
          </w:p>
        </w:tc>
        <w:tc>
          <w:tcPr>
            <w:tcW w:w="1480" w:type="dxa"/>
            <w:vAlign w:val="bottom"/>
            <w:tcBorders>
              <w:bottom w:val="single" w:sz="8" w:color="0000EE"/>
            </w:tcBorders>
            <w:gridSpan w:val="4"/>
          </w:tcPr>
          <w:p>
            <w:pPr>
              <w:ind w:left="20"/>
              <w:spacing w:after="0"/>
              <w:rPr>
                <w:rFonts w:ascii="Arial" w:cs="Arial" w:eastAsia="Arial" w:hAnsi="Arial"/>
                <w:sz w:val="20"/>
                <w:szCs w:val="20"/>
                <w:color w:val="0000EE"/>
                <w:w w:val="86"/>
              </w:rPr>
            </w:pPr>
            <w:hyperlink w:anchor="page40">
              <w:r>
                <w:rPr>
                  <w:rFonts w:ascii="Arial" w:cs="Arial" w:eastAsia="Arial" w:hAnsi="Arial"/>
                  <w:sz w:val="20"/>
                  <w:szCs w:val="20"/>
                  <w:color w:val="0000EE"/>
                  <w:w w:val="86"/>
                </w:rPr>
                <w:t>Legal Proceedings</w:t>
              </w:r>
            </w:hyperlink>
          </w:p>
        </w:tc>
        <w:tc>
          <w:tcPr>
            <w:tcW w:w="8580" w:type="dxa"/>
            <w:vAlign w:val="bottom"/>
            <w:gridSpan w:val="11"/>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40</w:t>
            </w:r>
          </w:p>
        </w:tc>
        <w:tc>
          <w:tcPr>
            <w:tcW w:w="0" w:type="dxa"/>
            <w:vAlign w:val="bottom"/>
          </w:tcPr>
          <w:p>
            <w:pPr>
              <w:spacing w:after="0"/>
              <w:rPr>
                <w:sz w:val="1"/>
                <w:szCs w:val="1"/>
                <w:color w:val="auto"/>
              </w:rPr>
            </w:pPr>
          </w:p>
        </w:tc>
      </w:tr>
      <w:tr>
        <w:trPr>
          <w:trHeight w:val="328"/>
        </w:trPr>
        <w:tc>
          <w:tcPr>
            <w:tcW w:w="220" w:type="dxa"/>
            <w:vAlign w:val="bottom"/>
          </w:tcPr>
          <w:p>
            <w:pPr>
              <w:spacing w:after="0"/>
              <w:rPr>
                <w:sz w:val="24"/>
                <w:szCs w:val="24"/>
                <w:color w:val="auto"/>
              </w:rPr>
            </w:pPr>
          </w:p>
        </w:tc>
        <w:tc>
          <w:tcPr>
            <w:tcW w:w="1740" w:type="dxa"/>
            <w:vAlign w:val="bottom"/>
            <w:tcBorders>
              <w:bottom w:val="single" w:sz="8" w:color="0000EE"/>
            </w:tcBorders>
            <w:gridSpan w:val="5"/>
          </w:tcPr>
          <w:p>
            <w:pPr>
              <w:spacing w:after="0"/>
              <w:rPr>
                <w:rFonts w:ascii="Arial" w:cs="Arial" w:eastAsia="Arial" w:hAnsi="Arial"/>
                <w:sz w:val="20"/>
                <w:szCs w:val="20"/>
                <w:color w:val="0000EE"/>
                <w:w w:val="89"/>
              </w:rPr>
            </w:pPr>
            <w:hyperlink w:anchor="page40">
              <w:r>
                <w:rPr>
                  <w:rFonts w:ascii="Arial" w:cs="Arial" w:eastAsia="Arial" w:hAnsi="Arial"/>
                  <w:sz w:val="20"/>
                  <w:szCs w:val="20"/>
                  <w:color w:val="0000EE"/>
                  <w:w w:val="89"/>
                </w:rPr>
                <w:t>Item 1A. Risk Factors</w:t>
              </w:r>
            </w:hyperlink>
          </w:p>
        </w:tc>
        <w:tc>
          <w:tcPr>
            <w:tcW w:w="8900" w:type="dxa"/>
            <w:vAlign w:val="bottom"/>
            <w:gridSpan w:val="12"/>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40</w:t>
            </w:r>
          </w:p>
        </w:tc>
        <w:tc>
          <w:tcPr>
            <w:tcW w:w="0" w:type="dxa"/>
            <w:vAlign w:val="bottom"/>
          </w:tcPr>
          <w:p>
            <w:pPr>
              <w:spacing w:after="0"/>
              <w:rPr>
                <w:sz w:val="1"/>
                <w:szCs w:val="1"/>
                <w:color w:val="auto"/>
              </w:rPr>
            </w:pPr>
          </w:p>
        </w:tc>
      </w:tr>
      <w:tr>
        <w:trPr>
          <w:trHeight w:val="328"/>
        </w:trPr>
        <w:tc>
          <w:tcPr>
            <w:tcW w:w="220" w:type="dxa"/>
            <w:vAlign w:val="bottom"/>
          </w:tcPr>
          <w:p>
            <w:pPr>
              <w:spacing w:after="0"/>
              <w:rPr>
                <w:sz w:val="24"/>
                <w:szCs w:val="24"/>
                <w:color w:val="auto"/>
              </w:rPr>
            </w:pPr>
          </w:p>
        </w:tc>
        <w:tc>
          <w:tcPr>
            <w:tcW w:w="580" w:type="dxa"/>
            <w:vAlign w:val="bottom"/>
            <w:gridSpan w:val="2"/>
          </w:tcPr>
          <w:p>
            <w:pPr>
              <w:spacing w:after="0"/>
              <w:rPr>
                <w:rFonts w:ascii="Arial" w:cs="Arial" w:eastAsia="Arial" w:hAnsi="Arial"/>
                <w:sz w:val="20"/>
                <w:szCs w:val="20"/>
                <w:color w:val="0000EE"/>
                <w:w w:val="91"/>
              </w:rPr>
            </w:pPr>
            <w:hyperlink w:anchor="page40">
              <w:r>
                <w:rPr>
                  <w:rFonts w:ascii="Arial" w:cs="Arial" w:eastAsia="Arial" w:hAnsi="Arial"/>
                  <w:sz w:val="20"/>
                  <w:szCs w:val="20"/>
                  <w:color w:val="0000EE"/>
                  <w:w w:val="91"/>
                </w:rPr>
                <w:t>Item 2.</w:t>
              </w:r>
            </w:hyperlink>
          </w:p>
        </w:tc>
        <w:tc>
          <w:tcPr>
            <w:tcW w:w="10060" w:type="dxa"/>
            <w:vAlign w:val="bottom"/>
            <w:gridSpan w:val="15"/>
          </w:tcPr>
          <w:p>
            <w:pPr>
              <w:ind w:left="20"/>
              <w:spacing w:after="0"/>
              <w:rPr>
                <w:rFonts w:ascii="Arial" w:cs="Arial" w:eastAsia="Arial" w:hAnsi="Arial"/>
                <w:sz w:val="20"/>
                <w:szCs w:val="20"/>
                <w:color w:val="0000EE"/>
              </w:rPr>
            </w:pPr>
            <w:hyperlink w:anchor="page40">
              <w:r>
                <w:rPr>
                  <w:rFonts w:ascii="Arial" w:cs="Arial" w:eastAsia="Arial" w:hAnsi="Arial"/>
                  <w:sz w:val="20"/>
                  <w:szCs w:val="20"/>
                  <w:color w:val="0000EE"/>
                </w:rPr>
                <w:t>Unregistered Sales of Equity Securities and Use of Proceeds</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40</w:t>
            </w:r>
          </w:p>
        </w:tc>
        <w:tc>
          <w:tcPr>
            <w:tcW w:w="0" w:type="dxa"/>
            <w:vAlign w:val="bottom"/>
          </w:tcPr>
          <w:p>
            <w:pPr>
              <w:spacing w:after="0"/>
              <w:rPr>
                <w:sz w:val="1"/>
                <w:szCs w:val="1"/>
                <w:color w:val="auto"/>
              </w:rPr>
            </w:pPr>
          </w:p>
        </w:tc>
      </w:tr>
      <w:tr>
        <w:trPr>
          <w:trHeight w:val="328"/>
        </w:trPr>
        <w:tc>
          <w:tcPr>
            <w:tcW w:w="220" w:type="dxa"/>
            <w:vAlign w:val="bottom"/>
          </w:tcPr>
          <w:p>
            <w:pPr>
              <w:spacing w:after="0"/>
              <w:rPr>
                <w:sz w:val="24"/>
                <w:szCs w:val="24"/>
                <w:color w:val="auto"/>
              </w:rPr>
            </w:pPr>
          </w:p>
        </w:tc>
        <w:tc>
          <w:tcPr>
            <w:tcW w:w="580" w:type="dxa"/>
            <w:vAlign w:val="bottom"/>
            <w:tcBorders>
              <w:top w:val="single" w:sz="8" w:color="0000EE"/>
              <w:bottom w:val="single" w:sz="8" w:color="0000EE"/>
            </w:tcBorders>
            <w:gridSpan w:val="2"/>
          </w:tcPr>
          <w:p>
            <w:pPr>
              <w:spacing w:after="0"/>
              <w:rPr>
                <w:rFonts w:ascii="Arial" w:cs="Arial" w:eastAsia="Arial" w:hAnsi="Arial"/>
                <w:sz w:val="20"/>
                <w:szCs w:val="20"/>
                <w:color w:val="0000EE"/>
                <w:w w:val="91"/>
              </w:rPr>
            </w:pPr>
            <w:hyperlink w:anchor="page40">
              <w:r>
                <w:rPr>
                  <w:rFonts w:ascii="Arial" w:cs="Arial" w:eastAsia="Arial" w:hAnsi="Arial"/>
                  <w:sz w:val="20"/>
                  <w:szCs w:val="20"/>
                  <w:color w:val="0000EE"/>
                  <w:w w:val="91"/>
                </w:rPr>
                <w:t>Item 4.</w:t>
              </w:r>
            </w:hyperlink>
          </w:p>
        </w:tc>
        <w:tc>
          <w:tcPr>
            <w:tcW w:w="1960" w:type="dxa"/>
            <w:vAlign w:val="bottom"/>
            <w:tcBorders>
              <w:top w:val="single" w:sz="8" w:color="0000EE"/>
              <w:bottom w:val="single" w:sz="8" w:color="0000EE"/>
            </w:tcBorders>
            <w:gridSpan w:val="6"/>
          </w:tcPr>
          <w:p>
            <w:pPr>
              <w:ind w:left="20"/>
              <w:spacing w:after="0"/>
              <w:rPr>
                <w:rFonts w:ascii="Arial" w:cs="Arial" w:eastAsia="Arial" w:hAnsi="Arial"/>
                <w:sz w:val="20"/>
                <w:szCs w:val="20"/>
                <w:color w:val="0000EE"/>
                <w:w w:val="89"/>
              </w:rPr>
            </w:pPr>
            <w:hyperlink w:anchor="page40">
              <w:r>
                <w:rPr>
                  <w:rFonts w:ascii="Arial" w:cs="Arial" w:eastAsia="Arial" w:hAnsi="Arial"/>
                  <w:sz w:val="20"/>
                  <w:szCs w:val="20"/>
                  <w:color w:val="0000EE"/>
                  <w:w w:val="89"/>
                </w:rPr>
                <w:t>Mine Safety Disclosures</w:t>
              </w:r>
            </w:hyperlink>
          </w:p>
        </w:tc>
        <w:tc>
          <w:tcPr>
            <w:tcW w:w="2800" w:type="dxa"/>
            <w:vAlign w:val="bottom"/>
            <w:tcBorders>
              <w:top w:val="single" w:sz="8" w:color="0000EE"/>
            </w:tcBorders>
            <w:gridSpan w:val="2"/>
          </w:tcPr>
          <w:p>
            <w:pPr>
              <w:spacing w:after="0"/>
              <w:rPr>
                <w:sz w:val="24"/>
                <w:szCs w:val="24"/>
                <w:color w:val="auto"/>
              </w:rPr>
            </w:pPr>
          </w:p>
        </w:tc>
        <w:tc>
          <w:tcPr>
            <w:tcW w:w="5300" w:type="dxa"/>
            <w:vAlign w:val="bottom"/>
            <w:gridSpan w:val="7"/>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40</w:t>
            </w:r>
          </w:p>
        </w:tc>
        <w:tc>
          <w:tcPr>
            <w:tcW w:w="0" w:type="dxa"/>
            <w:vAlign w:val="bottom"/>
          </w:tcPr>
          <w:p>
            <w:pPr>
              <w:spacing w:after="0"/>
              <w:rPr>
                <w:sz w:val="1"/>
                <w:szCs w:val="1"/>
                <w:color w:val="auto"/>
              </w:rPr>
            </w:pPr>
          </w:p>
        </w:tc>
      </w:tr>
      <w:tr>
        <w:trPr>
          <w:trHeight w:val="328"/>
        </w:trPr>
        <w:tc>
          <w:tcPr>
            <w:tcW w:w="220" w:type="dxa"/>
            <w:vAlign w:val="bottom"/>
          </w:tcPr>
          <w:p>
            <w:pPr>
              <w:spacing w:after="0"/>
              <w:rPr>
                <w:sz w:val="24"/>
                <w:szCs w:val="24"/>
                <w:color w:val="auto"/>
              </w:rPr>
            </w:pPr>
          </w:p>
        </w:tc>
        <w:tc>
          <w:tcPr>
            <w:tcW w:w="580" w:type="dxa"/>
            <w:vAlign w:val="bottom"/>
            <w:tcBorders>
              <w:bottom w:val="single" w:sz="8" w:color="0000EE"/>
            </w:tcBorders>
            <w:gridSpan w:val="2"/>
          </w:tcPr>
          <w:p>
            <w:pPr>
              <w:spacing w:after="0"/>
              <w:rPr>
                <w:rFonts w:ascii="Arial" w:cs="Arial" w:eastAsia="Arial" w:hAnsi="Arial"/>
                <w:sz w:val="20"/>
                <w:szCs w:val="20"/>
                <w:color w:val="0000EE"/>
                <w:w w:val="91"/>
              </w:rPr>
            </w:pPr>
            <w:hyperlink w:anchor="page41">
              <w:r>
                <w:rPr>
                  <w:rFonts w:ascii="Arial" w:cs="Arial" w:eastAsia="Arial" w:hAnsi="Arial"/>
                  <w:sz w:val="20"/>
                  <w:szCs w:val="20"/>
                  <w:color w:val="0000EE"/>
                  <w:w w:val="91"/>
                </w:rPr>
                <w:t>Item 6.</w:t>
              </w:r>
            </w:hyperlink>
          </w:p>
        </w:tc>
        <w:tc>
          <w:tcPr>
            <w:tcW w:w="680" w:type="dxa"/>
            <w:vAlign w:val="bottom"/>
            <w:tcBorders>
              <w:bottom w:val="single" w:sz="8" w:color="0000EE"/>
            </w:tcBorders>
            <w:gridSpan w:val="2"/>
          </w:tcPr>
          <w:p>
            <w:pPr>
              <w:ind w:left="20"/>
              <w:spacing w:after="0"/>
              <w:rPr>
                <w:rFonts w:ascii="Arial" w:cs="Arial" w:eastAsia="Arial" w:hAnsi="Arial"/>
                <w:sz w:val="20"/>
                <w:szCs w:val="20"/>
                <w:color w:val="0000EE"/>
                <w:w w:val="91"/>
              </w:rPr>
            </w:pPr>
            <w:hyperlink w:anchor="page41">
              <w:r>
                <w:rPr>
                  <w:rFonts w:ascii="Arial" w:cs="Arial" w:eastAsia="Arial" w:hAnsi="Arial"/>
                  <w:sz w:val="20"/>
                  <w:szCs w:val="20"/>
                  <w:color w:val="0000EE"/>
                  <w:w w:val="91"/>
                </w:rPr>
                <w:t>Exhibits</w:t>
              </w:r>
            </w:hyperlink>
          </w:p>
        </w:tc>
        <w:tc>
          <w:tcPr>
            <w:tcW w:w="9380" w:type="dxa"/>
            <w:vAlign w:val="bottom"/>
            <w:gridSpan w:val="1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41</w:t>
            </w:r>
          </w:p>
        </w:tc>
        <w:tc>
          <w:tcPr>
            <w:tcW w:w="0" w:type="dxa"/>
            <w:vAlign w:val="bottom"/>
          </w:tcPr>
          <w:p>
            <w:pPr>
              <w:spacing w:after="0"/>
              <w:rPr>
                <w:sz w:val="1"/>
                <w:szCs w:val="1"/>
                <w:color w:val="auto"/>
              </w:rPr>
            </w:pPr>
          </w:p>
        </w:tc>
      </w:tr>
      <w:tr>
        <w:trPr>
          <w:trHeight w:val="328"/>
        </w:trPr>
        <w:tc>
          <w:tcPr>
            <w:tcW w:w="840" w:type="dxa"/>
            <w:vAlign w:val="bottom"/>
            <w:tcBorders>
              <w:bottom w:val="single" w:sz="8" w:color="0000EE"/>
            </w:tcBorders>
            <w:gridSpan w:val="4"/>
          </w:tcPr>
          <w:p>
            <w:pPr>
              <w:spacing w:after="0"/>
              <w:rPr>
                <w:rFonts w:ascii="Arial" w:cs="Arial" w:eastAsia="Arial" w:hAnsi="Arial"/>
                <w:sz w:val="20"/>
                <w:szCs w:val="20"/>
                <w:color w:val="0000EE"/>
                <w:w w:val="85"/>
              </w:rPr>
            </w:pPr>
            <w:hyperlink w:anchor="page42">
              <w:r>
                <w:rPr>
                  <w:rFonts w:ascii="Arial" w:cs="Arial" w:eastAsia="Arial" w:hAnsi="Arial"/>
                  <w:sz w:val="20"/>
                  <w:szCs w:val="20"/>
                  <w:color w:val="0000EE"/>
                  <w:w w:val="85"/>
                </w:rPr>
                <w:t>Signatures</w:t>
              </w:r>
            </w:hyperlink>
          </w:p>
        </w:tc>
        <w:tc>
          <w:tcPr>
            <w:tcW w:w="10020" w:type="dxa"/>
            <w:vAlign w:val="bottom"/>
            <w:gridSpan w:val="14"/>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PART I. FINANCIAL INFORMATION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BALANCE SHEETS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0" w:type="dxa"/>
            <w:vAlign w:val="bottom"/>
            <w:gridSpan w:val="2"/>
          </w:tcPr>
          <w:p>
            <w:pPr>
              <w:jc w:val="right"/>
              <w:ind w:right="900"/>
              <w:spacing w:after="0"/>
              <w:rPr>
                <w:sz w:val="20"/>
                <w:szCs w:val="20"/>
                <w:color w:val="auto"/>
              </w:rPr>
            </w:pPr>
            <w:r>
              <w:rPr>
                <w:rFonts w:ascii="Arial" w:cs="Arial" w:eastAsia="Arial" w:hAnsi="Arial"/>
                <w:sz w:val="16"/>
                <w:szCs w:val="16"/>
                <w:color w:val="auto"/>
              </w:rPr>
              <w:t>March 31,</w:t>
            </w:r>
          </w:p>
        </w:tc>
        <w:tc>
          <w:tcPr>
            <w:tcW w:w="120" w:type="dxa"/>
            <w:vAlign w:val="bottom"/>
          </w:tcPr>
          <w:p>
            <w:pPr>
              <w:spacing w:after="0"/>
              <w:rPr>
                <w:sz w:val="17"/>
                <w:szCs w:val="17"/>
                <w:color w:val="auto"/>
              </w:rPr>
            </w:pPr>
          </w:p>
        </w:tc>
        <w:tc>
          <w:tcPr>
            <w:tcW w:w="2000" w:type="dxa"/>
            <w:vAlign w:val="bottom"/>
            <w:gridSpan w:val="2"/>
          </w:tcPr>
          <w:p>
            <w:pPr>
              <w:jc w:val="center"/>
              <w:ind w:right="420"/>
              <w:spacing w:after="0"/>
              <w:rPr>
                <w:sz w:val="20"/>
                <w:szCs w:val="20"/>
                <w:color w:val="auto"/>
              </w:rPr>
            </w:pPr>
            <w:r>
              <w:rPr>
                <w:rFonts w:ascii="Arial" w:cs="Arial" w:eastAsia="Arial" w:hAnsi="Arial"/>
                <w:sz w:val="16"/>
                <w:szCs w:val="16"/>
                <w:color w:val="auto"/>
                <w:w w:val="89"/>
              </w:rPr>
              <w:t>December 31,</w:t>
            </w:r>
          </w:p>
        </w:tc>
        <w:tc>
          <w:tcPr>
            <w:tcW w:w="340" w:type="dxa"/>
            <w:vAlign w:val="bottom"/>
          </w:tcPr>
          <w:p>
            <w:pPr>
              <w:spacing w:after="0"/>
              <w:rPr>
                <w:sz w:val="17"/>
                <w:szCs w:val="17"/>
                <w:color w:val="auto"/>
              </w:rPr>
            </w:pPr>
          </w:p>
        </w:tc>
        <w:tc>
          <w:tcPr>
            <w:tcW w:w="1620" w:type="dxa"/>
            <w:vAlign w:val="bottom"/>
            <w:gridSpan w:val="2"/>
          </w:tcPr>
          <w:p>
            <w:pPr>
              <w:jc w:val="right"/>
              <w:ind w:right="720"/>
              <w:spacing w:after="0"/>
              <w:rPr>
                <w:sz w:val="20"/>
                <w:szCs w:val="20"/>
                <w:color w:val="auto"/>
              </w:rPr>
            </w:pPr>
            <w:r>
              <w:rPr>
                <w:rFonts w:ascii="Arial" w:cs="Arial" w:eastAsia="Arial" w:hAnsi="Arial"/>
                <w:sz w:val="16"/>
                <w:szCs w:val="16"/>
                <w:color w:val="auto"/>
              </w:rPr>
              <w:t>March 31,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80"/>
              <w:spacing w:after="0"/>
              <w:rPr>
                <w:sz w:val="20"/>
                <w:szCs w:val="20"/>
                <w:color w:val="auto"/>
              </w:rPr>
            </w:pPr>
            <w:r>
              <w:rPr>
                <w:rFonts w:ascii="Arial" w:cs="Arial" w:eastAsia="Arial" w:hAnsi="Arial"/>
                <w:sz w:val="16"/>
                <w:szCs w:val="16"/>
                <w:color w:val="auto"/>
              </w:rPr>
              <w:t>2018</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ind w:right="60"/>
              <w:spacing w:after="0"/>
              <w:rPr>
                <w:sz w:val="20"/>
                <w:szCs w:val="20"/>
                <w:color w:val="auto"/>
              </w:rPr>
            </w:pPr>
            <w:r>
              <w:rPr>
                <w:rFonts w:ascii="Arial" w:cs="Arial" w:eastAsia="Arial" w:hAnsi="Arial"/>
                <w:sz w:val="16"/>
                <w:szCs w:val="16"/>
                <w:color w:val="auto"/>
                <w:w w:val="89"/>
              </w:rPr>
              <w:t>2017</w:t>
            </w:r>
          </w:p>
        </w:tc>
        <w:tc>
          <w:tcPr>
            <w:tcW w:w="3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80"/>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gridSpan w:val="2"/>
          </w:tcPr>
          <w:p>
            <w:pPr>
              <w:jc w:val="center"/>
              <w:ind w:right="420"/>
              <w:spacing w:after="0"/>
              <w:rPr>
                <w:sz w:val="20"/>
                <w:szCs w:val="20"/>
                <w:color w:val="auto"/>
              </w:rPr>
            </w:pPr>
            <w:r>
              <w:rPr>
                <w:rFonts w:ascii="Arial" w:cs="Arial" w:eastAsia="Arial" w:hAnsi="Arial"/>
                <w:sz w:val="16"/>
                <w:szCs w:val="16"/>
                <w:i w:val="1"/>
                <w:iCs w:val="1"/>
                <w:color w:val="auto"/>
                <w:w w:val="93"/>
              </w:rPr>
              <w:t>(Dollars in Thousands)</w:t>
            </w:r>
          </w:p>
        </w:tc>
        <w:tc>
          <w:tcPr>
            <w:tcW w:w="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42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1,422,373</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1,446,364</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55,418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20" w:type="dxa"/>
            <w:vAlign w:val="bottom"/>
            <w:gridSpan w:val="2"/>
          </w:tcPr>
          <w:p>
            <w:pPr>
              <w:spacing w:after="0"/>
              <w:rPr>
                <w:sz w:val="20"/>
                <w:szCs w:val="20"/>
                <w:color w:val="auto"/>
              </w:rPr>
            </w:pPr>
            <w:r>
              <w:rPr>
                <w:rFonts w:ascii="Arial" w:cs="Arial" w:eastAsia="Arial" w:hAnsi="Arial"/>
                <w:sz w:val="16"/>
                <w:szCs w:val="16"/>
                <w:color w:val="auto"/>
              </w:rPr>
              <w:t>Accounts receivable, net</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466,465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487,240</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479,215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6"/>
                <w:szCs w:val="16"/>
                <w:color w:val="auto"/>
              </w:rPr>
              <w:t>Inventories, net</w:t>
            </w: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606,794</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600,591</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537,000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20" w:type="dxa"/>
            <w:vAlign w:val="bottom"/>
            <w:gridSpan w:val="2"/>
          </w:tcPr>
          <w:p>
            <w:pPr>
              <w:spacing w:after="0"/>
              <w:rPr>
                <w:sz w:val="20"/>
                <w:szCs w:val="20"/>
                <w:color w:val="auto"/>
              </w:rPr>
            </w:pPr>
            <w:r>
              <w:rPr>
                <w:rFonts w:ascii="Arial" w:cs="Arial" w:eastAsia="Arial" w:hAnsi="Arial"/>
                <w:sz w:val="16"/>
                <w:szCs w:val="16"/>
                <w:color w:val="auto"/>
              </w:rPr>
              <w:t>Other current assets</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106,298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96,965</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51,609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4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Total Current Assets</w:t>
            </w:r>
          </w:p>
        </w:tc>
        <w:tc>
          <w:tcPr>
            <w:tcW w:w="8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2,601,930</w:t>
            </w:r>
          </w:p>
        </w:tc>
        <w:tc>
          <w:tcPr>
            <w:tcW w:w="3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2,631,160</w:t>
            </w:r>
          </w:p>
        </w:tc>
        <w:tc>
          <w:tcPr>
            <w:tcW w:w="3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1,123,242</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6"/>
                <w:szCs w:val="16"/>
                <w:color w:val="auto"/>
              </w:rPr>
              <w:t>Property, plant and equipment</w:t>
            </w: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6,523,364</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6,498,067</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6,211,813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20" w:type="dxa"/>
            <w:vAlign w:val="bottom"/>
            <w:gridSpan w:val="2"/>
          </w:tcPr>
          <w:p>
            <w:pPr>
              <w:spacing w:after="0"/>
              <w:rPr>
                <w:sz w:val="20"/>
                <w:szCs w:val="20"/>
                <w:color w:val="auto"/>
              </w:rPr>
            </w:pPr>
            <w:r>
              <w:rPr>
                <w:rFonts w:ascii="Arial" w:cs="Arial" w:eastAsia="Arial" w:hAnsi="Arial"/>
                <w:sz w:val="16"/>
                <w:szCs w:val="16"/>
                <w:color w:val="auto"/>
              </w:rPr>
              <w:t>Allowances for depreciation, depletion and amortization</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jc w:val="right"/>
              <w:ind w:right="260"/>
              <w:spacing w:after="0"/>
              <w:rPr>
                <w:sz w:val="20"/>
                <w:szCs w:val="20"/>
                <w:color w:val="auto"/>
              </w:rPr>
            </w:pPr>
            <w:r>
              <w:rPr>
                <w:rFonts w:ascii="Arial" w:cs="Arial" w:eastAsia="Arial" w:hAnsi="Arial"/>
                <w:sz w:val="16"/>
                <w:szCs w:val="16"/>
                <w:color w:val="auto"/>
              </w:rPr>
              <w:t>(2,940,870)</w:t>
            </w:r>
          </w:p>
        </w:tc>
        <w:tc>
          <w:tcPr>
            <w:tcW w:w="120" w:type="dxa"/>
            <w:vAlign w:val="bottom"/>
          </w:tcPr>
          <w:p>
            <w:pPr>
              <w:spacing w:after="0"/>
              <w:rPr>
                <w:sz w:val="18"/>
                <w:szCs w:val="18"/>
                <w:color w:val="auto"/>
              </w:rPr>
            </w:pPr>
          </w:p>
        </w:tc>
        <w:tc>
          <w:tcPr>
            <w:tcW w:w="2000" w:type="dxa"/>
            <w:vAlign w:val="bottom"/>
            <w:gridSpan w:val="2"/>
          </w:tcPr>
          <w:p>
            <w:pPr>
              <w:jc w:val="right"/>
              <w:ind w:right="240"/>
              <w:spacing w:after="0"/>
              <w:rPr>
                <w:sz w:val="20"/>
                <w:szCs w:val="20"/>
                <w:color w:val="auto"/>
              </w:rPr>
            </w:pPr>
            <w:r>
              <w:rPr>
                <w:rFonts w:ascii="Arial" w:cs="Arial" w:eastAsia="Arial" w:hAnsi="Arial"/>
                <w:sz w:val="16"/>
                <w:szCs w:val="16"/>
                <w:color w:val="auto"/>
              </w:rPr>
              <w:t>(2,905,254)</w:t>
            </w:r>
          </w:p>
        </w:tc>
        <w:tc>
          <w:tcPr>
            <w:tcW w:w="340" w:type="dxa"/>
            <w:vAlign w:val="bottom"/>
          </w:tcPr>
          <w:p>
            <w:pPr>
              <w:spacing w:after="0"/>
              <w:rPr>
                <w:sz w:val="18"/>
                <w:szCs w:val="18"/>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6"/>
                <w:szCs w:val="16"/>
                <w:color w:val="auto"/>
              </w:rPr>
              <w:t>(2,744,168)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property, plant and equipment</w:t>
            </w:r>
          </w:p>
        </w:tc>
        <w:tc>
          <w:tcPr>
            <w:tcW w:w="8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3,582,494</w:t>
            </w:r>
          </w:p>
        </w:tc>
        <w:tc>
          <w:tcPr>
            <w:tcW w:w="3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3,592,813</w:t>
            </w:r>
          </w:p>
        </w:tc>
        <w:tc>
          <w:tcPr>
            <w:tcW w:w="3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3,467,645</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20" w:type="dxa"/>
            <w:vAlign w:val="bottom"/>
            <w:gridSpan w:val="2"/>
          </w:tcPr>
          <w:p>
            <w:pPr>
              <w:spacing w:after="0"/>
              <w:rPr>
                <w:sz w:val="20"/>
                <w:szCs w:val="20"/>
                <w:color w:val="auto"/>
              </w:rPr>
            </w:pPr>
            <w:r>
              <w:rPr>
                <w:rFonts w:ascii="Arial" w:cs="Arial" w:eastAsia="Arial" w:hAnsi="Arial"/>
                <w:sz w:val="16"/>
                <w:szCs w:val="16"/>
                <w:color w:val="auto"/>
              </w:rPr>
              <w:t>Goodwill</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2,160,290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2,160,290</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2,159,398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6"/>
                <w:szCs w:val="16"/>
                <w:color w:val="auto"/>
              </w:rPr>
              <w:t>Operating permits, net</w:t>
            </w: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437,438</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439,116</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440,411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20" w:type="dxa"/>
            <w:vAlign w:val="bottom"/>
            <w:gridSpan w:val="2"/>
          </w:tcPr>
          <w:p>
            <w:pPr>
              <w:spacing w:after="0"/>
              <w:rPr>
                <w:sz w:val="20"/>
                <w:szCs w:val="20"/>
                <w:color w:val="auto"/>
              </w:rPr>
            </w:pPr>
            <w:r>
              <w:rPr>
                <w:rFonts w:ascii="Arial" w:cs="Arial" w:eastAsia="Arial" w:hAnsi="Arial"/>
                <w:sz w:val="16"/>
                <w:szCs w:val="16"/>
                <w:color w:val="auto"/>
              </w:rPr>
              <w:t>Other intangibles, net</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61,338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67,233</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67,318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6"/>
                <w:szCs w:val="16"/>
                <w:color w:val="auto"/>
              </w:rPr>
              <w:t>Other noncurrent assets</w:t>
            </w:r>
          </w:p>
        </w:tc>
        <w:tc>
          <w:tcPr>
            <w:tcW w:w="80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104,560</w:t>
            </w:r>
          </w:p>
        </w:tc>
        <w:tc>
          <w:tcPr>
            <w:tcW w:w="3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101,899</w:t>
            </w:r>
          </w:p>
        </w:tc>
        <w:tc>
          <w:tcPr>
            <w:tcW w:w="30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135,777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400" w:type="dxa"/>
            <w:vAlign w:val="bottom"/>
          </w:tcPr>
          <w:p>
            <w:pPr>
              <w:ind w:left="240"/>
              <w:spacing w:after="0"/>
              <w:rPr>
                <w:sz w:val="20"/>
                <w:szCs w:val="20"/>
                <w:color w:val="auto"/>
              </w:rPr>
            </w:pPr>
            <w:r>
              <w:rPr>
                <w:rFonts w:ascii="Arial" w:cs="Arial" w:eastAsia="Arial" w:hAnsi="Arial"/>
                <w:sz w:val="16"/>
                <w:szCs w:val="16"/>
                <w:color w:val="auto"/>
              </w:rPr>
              <w:t>Total Assets</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8,948,050</w:t>
            </w:r>
          </w:p>
        </w:tc>
        <w:tc>
          <w:tcPr>
            <w:tcW w:w="3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8,992,511</w:t>
            </w:r>
          </w:p>
        </w:tc>
        <w:tc>
          <w:tcPr>
            <w:tcW w:w="300" w:type="dxa"/>
            <w:vAlign w:val="bottom"/>
          </w:tcPr>
          <w:p>
            <w:pPr>
              <w:spacing w:after="0"/>
              <w:rPr>
                <w:sz w:val="21"/>
                <w:szCs w:val="21"/>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7,393,791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40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50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70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5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6"/>
                <w:szCs w:val="16"/>
                <w:b w:val="1"/>
                <w:bCs w:val="1"/>
                <w:color w:val="auto"/>
              </w:rPr>
              <w:t>LIABILITIES AND EQUITY</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20" w:type="dxa"/>
            <w:vAlign w:val="bottom"/>
            <w:gridSpan w:val="2"/>
          </w:tcPr>
          <w:p>
            <w:pPr>
              <w:spacing w:after="0"/>
              <w:rPr>
                <w:sz w:val="20"/>
                <w:szCs w:val="20"/>
                <w:color w:val="auto"/>
              </w:rPr>
            </w:pPr>
            <w:r>
              <w:rPr>
                <w:rFonts w:ascii="Arial" w:cs="Arial" w:eastAsia="Arial" w:hAnsi="Arial"/>
                <w:sz w:val="16"/>
                <w:szCs w:val="16"/>
                <w:color w:val="auto"/>
              </w:rPr>
              <w:t>Accounts payable</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162,328</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183,638</w:t>
            </w:r>
          </w:p>
        </w:tc>
        <w:tc>
          <w:tcPr>
            <w:tcW w:w="300" w:type="dxa"/>
            <w:vAlign w:val="bottom"/>
          </w:tcPr>
          <w:p>
            <w:pPr>
              <w:spacing w:after="0"/>
              <w:rPr>
                <w:sz w:val="18"/>
                <w:szCs w:val="18"/>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188,399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6"/>
                <w:szCs w:val="16"/>
                <w:color w:val="auto"/>
              </w:rPr>
              <w:t>Accrued salaries, benefits and payroll taxes</w:t>
            </w: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23,329</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44,255</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22,760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20" w:type="dxa"/>
            <w:vAlign w:val="bottom"/>
            <w:gridSpan w:val="2"/>
          </w:tcPr>
          <w:p>
            <w:pPr>
              <w:spacing w:after="0"/>
              <w:rPr>
                <w:sz w:val="20"/>
                <w:szCs w:val="20"/>
                <w:color w:val="auto"/>
              </w:rPr>
            </w:pPr>
            <w:r>
              <w:rPr>
                <w:rFonts w:ascii="Arial" w:cs="Arial" w:eastAsia="Arial" w:hAnsi="Arial"/>
                <w:sz w:val="16"/>
                <w:szCs w:val="16"/>
                <w:color w:val="auto"/>
              </w:rPr>
              <w:t>Pension and postretirement benefits</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12,812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13,652</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8,136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6"/>
                <w:szCs w:val="16"/>
                <w:color w:val="auto"/>
              </w:rPr>
              <w:t>Accrued insurance and other taxes</w:t>
            </w: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52,413</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64,958</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49,535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420" w:type="dxa"/>
            <w:vAlign w:val="bottom"/>
            <w:gridSpan w:val="2"/>
          </w:tcPr>
          <w:p>
            <w:pPr>
              <w:spacing w:after="0"/>
              <w:rPr>
                <w:sz w:val="20"/>
                <w:szCs w:val="20"/>
                <w:color w:val="auto"/>
              </w:rPr>
            </w:pPr>
            <w:r>
              <w:rPr>
                <w:rFonts w:ascii="Arial" w:cs="Arial" w:eastAsia="Arial" w:hAnsi="Arial"/>
                <w:sz w:val="16"/>
                <w:szCs w:val="16"/>
                <w:color w:val="auto"/>
              </w:rPr>
              <w:t>Current maturities of long-term debt and short-term</w:t>
            </w: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6"/>
                <w:szCs w:val="16"/>
                <w:color w:val="auto"/>
              </w:rPr>
              <w:t>facilities</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300,006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299,909</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290,048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6"/>
                <w:szCs w:val="16"/>
                <w:color w:val="auto"/>
              </w:rPr>
              <w:t>Accrued interest</w:t>
            </w: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39,720</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19,825</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23,649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20" w:type="dxa"/>
            <w:vAlign w:val="bottom"/>
            <w:gridSpan w:val="2"/>
          </w:tcPr>
          <w:p>
            <w:pPr>
              <w:spacing w:after="0"/>
              <w:rPr>
                <w:sz w:val="20"/>
                <w:szCs w:val="20"/>
                <w:color w:val="auto"/>
              </w:rPr>
            </w:pPr>
            <w:r>
              <w:rPr>
                <w:rFonts w:ascii="Arial" w:cs="Arial" w:eastAsia="Arial" w:hAnsi="Arial"/>
                <w:sz w:val="16"/>
                <w:szCs w:val="16"/>
                <w:color w:val="auto"/>
              </w:rPr>
              <w:t>Other current liabilities</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60,371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67,979</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49,031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4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Total Current Liabilities</w:t>
            </w:r>
          </w:p>
        </w:tc>
        <w:tc>
          <w:tcPr>
            <w:tcW w:w="8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650,979</w:t>
            </w:r>
          </w:p>
        </w:tc>
        <w:tc>
          <w:tcPr>
            <w:tcW w:w="3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694,216</w:t>
            </w:r>
          </w:p>
        </w:tc>
        <w:tc>
          <w:tcPr>
            <w:tcW w:w="3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631,558</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6"/>
                <w:szCs w:val="16"/>
                <w:color w:val="auto"/>
              </w:rPr>
              <w:t>Long-term debt</w:t>
            </w: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2,728,102</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2,727,294</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1,556,246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20" w:type="dxa"/>
            <w:vAlign w:val="bottom"/>
            <w:gridSpan w:val="2"/>
          </w:tcPr>
          <w:p>
            <w:pPr>
              <w:spacing w:after="0"/>
              <w:rPr>
                <w:sz w:val="20"/>
                <w:szCs w:val="20"/>
                <w:color w:val="auto"/>
              </w:rPr>
            </w:pPr>
            <w:r>
              <w:rPr>
                <w:rFonts w:ascii="Arial" w:cs="Arial" w:eastAsia="Arial" w:hAnsi="Arial"/>
                <w:sz w:val="16"/>
                <w:szCs w:val="16"/>
                <w:color w:val="auto"/>
              </w:rPr>
              <w:t>Pension, postretirement and postemployment benefits</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248,501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244,043</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252,568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6"/>
                <w:szCs w:val="16"/>
                <w:color w:val="auto"/>
              </w:rPr>
              <w:t>Deferred income taxes, net</w:t>
            </w: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413,570</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410,723</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667,160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20" w:type="dxa"/>
            <w:vAlign w:val="bottom"/>
            <w:gridSpan w:val="2"/>
          </w:tcPr>
          <w:p>
            <w:pPr>
              <w:spacing w:after="0"/>
              <w:rPr>
                <w:sz w:val="20"/>
                <w:szCs w:val="20"/>
                <w:color w:val="auto"/>
              </w:rPr>
            </w:pPr>
            <w:r>
              <w:rPr>
                <w:rFonts w:ascii="Arial" w:cs="Arial" w:eastAsia="Arial" w:hAnsi="Arial"/>
                <w:sz w:val="16"/>
                <w:szCs w:val="16"/>
                <w:color w:val="auto"/>
              </w:rPr>
              <w:t>Other noncurrent liabilities</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227,068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233,758</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210,305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4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Total Liabilities</w:t>
            </w:r>
          </w:p>
        </w:tc>
        <w:tc>
          <w:tcPr>
            <w:tcW w:w="8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4,268,220</w:t>
            </w:r>
          </w:p>
        </w:tc>
        <w:tc>
          <w:tcPr>
            <w:tcW w:w="3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4,310,034</w:t>
            </w:r>
          </w:p>
        </w:tc>
        <w:tc>
          <w:tcPr>
            <w:tcW w:w="3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3,317,837</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6"/>
                <w:szCs w:val="16"/>
                <w:color w:val="auto"/>
              </w:rPr>
              <w:t>Equity:</w:t>
            </w: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20" w:type="dxa"/>
            <w:vAlign w:val="bottom"/>
            <w:gridSpan w:val="2"/>
          </w:tcPr>
          <w:p>
            <w:pPr>
              <w:spacing w:after="0"/>
              <w:rPr>
                <w:sz w:val="20"/>
                <w:szCs w:val="20"/>
                <w:color w:val="auto"/>
              </w:rPr>
            </w:pPr>
            <w:r>
              <w:rPr>
                <w:rFonts w:ascii="Arial" w:cs="Arial" w:eastAsia="Arial" w:hAnsi="Arial"/>
                <w:sz w:val="16"/>
                <w:szCs w:val="16"/>
                <w:color w:val="auto"/>
              </w:rPr>
              <w:t>Common stock, par value $0.01 per share</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628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628</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6"/>
                <w:szCs w:val="16"/>
                <w:color w:val="auto"/>
              </w:rPr>
              <w:t>Preferred stock, par value $0.01 per share</w:t>
            </w: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200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4420" w:type="dxa"/>
            <w:vAlign w:val="bottom"/>
            <w:gridSpan w:val="2"/>
          </w:tcPr>
          <w:p>
            <w:pPr>
              <w:spacing w:after="0"/>
              <w:rPr>
                <w:sz w:val="20"/>
                <w:szCs w:val="20"/>
                <w:color w:val="auto"/>
              </w:rPr>
            </w:pPr>
            <w:r>
              <w:rPr>
                <w:rFonts w:ascii="Arial" w:cs="Arial" w:eastAsia="Arial" w:hAnsi="Arial"/>
                <w:sz w:val="16"/>
                <w:szCs w:val="16"/>
                <w:color w:val="auto"/>
              </w:rPr>
              <w:t>Additional paid-in capital</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3,381,280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3,368,007</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3,349,813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6"/>
                <w:szCs w:val="16"/>
                <w:color w:val="auto"/>
              </w:rPr>
              <w:t>Accumulated other comprehensive loss</w:t>
            </w: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(127,485)</w:t>
            </w:r>
          </w:p>
        </w:tc>
        <w:tc>
          <w:tcPr>
            <w:tcW w:w="120" w:type="dxa"/>
            <w:vAlign w:val="bottom"/>
            <w:shd w:val="clear" w:color="auto" w:fill="CFF0FC"/>
          </w:tcPr>
          <w:p>
            <w:pPr>
              <w:spacing w:after="0"/>
              <w:rPr>
                <w:sz w:val="18"/>
                <w:szCs w:val="18"/>
                <w:color w:val="auto"/>
              </w:rPr>
            </w:pPr>
          </w:p>
        </w:tc>
        <w:tc>
          <w:tcPr>
            <w:tcW w:w="20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(129,104)</w:t>
            </w:r>
          </w:p>
        </w:tc>
        <w:tc>
          <w:tcPr>
            <w:tcW w:w="3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(128,425)</w:t>
            </w:r>
          </w:p>
        </w:tc>
        <w:tc>
          <w:tcPr>
            <w:tcW w:w="0" w:type="dxa"/>
            <w:vAlign w:val="bottom"/>
          </w:tcPr>
          <w:p>
            <w:pPr>
              <w:spacing w:after="0"/>
              <w:rPr>
                <w:sz w:val="1"/>
                <w:szCs w:val="1"/>
                <w:color w:val="auto"/>
              </w:rPr>
            </w:pPr>
          </w:p>
        </w:tc>
      </w:tr>
      <w:tr>
        <w:trPr>
          <w:trHeight w:val="211"/>
        </w:trPr>
        <w:tc>
          <w:tcPr>
            <w:tcW w:w="4420" w:type="dxa"/>
            <w:vAlign w:val="bottom"/>
            <w:gridSpan w:val="2"/>
          </w:tcPr>
          <w:p>
            <w:pPr>
              <w:spacing w:after="0"/>
              <w:rPr>
                <w:sz w:val="20"/>
                <w:szCs w:val="20"/>
                <w:color w:val="auto"/>
              </w:rPr>
            </w:pPr>
            <w:r>
              <w:rPr>
                <w:rFonts w:ascii="Arial" w:cs="Arial" w:eastAsia="Arial" w:hAnsi="Arial"/>
                <w:sz w:val="16"/>
                <w:szCs w:val="16"/>
                <w:color w:val="auto"/>
              </w:rPr>
              <w:t>Retained earnings</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1,422,207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1,440,069</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851,354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Total Shareholders' Equity</w:t>
            </w:r>
          </w:p>
        </w:tc>
        <w:tc>
          <w:tcPr>
            <w:tcW w:w="8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4,676,630</w:t>
            </w:r>
          </w:p>
        </w:tc>
        <w:tc>
          <w:tcPr>
            <w:tcW w:w="3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4,679,600</w:t>
            </w:r>
          </w:p>
        </w:tc>
        <w:tc>
          <w:tcPr>
            <w:tcW w:w="3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4,073,368</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20" w:type="dxa"/>
            <w:vAlign w:val="bottom"/>
            <w:gridSpan w:val="2"/>
          </w:tcPr>
          <w:p>
            <w:pPr>
              <w:spacing w:after="0"/>
              <w:rPr>
                <w:sz w:val="20"/>
                <w:szCs w:val="20"/>
                <w:color w:val="auto"/>
              </w:rPr>
            </w:pPr>
            <w:r>
              <w:rPr>
                <w:rFonts w:ascii="Arial" w:cs="Arial" w:eastAsia="Arial" w:hAnsi="Arial"/>
                <w:sz w:val="16"/>
                <w:szCs w:val="16"/>
                <w:color w:val="auto"/>
              </w:rPr>
              <w:t>Noncontrolling interests</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3,200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2,877</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2,586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Total Equity</w:t>
            </w:r>
          </w:p>
        </w:tc>
        <w:tc>
          <w:tcPr>
            <w:tcW w:w="8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4,679,830</w:t>
            </w:r>
          </w:p>
        </w:tc>
        <w:tc>
          <w:tcPr>
            <w:tcW w:w="3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4,682,477</w:t>
            </w:r>
          </w:p>
        </w:tc>
        <w:tc>
          <w:tcPr>
            <w:tcW w:w="3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4,075,954</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400" w:type="dxa"/>
            <w:vAlign w:val="bottom"/>
          </w:tcPr>
          <w:p>
            <w:pPr>
              <w:ind w:left="240"/>
              <w:spacing w:after="0"/>
              <w:rPr>
                <w:sz w:val="20"/>
                <w:szCs w:val="20"/>
                <w:color w:val="auto"/>
              </w:rPr>
            </w:pPr>
            <w:r>
              <w:rPr>
                <w:rFonts w:ascii="Arial" w:cs="Arial" w:eastAsia="Arial" w:hAnsi="Arial"/>
                <w:sz w:val="16"/>
                <w:szCs w:val="16"/>
                <w:color w:val="auto"/>
              </w:rPr>
              <w:t>Total Liabilities and Equity</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8,948,050</w:t>
            </w:r>
          </w:p>
        </w:tc>
        <w:tc>
          <w:tcPr>
            <w:tcW w:w="3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8,992,511</w:t>
            </w:r>
          </w:p>
        </w:tc>
        <w:tc>
          <w:tcPr>
            <w:tcW w:w="300" w:type="dxa"/>
            <w:vAlign w:val="bottom"/>
          </w:tcPr>
          <w:p>
            <w:pPr>
              <w:spacing w:after="0"/>
              <w:rPr>
                <w:sz w:val="17"/>
                <w:szCs w:val="17"/>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7,393,791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EARNINGS AND COMPREHENSIVE EARNINGS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20" w:type="dxa"/>
            <w:vAlign w:val="bottom"/>
            <w:gridSpan w:val="4"/>
          </w:tcPr>
          <w:p>
            <w:pPr>
              <w:jc w:val="center"/>
              <w:spacing w:after="0"/>
              <w:rPr>
                <w:sz w:val="20"/>
                <w:szCs w:val="20"/>
                <w:color w:val="auto"/>
              </w:rPr>
            </w:pPr>
            <w:r>
              <w:rPr>
                <w:rFonts w:ascii="Arial" w:cs="Arial" w:eastAsia="Arial" w:hAnsi="Arial"/>
                <w:sz w:val="18"/>
                <w:szCs w:val="18"/>
                <w:color w:val="auto"/>
                <w:w w:val="89"/>
              </w:rPr>
              <w:t>Three-Months Ended</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2"/>
              </w:rPr>
              <w:t>March 31,</w:t>
            </w: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6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31"/>
              <w:spacing w:after="0"/>
              <w:rPr>
                <w:sz w:val="20"/>
                <w:szCs w:val="20"/>
                <w:color w:val="auto"/>
              </w:rPr>
            </w:pPr>
            <w:r>
              <w:rPr>
                <w:rFonts w:ascii="Arial" w:cs="Arial" w:eastAsia="Arial" w:hAnsi="Arial"/>
                <w:sz w:val="18"/>
                <w:szCs w:val="18"/>
                <w:color w:val="auto"/>
                <w:w w:val="94"/>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3840" w:type="dxa"/>
            <w:vAlign w:val="bottom"/>
            <w:gridSpan w:val="6"/>
          </w:tcPr>
          <w:p>
            <w:pPr>
              <w:jc w:val="center"/>
              <w:spacing w:after="0"/>
              <w:rPr>
                <w:sz w:val="20"/>
                <w:szCs w:val="20"/>
                <w:color w:val="auto"/>
              </w:rPr>
            </w:pPr>
            <w:r>
              <w:rPr>
                <w:rFonts w:ascii="Arial" w:cs="Arial" w:eastAsia="Arial" w:hAnsi="Arial"/>
                <w:sz w:val="18"/>
                <w:szCs w:val="18"/>
                <w:i w:val="1"/>
                <w:iCs w:val="1"/>
                <w:color w:val="auto"/>
                <w:w w:val="89"/>
              </w:rPr>
              <w:t>(In Thousands, Except Per Share Data)</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7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7460" w:type="dxa"/>
            <w:vAlign w:val="bottom"/>
            <w:shd w:val="clear" w:color="auto" w:fill="CFF0FC"/>
          </w:tcPr>
          <w:p>
            <w:pPr>
              <w:spacing w:after="0"/>
              <w:rPr>
                <w:sz w:val="20"/>
                <w:szCs w:val="20"/>
                <w:color w:val="auto"/>
              </w:rPr>
            </w:pPr>
            <w:r>
              <w:rPr>
                <w:rFonts w:ascii="Arial" w:cs="Arial" w:eastAsia="Arial" w:hAnsi="Arial"/>
                <w:sz w:val="18"/>
                <w:szCs w:val="18"/>
                <w:color w:val="auto"/>
              </w:rPr>
              <w:t>Products and services revenues</w:t>
            </w:r>
          </w:p>
        </w:tc>
        <w:tc>
          <w:tcPr>
            <w:tcW w:w="1100" w:type="dxa"/>
            <w:vAlign w:val="bottom"/>
            <w:shd w:val="clear" w:color="auto" w:fill="CFF0FC"/>
          </w:tcPr>
          <w:p>
            <w:pPr>
              <w:jc w:val="right"/>
              <w:ind w:right="911"/>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753,305</w:t>
            </w:r>
          </w:p>
        </w:tc>
        <w:tc>
          <w:tcPr>
            <w:tcW w:w="1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71"/>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792,316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Freight revenues</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48,699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51,543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Revenues</w:t>
            </w:r>
          </w:p>
        </w:tc>
        <w:tc>
          <w:tcPr>
            <w:tcW w:w="11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802,004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843,859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vMerge w:val="restart"/>
          </w:tcPr>
          <w:p>
            <w:pPr>
              <w:spacing w:after="0"/>
              <w:rPr>
                <w:sz w:val="19"/>
                <w:szCs w:val="19"/>
                <w:color w:val="auto"/>
              </w:rPr>
            </w:pPr>
          </w:p>
        </w:tc>
        <w:tc>
          <w:tcPr>
            <w:tcW w:w="7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746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 - products and services</w:t>
            </w:r>
          </w:p>
        </w:tc>
        <w:tc>
          <w:tcPr>
            <w:tcW w:w="1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641,620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644,617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revenues - freight</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49,992</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52,175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Cost of Revenues</w:t>
            </w:r>
          </w:p>
        </w:tc>
        <w:tc>
          <w:tcPr>
            <w:tcW w:w="11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691,612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696,792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vMerge w:val="restart"/>
          </w:tcPr>
          <w:p>
            <w:pPr>
              <w:spacing w:after="0"/>
              <w:rPr>
                <w:sz w:val="19"/>
                <w:szCs w:val="19"/>
                <w:color w:val="auto"/>
              </w:rPr>
            </w:pPr>
          </w:p>
        </w:tc>
        <w:tc>
          <w:tcPr>
            <w:tcW w:w="7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746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110,392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147,067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restart"/>
          </w:tcPr>
          <w:p>
            <w:pPr>
              <w:spacing w:after="0"/>
              <w:rPr>
                <w:sz w:val="19"/>
                <w:szCs w:val="19"/>
                <w:color w:val="auto"/>
              </w:rPr>
            </w:pPr>
          </w:p>
        </w:tc>
        <w:tc>
          <w:tcPr>
            <w:tcW w:w="7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746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&amp; administrative expenses</w:t>
            </w:r>
          </w:p>
        </w:tc>
        <w:tc>
          <w:tcPr>
            <w:tcW w:w="1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70,121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Acquisition-related expenses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60" w:type="dxa"/>
            <w:vAlign w:val="bottom"/>
            <w:shd w:val="clear" w:color="auto" w:fill="CFF0FC"/>
          </w:tcPr>
          <w:p>
            <w:pPr>
              <w:spacing w:after="0"/>
              <w:rPr>
                <w:sz w:val="20"/>
                <w:szCs w:val="20"/>
                <w:color w:val="auto"/>
              </w:rPr>
            </w:pPr>
            <w:r>
              <w:rPr>
                <w:rFonts w:ascii="Arial" w:cs="Arial" w:eastAsia="Arial" w:hAnsi="Arial"/>
                <w:sz w:val="18"/>
                <w:szCs w:val="18"/>
                <w:color w:val="auto"/>
              </w:rPr>
              <w:t>Other operating expense, net</w:t>
            </w:r>
          </w:p>
        </w:tc>
        <w:tc>
          <w:tcPr>
            <w:tcW w:w="11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460" w:type="dxa"/>
            <w:vAlign w:val="bottom"/>
          </w:tcPr>
          <w:p>
            <w:pPr>
              <w:ind w:left="240"/>
              <w:spacing w:after="0"/>
              <w:rPr>
                <w:sz w:val="20"/>
                <w:szCs w:val="20"/>
                <w:color w:val="auto"/>
              </w:rPr>
            </w:pPr>
            <w:r>
              <w:rPr>
                <w:rFonts w:ascii="Arial" w:cs="Arial" w:eastAsia="Arial" w:hAnsi="Arial"/>
                <w:sz w:val="18"/>
                <w:szCs w:val="18"/>
                <w:color w:val="auto"/>
              </w:rPr>
              <w:t>Earnings from Operations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39,081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77,150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74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Interest expense</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35,087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20,851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60" w:type="dxa"/>
            <w:vAlign w:val="bottom"/>
            <w:shd w:val="clear" w:color="auto" w:fill="CFF0FC"/>
          </w:tcPr>
          <w:p>
            <w:pPr>
              <w:spacing w:after="0"/>
              <w:rPr>
                <w:sz w:val="20"/>
                <w:szCs w:val="20"/>
                <w:color w:val="auto"/>
              </w:rPr>
            </w:pPr>
            <w:r>
              <w:rPr>
                <w:rFonts w:ascii="Arial" w:cs="Arial" w:eastAsia="Arial" w:hAnsi="Arial"/>
                <w:sz w:val="18"/>
                <w:szCs w:val="18"/>
                <w:color w:val="auto"/>
              </w:rPr>
              <w:t>Other nonoperating income, net</w:t>
            </w:r>
          </w:p>
        </w:tc>
        <w:tc>
          <w:tcPr>
            <w:tcW w:w="1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(8,503)</w:t>
            </w: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460" w:type="dxa"/>
            <w:vAlign w:val="bottom"/>
          </w:tcPr>
          <w:p>
            <w:pPr>
              <w:ind w:left="240"/>
              <w:spacing w:after="0"/>
              <w:rPr>
                <w:sz w:val="20"/>
                <w:szCs w:val="20"/>
                <w:color w:val="auto"/>
              </w:rPr>
            </w:pPr>
            <w:r>
              <w:rPr>
                <w:rFonts w:ascii="Arial" w:cs="Arial" w:eastAsia="Arial" w:hAnsi="Arial"/>
                <w:sz w:val="18"/>
                <w:szCs w:val="18"/>
                <w:color w:val="auto"/>
              </w:rPr>
              <w:t>Earnings before income tax expense</w:t>
            </w:r>
          </w:p>
        </w:tc>
        <w:tc>
          <w:tcPr>
            <w:tcW w:w="1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12,497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56,835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6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11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480" w:type="dxa"/>
            <w:vAlign w:val="bottom"/>
            <w:gridSpan w:val="2"/>
          </w:tcPr>
          <w:p>
            <w:pPr>
              <w:spacing w:after="0"/>
              <w:rPr>
                <w:sz w:val="20"/>
                <w:szCs w:val="20"/>
                <w:color w:val="auto"/>
              </w:rPr>
            </w:pPr>
            <w:r>
              <w:rPr>
                <w:rFonts w:ascii="Arial" w:cs="Arial" w:eastAsia="Arial" w:hAnsi="Arial"/>
                <w:sz w:val="18"/>
                <w:szCs w:val="18"/>
                <w:color w:val="auto"/>
              </w:rPr>
              <w:t>Consolidated net earnings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10,040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42,307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60" w:type="dxa"/>
            <w:vAlign w:val="bottom"/>
            <w:shd w:val="clear" w:color="auto" w:fill="CFF0FC"/>
          </w:tcPr>
          <w:p>
            <w:pPr>
              <w:spacing w:after="0"/>
              <w:rPr>
                <w:sz w:val="20"/>
                <w:szCs w:val="20"/>
                <w:color w:val="auto"/>
              </w:rPr>
            </w:pPr>
            <w:r>
              <w:rPr>
                <w:rFonts w:ascii="Arial" w:cs="Arial" w:eastAsia="Arial" w:hAnsi="Arial"/>
                <w:sz w:val="18"/>
                <w:szCs w:val="18"/>
                <w:color w:val="auto"/>
              </w:rPr>
              <w:t>Less: Net earnings (loss) attributable to noncontrolling</w:t>
            </w:r>
          </w:p>
        </w:tc>
        <w:tc>
          <w:tcPr>
            <w:tcW w:w="1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interests</w:t>
            </w:r>
          </w:p>
        </w:tc>
        <w:tc>
          <w:tcPr>
            <w:tcW w:w="1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61"/>
        </w:trPr>
        <w:tc>
          <w:tcPr>
            <w:tcW w:w="7480" w:type="dxa"/>
            <w:vAlign w:val="bottom"/>
            <w:gridSpan w:val="2"/>
          </w:tcPr>
          <w:p>
            <w:pPr>
              <w:spacing w:after="0"/>
              <w:rPr>
                <w:sz w:val="20"/>
                <w:szCs w:val="20"/>
                <w:color w:val="auto"/>
              </w:rPr>
            </w:pPr>
            <w:r>
              <w:rPr>
                <w:rFonts w:ascii="Arial" w:cs="Arial" w:eastAsia="Arial" w:hAnsi="Arial"/>
                <w:sz w:val="18"/>
                <w:szCs w:val="18"/>
                <w:color w:val="auto"/>
              </w:rPr>
              <w:t>Net Earnings Attributable to Martin Marietta Materials, Inc.</w:t>
            </w:r>
          </w:p>
        </w:tc>
        <w:tc>
          <w:tcPr>
            <w:tcW w:w="1100" w:type="dxa"/>
            <w:vAlign w:val="bottom"/>
            <w:tcBorders>
              <w:top w:val="single" w:sz="8" w:color="auto"/>
              <w:bottom w:val="single" w:sz="8" w:color="auto"/>
            </w:tcBorders>
          </w:tcPr>
          <w:p>
            <w:pPr>
              <w:jc w:val="right"/>
              <w:ind w:right="911"/>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10,023</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42,334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7460" w:type="dxa"/>
            <w:vAlign w:val="bottom"/>
            <w:tcBorders>
              <w:top w:val="single" w:sz="8" w:color="CFF0FC"/>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Consolidated Comprehensive Earnings: (See Note 1)</w:t>
            </w: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Earnings attributable to Martin Marietta Materials, Inc.</w:t>
            </w:r>
          </w:p>
        </w:tc>
        <w:tc>
          <w:tcPr>
            <w:tcW w:w="1100" w:type="dxa"/>
            <w:vAlign w:val="bottom"/>
            <w:shd w:val="clear" w:color="auto" w:fill="CFF0FC"/>
          </w:tcPr>
          <w:p>
            <w:pPr>
              <w:jc w:val="right"/>
              <w:ind w:right="911"/>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11,642</w:t>
            </w:r>
          </w:p>
        </w:tc>
        <w:tc>
          <w:tcPr>
            <w:tcW w:w="1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71"/>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460" w:type="dxa"/>
            <w:vAlign w:val="bottom"/>
          </w:tcPr>
          <w:p>
            <w:pPr>
              <w:ind w:left="240"/>
              <w:spacing w:after="0"/>
              <w:rPr>
                <w:sz w:val="20"/>
                <w:szCs w:val="20"/>
                <w:color w:val="auto"/>
              </w:rPr>
            </w:pPr>
            <w:r>
              <w:rPr>
                <w:rFonts w:ascii="Arial" w:cs="Arial" w:eastAsia="Arial" w:hAnsi="Arial"/>
                <w:sz w:val="18"/>
                <w:szCs w:val="18"/>
                <w:color w:val="auto"/>
              </w:rPr>
              <w:t>Earnings (Loss) attributable to noncontrolling interests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460" w:type="dxa"/>
            <w:vAlign w:val="bottom"/>
            <w:tcBorders>
              <w:top w:val="single" w:sz="8" w:color="CFF0FC"/>
              <w:bottom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ind w:right="911"/>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11,659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ind w:right="471"/>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44,570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8"/>
                <w:szCs w:val="18"/>
                <w:color w:val="auto"/>
              </w:rPr>
              <w:t>Net Earnings Attributable to Martin Marietta Materials, Inc.</w:t>
            </w: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480" w:type="dxa"/>
            <w:vAlign w:val="bottom"/>
            <w:gridSpan w:val="2"/>
            <w:vMerge w:val="continue"/>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Per Common Share:</w:t>
            </w:r>
          </w:p>
        </w:tc>
        <w:tc>
          <w:tcPr>
            <w:tcW w:w="1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4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Basic attributable to common shareholders</w:t>
            </w:r>
          </w:p>
        </w:tc>
        <w:tc>
          <w:tcPr>
            <w:tcW w:w="1100" w:type="dxa"/>
            <w:vAlign w:val="bottom"/>
            <w:tcBorders>
              <w:bottom w:val="single" w:sz="8" w:color="auto"/>
            </w:tcBorders>
          </w:tcPr>
          <w:p>
            <w:pPr>
              <w:jc w:val="right"/>
              <w:ind w:right="911"/>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80" w:type="dxa"/>
            <w:vAlign w:val="bottom"/>
            <w:tcBorders>
              <w:bottom w:val="single" w:sz="8" w:color="CFF0FC"/>
            </w:tcBorders>
          </w:tcPr>
          <w:p>
            <w:pPr>
              <w:spacing w:after="0"/>
              <w:rPr>
                <w:sz w:val="23"/>
                <w:szCs w:val="23"/>
                <w:color w:val="auto"/>
              </w:rPr>
            </w:pPr>
          </w:p>
        </w:tc>
        <w:tc>
          <w:tcPr>
            <w:tcW w:w="120" w:type="dxa"/>
            <w:vAlign w:val="bottom"/>
            <w:tcBorders>
              <w:bottom w:val="single" w:sz="8" w:color="CFF0FC"/>
            </w:tcBorders>
          </w:tcPr>
          <w:p>
            <w:pPr>
              <w:spacing w:after="0"/>
              <w:rPr>
                <w:sz w:val="23"/>
                <w:szCs w:val="23"/>
                <w:color w:val="auto"/>
              </w:rPr>
            </w:pPr>
          </w:p>
        </w:tc>
        <w:tc>
          <w:tcPr>
            <w:tcW w:w="66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0.67</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6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Diluted attributable to common shareholders</w:t>
            </w:r>
          </w:p>
        </w:tc>
        <w:tc>
          <w:tcPr>
            <w:tcW w:w="1100" w:type="dxa"/>
            <w:vAlign w:val="bottom"/>
            <w:tcBorders>
              <w:bottom w:val="single" w:sz="8" w:color="auto"/>
            </w:tcBorders>
            <w:shd w:val="clear" w:color="auto" w:fill="CFF0FC"/>
          </w:tcPr>
          <w:p>
            <w:pPr>
              <w:jc w:val="right"/>
              <w:ind w:right="911"/>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0.16</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47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restart"/>
          </w:tcPr>
          <w:p>
            <w:pPr>
              <w:spacing w:after="0"/>
              <w:rPr>
                <w:sz w:val="18"/>
                <w:szCs w:val="18"/>
                <w:color w:val="auto"/>
              </w:rPr>
            </w:pPr>
          </w:p>
        </w:tc>
        <w:tc>
          <w:tcPr>
            <w:tcW w:w="7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746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Shares Outstanding:</w:t>
            </w:r>
          </w:p>
        </w:tc>
        <w:tc>
          <w:tcPr>
            <w:tcW w:w="1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4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Basic</w:t>
            </w:r>
          </w:p>
        </w:tc>
        <w:tc>
          <w:tcPr>
            <w:tcW w:w="11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62,957</w:t>
            </w:r>
          </w:p>
        </w:tc>
        <w:tc>
          <w:tcPr>
            <w:tcW w:w="180" w:type="dxa"/>
            <w:vAlign w:val="bottom"/>
            <w:tcBorders>
              <w:bottom w:val="single" w:sz="8" w:color="CFF0FC"/>
            </w:tcBorders>
          </w:tcPr>
          <w:p>
            <w:pPr>
              <w:spacing w:after="0"/>
              <w:rPr>
                <w:sz w:val="23"/>
                <w:szCs w:val="23"/>
                <w:color w:val="auto"/>
              </w:rPr>
            </w:pPr>
          </w:p>
        </w:tc>
        <w:tc>
          <w:tcPr>
            <w:tcW w:w="120" w:type="dxa"/>
            <w:vAlign w:val="bottom"/>
            <w:tcBorders>
              <w:bottom w:val="single" w:sz="8" w:color="CFF0FC"/>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63,024</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11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63,222</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63,319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restart"/>
          </w:tcPr>
          <w:p>
            <w:pPr>
              <w:spacing w:after="0"/>
              <w:rPr>
                <w:sz w:val="18"/>
                <w:szCs w:val="18"/>
                <w:color w:val="auto"/>
              </w:rPr>
            </w:pPr>
          </w:p>
        </w:tc>
        <w:tc>
          <w:tcPr>
            <w:tcW w:w="7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7460" w:type="dxa"/>
            <w:vAlign w:val="bottom"/>
            <w:shd w:val="clear" w:color="auto" w:fill="CFF0FC"/>
          </w:tcPr>
          <w:p>
            <w:pPr>
              <w:spacing w:after="0"/>
              <w:rPr>
                <w:sz w:val="20"/>
                <w:szCs w:val="20"/>
                <w:color w:val="auto"/>
              </w:rPr>
            </w:pPr>
            <w:r>
              <w:rPr>
                <w:rFonts w:ascii="Arial" w:cs="Arial" w:eastAsia="Arial" w:hAnsi="Arial"/>
                <w:sz w:val="18"/>
                <w:szCs w:val="18"/>
                <w:color w:val="auto"/>
              </w:rPr>
              <w:t>Cash Dividends Per Common Share</w:t>
            </w:r>
          </w:p>
        </w:tc>
        <w:tc>
          <w:tcPr>
            <w:tcW w:w="1100" w:type="dxa"/>
            <w:vAlign w:val="bottom"/>
            <w:shd w:val="clear" w:color="auto" w:fill="CFF0FC"/>
          </w:tcPr>
          <w:p>
            <w:pPr>
              <w:jc w:val="right"/>
              <w:ind w:right="911"/>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0.44</w:t>
            </w:r>
          </w:p>
        </w:tc>
        <w:tc>
          <w:tcPr>
            <w:tcW w:w="1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71"/>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CASH FLOWS</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8"/>
                <w:szCs w:val="18"/>
                <w:color w:val="auto"/>
              </w:rPr>
              <w:t>March 31,</w:t>
            </w: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1"/>
              <w:spacing w:after="0"/>
              <w:rPr>
                <w:sz w:val="20"/>
                <w:szCs w:val="20"/>
                <w:color w:val="auto"/>
              </w:rPr>
            </w:pPr>
            <w:r>
              <w:rPr>
                <w:rFonts w:ascii="Arial" w:cs="Arial" w:eastAsia="Arial" w:hAnsi="Arial"/>
                <w:sz w:val="18"/>
                <w:szCs w:val="18"/>
                <w:color w:val="auto"/>
              </w:rPr>
              <w:t>2018</w:t>
            </w: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11"/>
              <w:spacing w:after="0"/>
              <w:rPr>
                <w:sz w:val="20"/>
                <w:szCs w:val="20"/>
                <w:color w:val="auto"/>
              </w:rPr>
            </w:pPr>
            <w:r>
              <w:rPr>
                <w:rFonts w:ascii="Arial" w:cs="Arial" w:eastAsia="Arial" w:hAnsi="Arial"/>
                <w:sz w:val="18"/>
                <w:szCs w:val="18"/>
                <w:color w:val="auto"/>
                <w:w w:val="84"/>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340" w:type="dxa"/>
            <w:vAlign w:val="bottom"/>
            <w:gridSpan w:val="3"/>
          </w:tcPr>
          <w:p>
            <w:pPr>
              <w:jc w:val="right"/>
              <w:spacing w:after="0"/>
              <w:rPr>
                <w:sz w:val="20"/>
                <w:szCs w:val="20"/>
                <w:color w:val="auto"/>
              </w:rPr>
            </w:pPr>
            <w:r>
              <w:rPr>
                <w:rFonts w:ascii="Arial" w:cs="Arial" w:eastAsia="Arial" w:hAnsi="Arial"/>
                <w:sz w:val="18"/>
                <w:szCs w:val="18"/>
                <w:i w:val="1"/>
                <w:iCs w:val="1"/>
                <w:color w:val="auto"/>
              </w:rPr>
              <w:t>(Dollars in Thousands)</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6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1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Consolidated net earnings</w:t>
            </w:r>
          </w:p>
        </w:tc>
        <w:tc>
          <w:tcPr>
            <w:tcW w:w="148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10,040</w:t>
            </w:r>
          </w:p>
        </w:tc>
        <w:tc>
          <w:tcPr>
            <w:tcW w:w="320" w:type="dxa"/>
            <w:vAlign w:val="bottom"/>
          </w:tcPr>
          <w:p>
            <w:pPr>
              <w:spacing w:after="0"/>
              <w:rPr>
                <w:sz w:val="19"/>
                <w:szCs w:val="19"/>
                <w:color w:val="auto"/>
              </w:rPr>
            </w:pPr>
          </w:p>
        </w:tc>
        <w:tc>
          <w:tcPr>
            <w:tcW w:w="680" w:type="dxa"/>
            <w:vAlign w:val="bottom"/>
          </w:tcPr>
          <w:p>
            <w:pPr>
              <w:jc w:val="right"/>
              <w:ind w:right="52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42,307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consolidated net earnings to net cash</w:t>
            </w:r>
          </w:p>
        </w:tc>
        <w:tc>
          <w:tcPr>
            <w:tcW w:w="1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provided by operating activities:</w:t>
            </w:r>
          </w:p>
        </w:tc>
        <w:tc>
          <w:tcPr>
            <w:tcW w:w="1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420" w:type="dxa"/>
            <w:vAlign w:val="bottom"/>
          </w:tcPr>
          <w:p>
            <w:pPr>
              <w:ind w:left="240"/>
              <w:spacing w:after="0"/>
              <w:rPr>
                <w:sz w:val="20"/>
                <w:szCs w:val="20"/>
                <w:color w:val="auto"/>
              </w:rPr>
            </w:pPr>
            <w:r>
              <w:rPr>
                <w:rFonts w:ascii="Arial" w:cs="Arial" w:eastAsia="Arial" w:hAnsi="Arial"/>
                <w:sz w:val="18"/>
                <w:szCs w:val="18"/>
                <w:color w:val="auto"/>
              </w:rPr>
              <w:t>Depreciation, depletion and amortization</w:t>
            </w: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76,821</w:t>
            </w: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70,376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Stock-based compensation expense</w:t>
            </w:r>
          </w:p>
        </w:tc>
        <w:tc>
          <w:tcPr>
            <w:tcW w:w="1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9,760</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420" w:type="dxa"/>
            <w:vAlign w:val="bottom"/>
          </w:tcPr>
          <w:p>
            <w:pPr>
              <w:ind w:left="240"/>
              <w:spacing w:after="0"/>
              <w:rPr>
                <w:sz w:val="20"/>
                <w:szCs w:val="20"/>
                <w:color w:val="auto"/>
              </w:rPr>
            </w:pPr>
            <w:r>
              <w:rPr>
                <w:rFonts w:ascii="Arial" w:cs="Arial" w:eastAsia="Arial" w:hAnsi="Arial"/>
                <w:sz w:val="18"/>
                <w:szCs w:val="18"/>
                <w:color w:val="auto"/>
              </w:rPr>
              <w:t>(Gain) Loss on divestitures and sales of assets</w:t>
            </w: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(951)</w:t>
            </w: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income taxes</w:t>
            </w:r>
          </w:p>
        </w:tc>
        <w:tc>
          <w:tcPr>
            <w:tcW w:w="1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2,029</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420" w:type="dxa"/>
            <w:vAlign w:val="bottom"/>
          </w:tcPr>
          <w:p>
            <w:pPr>
              <w:ind w:left="240"/>
              <w:spacing w:after="0"/>
              <w:rPr>
                <w:sz w:val="20"/>
                <w:szCs w:val="20"/>
                <w:color w:val="auto"/>
              </w:rPr>
            </w:pPr>
            <w:r>
              <w:rPr>
                <w:rFonts w:ascii="Arial" w:cs="Arial" w:eastAsia="Arial" w:hAnsi="Arial"/>
                <w:sz w:val="18"/>
                <w:szCs w:val="18"/>
                <w:color w:val="auto"/>
              </w:rPr>
              <w:t>Other items, net</w:t>
            </w: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(2,269)</w:t>
            </w:r>
          </w:p>
        </w:tc>
        <w:tc>
          <w:tcPr>
            <w:tcW w:w="6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Changes in operating assets and liabilities, net of effects of acquisitions</w:t>
            </w:r>
          </w:p>
        </w:tc>
        <w:tc>
          <w:tcPr>
            <w:tcW w:w="1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and divestitures:</w:t>
            </w:r>
          </w:p>
        </w:tc>
        <w:tc>
          <w:tcPr>
            <w:tcW w:w="1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420" w:type="dxa"/>
            <w:vAlign w:val="bottom"/>
          </w:tcPr>
          <w:p>
            <w:pPr>
              <w:ind w:left="480"/>
              <w:spacing w:after="0"/>
              <w:rPr>
                <w:sz w:val="20"/>
                <w:szCs w:val="20"/>
                <w:color w:val="auto"/>
              </w:rPr>
            </w:pPr>
            <w:r>
              <w:rPr>
                <w:rFonts w:ascii="Arial" w:cs="Arial" w:eastAsia="Arial" w:hAnsi="Arial"/>
                <w:sz w:val="18"/>
                <w:szCs w:val="18"/>
                <w:color w:val="auto"/>
              </w:rPr>
              <w:t>Accounts receivable, net</w:t>
            </w: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20,951</w:t>
            </w: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(21,305)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Inventories, net</w:t>
            </w:r>
          </w:p>
        </w:tc>
        <w:tc>
          <w:tcPr>
            <w:tcW w:w="1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(8,873)</w:t>
            </w:r>
          </w:p>
        </w:tc>
        <w:tc>
          <w:tcPr>
            <w:tcW w:w="6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(15,375)</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42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7,925</w:t>
            </w: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Other assets and liabilities, net</w:t>
            </w:r>
          </w:p>
        </w:tc>
        <w:tc>
          <w:tcPr>
            <w:tcW w:w="1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(10,421)</w:t>
            </w:r>
          </w:p>
        </w:tc>
        <w:tc>
          <w:tcPr>
            <w:tcW w:w="6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(23,670)</w:t>
            </w:r>
          </w:p>
        </w:tc>
        <w:tc>
          <w:tcPr>
            <w:tcW w:w="0" w:type="dxa"/>
            <w:vAlign w:val="bottom"/>
          </w:tcPr>
          <w:p>
            <w:pPr>
              <w:spacing w:after="0"/>
              <w:rPr>
                <w:sz w:val="1"/>
                <w:szCs w:val="1"/>
                <w:color w:val="auto"/>
              </w:rPr>
            </w:pPr>
          </w:p>
        </w:tc>
      </w:tr>
      <w:tr>
        <w:trPr>
          <w:trHeight w:val="221"/>
        </w:trPr>
        <w:tc>
          <w:tcPr>
            <w:tcW w:w="644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105,012</w:t>
            </w:r>
          </w:p>
        </w:tc>
        <w:tc>
          <w:tcPr>
            <w:tcW w:w="3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73,865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vMerge w:val="restart"/>
          </w:tcPr>
          <w:p>
            <w:pPr>
              <w:spacing w:after="0"/>
              <w:rPr>
                <w:sz w:val="19"/>
                <w:szCs w:val="19"/>
                <w:color w:val="auto"/>
              </w:rPr>
            </w:pPr>
          </w:p>
        </w:tc>
        <w:tc>
          <w:tcPr>
            <w:tcW w:w="642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Additions to property, plant and equipment</w:t>
            </w:r>
          </w:p>
        </w:tc>
        <w:tc>
          <w:tcPr>
            <w:tcW w:w="1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(96,259)</w:t>
            </w:r>
          </w:p>
        </w:tc>
        <w:tc>
          <w:tcPr>
            <w:tcW w:w="6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(102,095)</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420" w:type="dxa"/>
            <w:vAlign w:val="bottom"/>
          </w:tcPr>
          <w:p>
            <w:pPr>
              <w:ind w:left="240"/>
              <w:spacing w:after="0"/>
              <w:rPr>
                <w:sz w:val="20"/>
                <w:szCs w:val="20"/>
                <w:color w:val="auto"/>
              </w:rPr>
            </w:pPr>
            <w:r>
              <w:rPr>
                <w:rFonts w:ascii="Arial" w:cs="Arial" w:eastAsia="Arial" w:hAnsi="Arial"/>
                <w:sz w:val="18"/>
                <w:szCs w:val="18"/>
                <w:color w:val="auto"/>
              </w:rPr>
              <w:t>Proceeds from divestitures and sales of assets</w:t>
            </w: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2,528</w:t>
            </w: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Payment of railcar construction advances</w:t>
            </w:r>
          </w:p>
        </w:tc>
        <w:tc>
          <w:tcPr>
            <w:tcW w:w="1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(8,430)</w:t>
            </w:r>
          </w:p>
        </w:tc>
        <w:tc>
          <w:tcPr>
            <w:tcW w:w="6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(37,011)</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420" w:type="dxa"/>
            <w:vAlign w:val="bottom"/>
          </w:tcPr>
          <w:p>
            <w:pPr>
              <w:ind w:left="240"/>
              <w:spacing w:after="0"/>
              <w:rPr>
                <w:sz w:val="20"/>
                <w:szCs w:val="20"/>
                <w:color w:val="auto"/>
              </w:rPr>
            </w:pPr>
            <w:r>
              <w:rPr>
                <w:rFonts w:ascii="Arial" w:cs="Arial" w:eastAsia="Arial" w:hAnsi="Arial"/>
                <w:sz w:val="18"/>
                <w:szCs w:val="18"/>
                <w:color w:val="auto"/>
              </w:rPr>
              <w:t>Reimbursement of railcar construction advances</w:t>
            </w: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8,430</w:t>
            </w: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Investments in life insurance contracts, net</w:t>
            </w:r>
          </w:p>
        </w:tc>
        <w:tc>
          <w:tcPr>
            <w:tcW w:w="11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32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440" w:type="dxa"/>
            <w:vAlign w:val="bottom"/>
            <w:gridSpan w:val="2"/>
          </w:tcPr>
          <w:p>
            <w:pPr>
              <w:spacing w:after="0"/>
              <w:rPr>
                <w:sz w:val="20"/>
                <w:szCs w:val="20"/>
                <w:color w:val="auto"/>
              </w:rPr>
            </w:pPr>
            <w:r>
              <w:rPr>
                <w:rFonts w:ascii="Arial" w:cs="Arial" w:eastAsia="Arial" w:hAnsi="Arial"/>
                <w:sz w:val="18"/>
                <w:szCs w:val="18"/>
                <w:color w:val="auto"/>
              </w:rPr>
              <w:t>Net Cash Used for Investing Activities</w:t>
            </w: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(93,632)</w:t>
            </w: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(101,375)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vMerge w:val="restart"/>
          </w:tcPr>
          <w:p>
            <w:pPr>
              <w:spacing w:after="0"/>
              <w:rPr>
                <w:sz w:val="19"/>
                <w:szCs w:val="19"/>
                <w:color w:val="auto"/>
              </w:rPr>
            </w:pPr>
          </w:p>
        </w:tc>
        <w:tc>
          <w:tcPr>
            <w:tcW w:w="642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Borrowings of debt</w:t>
            </w:r>
          </w:p>
        </w:tc>
        <w:tc>
          <w:tcPr>
            <w:tcW w:w="1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420" w:type="dxa"/>
            <w:vAlign w:val="bottom"/>
          </w:tcPr>
          <w:p>
            <w:pPr>
              <w:ind w:left="240"/>
              <w:spacing w:after="0"/>
              <w:rPr>
                <w:sz w:val="20"/>
                <w:szCs w:val="20"/>
                <w:color w:val="auto"/>
              </w:rPr>
            </w:pPr>
            <w:r>
              <w:rPr>
                <w:rFonts w:ascii="Arial" w:cs="Arial" w:eastAsia="Arial" w:hAnsi="Arial"/>
                <w:sz w:val="18"/>
                <w:szCs w:val="18"/>
                <w:color w:val="auto"/>
              </w:rPr>
              <w:t>Repayments of debt</w:t>
            </w: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(13)</w:t>
            </w:r>
          </w:p>
        </w:tc>
        <w:tc>
          <w:tcPr>
            <w:tcW w:w="6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(45,012)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Payments on capital lease obligations</w:t>
            </w:r>
          </w:p>
        </w:tc>
        <w:tc>
          <w:tcPr>
            <w:tcW w:w="1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(829)</w:t>
            </w:r>
          </w:p>
        </w:tc>
        <w:tc>
          <w:tcPr>
            <w:tcW w:w="6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420" w:type="dxa"/>
            <w:vAlign w:val="bottom"/>
          </w:tcPr>
          <w:p>
            <w:pPr>
              <w:ind w:left="240"/>
              <w:spacing w:after="0"/>
              <w:rPr>
                <w:sz w:val="20"/>
                <w:szCs w:val="20"/>
                <w:color w:val="auto"/>
              </w:rPr>
            </w:pPr>
            <w:r>
              <w:rPr>
                <w:rFonts w:ascii="Arial" w:cs="Arial" w:eastAsia="Arial" w:hAnsi="Arial"/>
                <w:sz w:val="18"/>
                <w:szCs w:val="18"/>
                <w:color w:val="auto"/>
              </w:rPr>
              <w:t>Debt issuance costs</w:t>
            </w: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(3,194)</w:t>
            </w:r>
          </w:p>
        </w:tc>
        <w:tc>
          <w:tcPr>
            <w:tcW w:w="68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Contributions by owners of noncontrolling interest</w:t>
            </w:r>
          </w:p>
        </w:tc>
        <w:tc>
          <w:tcPr>
            <w:tcW w:w="1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420" w:type="dxa"/>
            <w:vAlign w:val="bottom"/>
          </w:tcPr>
          <w:p>
            <w:pPr>
              <w:ind w:left="240"/>
              <w:spacing w:after="0"/>
              <w:rPr>
                <w:sz w:val="20"/>
                <w:szCs w:val="20"/>
                <w:color w:val="auto"/>
              </w:rPr>
            </w:pPr>
            <w:r>
              <w:rPr>
                <w:rFonts w:ascii="Arial" w:cs="Arial" w:eastAsia="Arial" w:hAnsi="Arial"/>
                <w:sz w:val="18"/>
                <w:szCs w:val="18"/>
                <w:color w:val="auto"/>
              </w:rPr>
              <w:t>Dividends paid</w:t>
            </w: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(27,885)</w:t>
            </w:r>
          </w:p>
        </w:tc>
        <w:tc>
          <w:tcPr>
            <w:tcW w:w="6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(26,560)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exercise of stock options</w:t>
            </w:r>
          </w:p>
        </w:tc>
        <w:tc>
          <w:tcPr>
            <w:tcW w:w="1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2,801</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420" w:type="dxa"/>
            <w:vAlign w:val="bottom"/>
          </w:tcPr>
          <w:p>
            <w:pPr>
              <w:ind w:left="240"/>
              <w:spacing w:after="0"/>
              <w:rPr>
                <w:sz w:val="20"/>
                <w:szCs w:val="20"/>
                <w:color w:val="auto"/>
              </w:rPr>
            </w:pPr>
            <w:r>
              <w:rPr>
                <w:rFonts w:ascii="Arial" w:cs="Arial" w:eastAsia="Arial" w:hAnsi="Arial"/>
                <w:sz w:val="18"/>
                <w:szCs w:val="18"/>
                <w:color w:val="auto"/>
              </w:rPr>
              <w:t>Shares withheld for employees' income tax obligations</w:t>
            </w: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(6,380)</w:t>
            </w:r>
          </w:p>
        </w:tc>
        <w:tc>
          <w:tcPr>
            <w:tcW w:w="6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(3,695)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Repurchases of common stock</w:t>
            </w:r>
          </w:p>
        </w:tc>
        <w:tc>
          <w:tcPr>
            <w:tcW w:w="1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(99,999)</w:t>
            </w:r>
          </w:p>
        </w:tc>
        <w:tc>
          <w:tcPr>
            <w:tcW w:w="0" w:type="dxa"/>
            <w:vAlign w:val="bottom"/>
          </w:tcPr>
          <w:p>
            <w:pPr>
              <w:spacing w:after="0"/>
              <w:rPr>
                <w:sz w:val="1"/>
                <w:szCs w:val="1"/>
                <w:color w:val="auto"/>
              </w:rPr>
            </w:pPr>
          </w:p>
        </w:tc>
      </w:tr>
      <w:tr>
        <w:trPr>
          <w:trHeight w:val="221"/>
        </w:trPr>
        <w:tc>
          <w:tcPr>
            <w:tcW w:w="6440" w:type="dxa"/>
            <w:vAlign w:val="bottom"/>
            <w:gridSpan w:val="2"/>
          </w:tcPr>
          <w:p>
            <w:pPr>
              <w:spacing w:after="0"/>
              <w:rPr>
                <w:sz w:val="20"/>
                <w:szCs w:val="20"/>
                <w:color w:val="auto"/>
              </w:rPr>
            </w:pPr>
            <w:r>
              <w:rPr>
                <w:rFonts w:ascii="Arial" w:cs="Arial" w:eastAsia="Arial" w:hAnsi="Arial"/>
                <w:sz w:val="18"/>
                <w:szCs w:val="18"/>
                <w:color w:val="auto"/>
              </w:rPr>
              <w:t>Net Cash (Used for) Provided by Financing Activities</w:t>
            </w:r>
          </w:p>
        </w:tc>
        <w:tc>
          <w:tcPr>
            <w:tcW w:w="1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(35,371)</w:t>
            </w:r>
          </w:p>
        </w:tc>
        <w:tc>
          <w:tcPr>
            <w:tcW w:w="3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(Decrease) Increase in Cash and Cash Equivalents</w:t>
            </w:r>
          </w:p>
        </w:tc>
        <w:tc>
          <w:tcPr>
            <w:tcW w:w="11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(23,991)</w:t>
            </w:r>
          </w:p>
        </w:tc>
        <w:tc>
          <w:tcPr>
            <w:tcW w:w="32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11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1,446,364</w:t>
            </w:r>
          </w:p>
        </w:tc>
        <w:tc>
          <w:tcPr>
            <w:tcW w:w="32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50,038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end of period</w:t>
            </w:r>
          </w:p>
        </w:tc>
        <w:tc>
          <w:tcPr>
            <w:tcW w:w="11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8"/>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1,422,373</w:t>
            </w:r>
          </w:p>
        </w:tc>
        <w:tc>
          <w:tcPr>
            <w:tcW w:w="32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2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55,418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5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 OF TOTAL EQUITY</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Shares of</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Additional</w:t>
            </w: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Common</w:t>
            </w: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w w:val="93"/>
              </w:rPr>
              <w:t>Common</w:t>
            </w:r>
          </w:p>
        </w:tc>
        <w:tc>
          <w:tcPr>
            <w:tcW w:w="6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Paid-</w:t>
            </w:r>
          </w:p>
        </w:tc>
        <w:tc>
          <w:tcPr>
            <w:tcW w:w="1700" w:type="dxa"/>
            <w:vAlign w:val="bottom"/>
            <w:gridSpan w:val="3"/>
          </w:tcPr>
          <w:p>
            <w:pPr>
              <w:ind w:left="40"/>
              <w:spacing w:after="0"/>
              <w:rPr>
                <w:sz w:val="20"/>
                <w:szCs w:val="20"/>
                <w:color w:val="auto"/>
              </w:rPr>
            </w:pPr>
            <w:r>
              <w:rPr>
                <w:rFonts w:ascii="Arial" w:cs="Arial" w:eastAsia="Arial" w:hAnsi="Arial"/>
                <w:sz w:val="18"/>
                <w:szCs w:val="18"/>
                <w:color w:val="auto"/>
              </w:rPr>
              <w:t>Accumulated Other</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3"/>
              </w:rPr>
              <w:t>Retained</w:t>
            </w:r>
          </w:p>
        </w:tc>
        <w:tc>
          <w:tcPr>
            <w:tcW w:w="1160" w:type="dxa"/>
            <w:vAlign w:val="bottom"/>
            <w:gridSpan w:val="4"/>
          </w:tcPr>
          <w:p>
            <w:pPr>
              <w:ind w:left="60"/>
              <w:spacing w:after="0"/>
              <w:rPr>
                <w:sz w:val="20"/>
                <w:szCs w:val="20"/>
                <w:color w:val="auto"/>
              </w:rPr>
            </w:pPr>
            <w:r>
              <w:rPr>
                <w:rFonts w:ascii="Arial" w:cs="Arial" w:eastAsia="Arial" w:hAnsi="Arial"/>
                <w:sz w:val="18"/>
                <w:szCs w:val="18"/>
                <w:color w:val="auto"/>
                <w:w w:val="97"/>
              </w:rPr>
              <w:t>Shareholders'</w:t>
            </w:r>
          </w:p>
        </w:tc>
        <w:tc>
          <w:tcPr>
            <w:tcW w:w="1560" w:type="dxa"/>
            <w:vAlign w:val="bottom"/>
            <w:gridSpan w:val="4"/>
          </w:tcPr>
          <w:p>
            <w:pPr>
              <w:ind w:left="60"/>
              <w:spacing w:after="0"/>
              <w:rPr>
                <w:sz w:val="20"/>
                <w:szCs w:val="20"/>
                <w:color w:val="auto"/>
              </w:rPr>
            </w:pPr>
            <w:r>
              <w:rPr>
                <w:rFonts w:ascii="Arial" w:cs="Arial" w:eastAsia="Arial" w:hAnsi="Arial"/>
                <w:sz w:val="18"/>
                <w:szCs w:val="18"/>
                <w:color w:val="auto"/>
              </w:rPr>
              <w:t>Noncontrolling</w:t>
            </w:r>
          </w:p>
        </w:tc>
        <w:tc>
          <w:tcPr>
            <w:tcW w:w="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8"/>
        </w:trPr>
        <w:tc>
          <w:tcPr>
            <w:tcW w:w="2220" w:type="dxa"/>
            <w:vAlign w:val="bottom"/>
            <w:gridSpan w:val="3"/>
          </w:tcPr>
          <w:p>
            <w:pPr>
              <w:spacing w:after="0"/>
              <w:rPr>
                <w:sz w:val="20"/>
                <w:szCs w:val="20"/>
                <w:color w:val="auto"/>
              </w:rPr>
            </w:pPr>
            <w:r>
              <w:rPr>
                <w:rFonts w:ascii="Arial" w:cs="Arial" w:eastAsia="Arial" w:hAnsi="Arial"/>
                <w:sz w:val="18"/>
                <w:szCs w:val="18"/>
                <w:i w:val="1"/>
                <w:iCs w:val="1"/>
                <w:color w:val="auto"/>
              </w:rPr>
              <w:t>(in thousands)</w:t>
            </w:r>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Stock</w:t>
            </w:r>
          </w:p>
        </w:tc>
        <w:tc>
          <w:tcPr>
            <w:tcW w:w="120" w:type="dxa"/>
            <w:vAlign w:val="bottom"/>
          </w:tcPr>
          <w:p>
            <w:pPr>
              <w:spacing w:after="0"/>
              <w:rPr>
                <w:sz w:val="19"/>
                <w:szCs w:val="19"/>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Stock</w:t>
            </w:r>
          </w:p>
        </w:tc>
        <w:tc>
          <w:tcPr>
            <w:tcW w:w="60" w:type="dxa"/>
            <w:vAlign w:val="bottom"/>
          </w:tcPr>
          <w:p>
            <w:pPr>
              <w:spacing w:after="0"/>
              <w:rPr>
                <w:sz w:val="19"/>
                <w:szCs w:val="19"/>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in Capital</w:t>
            </w:r>
          </w:p>
        </w:tc>
        <w:tc>
          <w:tcPr>
            <w:tcW w:w="1700" w:type="dxa"/>
            <w:vAlign w:val="bottom"/>
            <w:gridSpan w:val="3"/>
          </w:tcPr>
          <w:p>
            <w:pPr>
              <w:spacing w:after="0"/>
              <w:rPr>
                <w:sz w:val="20"/>
                <w:szCs w:val="20"/>
                <w:color w:val="auto"/>
              </w:rPr>
            </w:pPr>
            <w:r>
              <w:rPr>
                <w:rFonts w:ascii="Arial" w:cs="Arial" w:eastAsia="Arial" w:hAnsi="Arial"/>
                <w:sz w:val="18"/>
                <w:szCs w:val="18"/>
                <w:color w:val="auto"/>
                <w:w w:val="99"/>
              </w:rPr>
              <w:t>Comprehensive Loss</w:t>
            </w:r>
          </w:p>
        </w:tc>
        <w:tc>
          <w:tcPr>
            <w:tcW w:w="10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Earnings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Equity</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w w:val="95"/>
              </w:rPr>
              <w:t>Interests</w:t>
            </w:r>
          </w:p>
        </w:tc>
        <w:tc>
          <w:tcPr>
            <w:tcW w:w="2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Equity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0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8"/>
              </w:rPr>
              <w:t>Balance at December 31,</w:t>
            </w:r>
          </w:p>
        </w:tc>
        <w:tc>
          <w:tcPr>
            <w:tcW w:w="18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020" w:type="dxa"/>
            <w:vAlign w:val="bottom"/>
            <w:shd w:val="clear" w:color="auto" w:fill="CFF0FC"/>
          </w:tcPr>
          <w:p>
            <w:pPr>
              <w:spacing w:after="0"/>
              <w:rPr>
                <w:sz w:val="20"/>
                <w:szCs w:val="20"/>
                <w:color w:val="auto"/>
              </w:rPr>
            </w:pPr>
            <w:r>
              <w:rPr>
                <w:rFonts w:ascii="Arial" w:cs="Arial" w:eastAsia="Arial" w:hAnsi="Arial"/>
                <w:sz w:val="18"/>
                <w:szCs w:val="18"/>
                <w:color w:val="auto"/>
              </w:rPr>
              <w:t>2016</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63,176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2"/>
              </w:rPr>
              <w:t>$ 3,334,461</w:t>
            </w: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(130,687)</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935,574</w:t>
            </w: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4,139,978</w:t>
            </w:r>
          </w:p>
        </w:tc>
        <w:tc>
          <w:tcPr>
            <w:tcW w:w="1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2,612</w:t>
            </w:r>
          </w:p>
        </w:tc>
        <w:tc>
          <w:tcPr>
            <w:tcW w:w="4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4"/>
              </w:rPr>
              <w:t>$ 4,142,590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00" w:type="dxa"/>
            <w:vAlign w:val="bottom"/>
            <w:gridSpan w:val="2"/>
          </w:tcPr>
          <w:p>
            <w:pPr>
              <w:ind w:left="240"/>
              <w:spacing w:after="0"/>
              <w:rPr>
                <w:sz w:val="20"/>
                <w:szCs w:val="20"/>
                <w:color w:val="auto"/>
              </w:rPr>
            </w:pPr>
            <w:r>
              <w:rPr>
                <w:rFonts w:ascii="Arial" w:cs="Arial" w:eastAsia="Arial" w:hAnsi="Arial"/>
                <w:sz w:val="18"/>
                <w:szCs w:val="18"/>
                <w:color w:val="auto"/>
              </w:rPr>
              <w:t>Consolidated net</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200" w:type="dxa"/>
            <w:vAlign w:val="bottom"/>
            <w:gridSpan w:val="2"/>
          </w:tcPr>
          <w:p>
            <w:pPr>
              <w:ind w:left="240"/>
              <w:spacing w:after="0"/>
              <w:rPr>
                <w:sz w:val="20"/>
                <w:szCs w:val="20"/>
                <w:color w:val="auto"/>
              </w:rPr>
            </w:pPr>
            <w:r>
              <w:rPr>
                <w:rFonts w:ascii="Arial" w:cs="Arial" w:eastAsia="Arial" w:hAnsi="Arial"/>
                <w:sz w:val="18"/>
                <w:szCs w:val="18"/>
                <w:color w:val="auto"/>
              </w:rPr>
              <w:t>earnings</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42,334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42,334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(27)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42,307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2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 comprehensive</w:t>
            </w: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2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earnings,</w:t>
            </w: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20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net of tax</w:t>
            </w: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2,262</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2,263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200" w:type="dxa"/>
            <w:vAlign w:val="bottom"/>
            <w:gridSpan w:val="2"/>
          </w:tcPr>
          <w:p>
            <w:pPr>
              <w:ind w:left="240"/>
              <w:spacing w:after="0"/>
              <w:rPr>
                <w:sz w:val="20"/>
                <w:szCs w:val="20"/>
                <w:color w:val="auto"/>
              </w:rPr>
            </w:pPr>
            <w:r>
              <w:rPr>
                <w:rFonts w:ascii="Arial" w:cs="Arial" w:eastAsia="Arial" w:hAnsi="Arial"/>
                <w:sz w:val="18"/>
                <w:szCs w:val="18"/>
                <w:color w:val="auto"/>
              </w:rPr>
              <w:t>Dividends declared</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(26,560)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(26,560)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(26,560)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Issuances of common</w:t>
            </w: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2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stock for stock</w:t>
            </w: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20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award plans</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5,077</w:t>
            </w: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5,078</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5,078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00" w:type="dxa"/>
            <w:vAlign w:val="bottom"/>
            <w:gridSpan w:val="2"/>
          </w:tcPr>
          <w:p>
            <w:pPr>
              <w:ind w:left="240"/>
              <w:spacing w:after="0"/>
              <w:rPr>
                <w:sz w:val="20"/>
                <w:szCs w:val="20"/>
                <w:color w:val="auto"/>
              </w:rPr>
            </w:pPr>
            <w:r>
              <w:rPr>
                <w:rFonts w:ascii="Arial" w:cs="Arial" w:eastAsia="Arial" w:hAnsi="Arial"/>
                <w:sz w:val="18"/>
                <w:szCs w:val="18"/>
                <w:color w:val="auto"/>
                <w:w w:val="96"/>
              </w:rPr>
              <w:t>Repurchases of common</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200" w:type="dxa"/>
            <w:vAlign w:val="bottom"/>
            <w:gridSpan w:val="2"/>
          </w:tcPr>
          <w:p>
            <w:pPr>
              <w:ind w:left="240"/>
              <w:spacing w:after="0"/>
              <w:rPr>
                <w:sz w:val="20"/>
                <w:szCs w:val="20"/>
                <w:color w:val="auto"/>
              </w:rPr>
            </w:pPr>
            <w:r>
              <w:rPr>
                <w:rFonts w:ascii="Arial" w:cs="Arial" w:eastAsia="Arial" w:hAnsi="Arial"/>
                <w:sz w:val="18"/>
                <w:szCs w:val="18"/>
                <w:color w:val="auto"/>
              </w:rPr>
              <w:t>stock</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(99,994)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(99,999)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(99,999)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2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Stock-based</w:t>
            </w: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2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compensation expense</w:t>
            </w: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10,275</w:t>
            </w: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10,275</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10,275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220" w:type="dxa"/>
            <w:vAlign w:val="bottom"/>
            <w:gridSpan w:val="3"/>
          </w:tcPr>
          <w:p>
            <w:pPr>
              <w:spacing w:after="0"/>
              <w:rPr>
                <w:sz w:val="20"/>
                <w:szCs w:val="20"/>
                <w:color w:val="auto"/>
              </w:rPr>
            </w:pPr>
            <w:r>
              <w:rPr>
                <w:rFonts w:ascii="Arial" w:cs="Arial" w:eastAsia="Arial" w:hAnsi="Arial"/>
                <w:sz w:val="18"/>
                <w:szCs w:val="18"/>
                <w:color w:val="auto"/>
              </w:rPr>
              <w:t>Balance at March 31, 2017</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62,778</w:t>
            </w:r>
          </w:p>
        </w:tc>
        <w:tc>
          <w:tcPr>
            <w:tcW w:w="2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$ 3,349,813</w:t>
            </w:r>
          </w:p>
        </w:tc>
        <w:tc>
          <w:tcPr>
            <w:tcW w:w="180" w:type="dxa"/>
            <w:vAlign w:val="bottom"/>
          </w:tcPr>
          <w:p>
            <w:pPr>
              <w:spacing w:after="0"/>
              <w:rPr>
                <w:sz w:val="22"/>
                <w:szCs w:val="22"/>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(128,425)</w:t>
            </w:r>
          </w:p>
        </w:tc>
        <w:tc>
          <w:tcPr>
            <w:tcW w:w="18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851,354</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4,073,368</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2,586</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1"/>
              </w:rPr>
              <w:t>$ 4,075,954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20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Balance at December 31,</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40" w:type="dxa"/>
            <w:vAlign w:val="bottom"/>
            <w:gridSpan w:val="2"/>
          </w:tcPr>
          <w:p>
            <w:pPr>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62,873</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628</w:t>
            </w:r>
          </w:p>
        </w:tc>
        <w:tc>
          <w:tcPr>
            <w:tcW w:w="1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2"/>
              </w:rPr>
              <w:t>$ 3,368,007</w:t>
            </w:r>
          </w:p>
        </w:tc>
        <w:tc>
          <w:tcPr>
            <w:tcW w:w="180" w:type="dxa"/>
            <w:vAlign w:val="bottom"/>
          </w:tcPr>
          <w:p>
            <w:pPr>
              <w:spacing w:after="0"/>
              <w:rPr>
                <w:sz w:val="19"/>
                <w:szCs w:val="19"/>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(129,104)</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1,440,069</w:t>
            </w:r>
          </w:p>
        </w:tc>
        <w:tc>
          <w:tcPr>
            <w:tcW w:w="120" w:type="dxa"/>
            <w:vAlign w:val="bottom"/>
          </w:tcPr>
          <w:p>
            <w:pPr>
              <w:spacing w:after="0"/>
              <w:rPr>
                <w:sz w:val="19"/>
                <w:szCs w:val="19"/>
                <w:color w:val="auto"/>
              </w:rPr>
            </w:pP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4,679,600</w:t>
            </w:r>
          </w:p>
        </w:tc>
        <w:tc>
          <w:tcPr>
            <w:tcW w:w="120" w:type="dxa"/>
            <w:vAlign w:val="bottom"/>
          </w:tcPr>
          <w:p>
            <w:pPr>
              <w:spacing w:after="0"/>
              <w:rPr>
                <w:sz w:val="19"/>
                <w:szCs w:val="19"/>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2,877</w:t>
            </w:r>
          </w:p>
        </w:tc>
        <w:tc>
          <w:tcPr>
            <w:tcW w:w="4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4"/>
              </w:rPr>
              <w:t>$ 4,682,477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2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Consolidated net</w:t>
            </w: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2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earnings</w:t>
            </w: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10,023</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10,023</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4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10,040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00" w:type="dxa"/>
            <w:vAlign w:val="bottom"/>
            <w:gridSpan w:val="2"/>
          </w:tcPr>
          <w:p>
            <w:pPr>
              <w:ind w:left="240"/>
              <w:spacing w:after="0"/>
              <w:rPr>
                <w:sz w:val="20"/>
                <w:szCs w:val="20"/>
                <w:color w:val="auto"/>
              </w:rPr>
            </w:pPr>
            <w:r>
              <w:rPr>
                <w:rFonts w:ascii="Arial" w:cs="Arial" w:eastAsia="Arial" w:hAnsi="Arial"/>
                <w:sz w:val="18"/>
                <w:szCs w:val="18"/>
                <w:color w:val="auto"/>
              </w:rPr>
              <w:t>Other comprehensive</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200" w:type="dxa"/>
            <w:vAlign w:val="bottom"/>
            <w:gridSpan w:val="2"/>
          </w:tcPr>
          <w:p>
            <w:pPr>
              <w:ind w:left="240"/>
              <w:spacing w:after="0"/>
              <w:rPr>
                <w:sz w:val="20"/>
                <w:szCs w:val="20"/>
                <w:color w:val="auto"/>
              </w:rPr>
            </w:pPr>
            <w:r>
              <w:rPr>
                <w:rFonts w:ascii="Arial" w:cs="Arial" w:eastAsia="Arial" w:hAnsi="Arial"/>
                <w:sz w:val="18"/>
                <w:szCs w:val="18"/>
                <w:color w:val="auto"/>
              </w:rPr>
              <w:t>earnings,</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200" w:type="dxa"/>
            <w:vAlign w:val="bottom"/>
            <w:gridSpan w:val="2"/>
          </w:tcPr>
          <w:p>
            <w:pPr>
              <w:ind w:left="360"/>
              <w:spacing w:after="0"/>
              <w:rPr>
                <w:sz w:val="20"/>
                <w:szCs w:val="20"/>
                <w:color w:val="auto"/>
              </w:rPr>
            </w:pPr>
            <w:r>
              <w:rPr>
                <w:rFonts w:ascii="Arial" w:cs="Arial" w:eastAsia="Arial" w:hAnsi="Arial"/>
                <w:sz w:val="18"/>
                <w:szCs w:val="18"/>
                <w:color w:val="auto"/>
              </w:rPr>
              <w:t>net of tax</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1,619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2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Dividends declared</w:t>
            </w: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(27,885)</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(27,885)</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(27,885)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00" w:type="dxa"/>
            <w:vAlign w:val="bottom"/>
            <w:gridSpan w:val="2"/>
          </w:tcPr>
          <w:p>
            <w:pPr>
              <w:ind w:left="240"/>
              <w:spacing w:after="0"/>
              <w:rPr>
                <w:sz w:val="20"/>
                <w:szCs w:val="20"/>
                <w:color w:val="auto"/>
              </w:rPr>
            </w:pPr>
            <w:r>
              <w:rPr>
                <w:rFonts w:ascii="Arial" w:cs="Arial" w:eastAsia="Arial" w:hAnsi="Arial"/>
                <w:sz w:val="18"/>
                <w:szCs w:val="18"/>
                <w:color w:val="auto"/>
              </w:rPr>
              <w:t>Issuances of common</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200" w:type="dxa"/>
            <w:vAlign w:val="bottom"/>
            <w:gridSpan w:val="2"/>
          </w:tcPr>
          <w:p>
            <w:pPr>
              <w:ind w:left="240"/>
              <w:spacing w:after="0"/>
              <w:rPr>
                <w:sz w:val="20"/>
                <w:szCs w:val="20"/>
                <w:color w:val="auto"/>
              </w:rPr>
            </w:pPr>
            <w:r>
              <w:rPr>
                <w:rFonts w:ascii="Arial" w:cs="Arial" w:eastAsia="Arial" w:hAnsi="Arial"/>
                <w:sz w:val="18"/>
                <w:szCs w:val="18"/>
                <w:color w:val="auto"/>
              </w:rPr>
              <w:t>stock for stock</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200" w:type="dxa"/>
            <w:vAlign w:val="bottom"/>
            <w:gridSpan w:val="2"/>
          </w:tcPr>
          <w:p>
            <w:pPr>
              <w:ind w:left="360"/>
              <w:spacing w:after="0"/>
              <w:rPr>
                <w:sz w:val="20"/>
                <w:szCs w:val="20"/>
                <w:color w:val="auto"/>
              </w:rPr>
            </w:pPr>
            <w:r>
              <w:rPr>
                <w:rFonts w:ascii="Arial" w:cs="Arial" w:eastAsia="Arial" w:hAnsi="Arial"/>
                <w:sz w:val="18"/>
                <w:szCs w:val="18"/>
                <w:color w:val="auto"/>
              </w:rPr>
              <w:t>award plans</w:t>
            </w:r>
          </w:p>
        </w:tc>
        <w:tc>
          <w:tcPr>
            <w:tcW w:w="740" w:type="dxa"/>
            <w:vAlign w:val="bottom"/>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9,893</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9,893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9,893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2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Shares withheld for</w:t>
            </w: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2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employees' income</w:t>
            </w: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20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tax obligations</w:t>
            </w: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(6,380)</w:t>
            </w:r>
          </w:p>
        </w:tc>
        <w:tc>
          <w:tcPr>
            <w:tcW w:w="4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(6,380)</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(6,380)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00" w:type="dxa"/>
            <w:vAlign w:val="bottom"/>
            <w:gridSpan w:val="2"/>
          </w:tcPr>
          <w:p>
            <w:pPr>
              <w:ind w:left="240"/>
              <w:spacing w:after="0"/>
              <w:rPr>
                <w:sz w:val="20"/>
                <w:szCs w:val="20"/>
                <w:color w:val="auto"/>
              </w:rPr>
            </w:pPr>
            <w:r>
              <w:rPr>
                <w:rFonts w:ascii="Arial" w:cs="Arial" w:eastAsia="Arial" w:hAnsi="Arial"/>
                <w:sz w:val="18"/>
                <w:szCs w:val="18"/>
                <w:color w:val="auto"/>
              </w:rPr>
              <w:t>Stock-based</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200" w:type="dxa"/>
            <w:vAlign w:val="bottom"/>
            <w:gridSpan w:val="2"/>
          </w:tcPr>
          <w:p>
            <w:pPr>
              <w:ind w:left="240"/>
              <w:spacing w:after="0"/>
              <w:rPr>
                <w:sz w:val="20"/>
                <w:szCs w:val="20"/>
                <w:color w:val="auto"/>
              </w:rPr>
            </w:pPr>
            <w:r>
              <w:rPr>
                <w:rFonts w:ascii="Arial" w:cs="Arial" w:eastAsia="Arial" w:hAnsi="Arial"/>
                <w:sz w:val="18"/>
                <w:szCs w:val="18"/>
                <w:color w:val="auto"/>
              </w:rPr>
              <w:t>compensation expense</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9,760</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9,760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9,760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2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Contributions from</w:t>
            </w: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2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owners of</w:t>
            </w: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20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noncontrolling interest</w:t>
            </w: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w:t>
            </w:r>
          </w:p>
        </w:tc>
        <w:tc>
          <w:tcPr>
            <w:tcW w:w="4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220" w:type="dxa"/>
            <w:vAlign w:val="bottom"/>
            <w:gridSpan w:val="3"/>
          </w:tcPr>
          <w:p>
            <w:pPr>
              <w:spacing w:after="0"/>
              <w:rPr>
                <w:sz w:val="20"/>
                <w:szCs w:val="20"/>
                <w:color w:val="auto"/>
              </w:rPr>
            </w:pPr>
            <w:r>
              <w:rPr>
                <w:rFonts w:ascii="Arial" w:cs="Arial" w:eastAsia="Arial" w:hAnsi="Arial"/>
                <w:sz w:val="18"/>
                <w:szCs w:val="18"/>
                <w:color w:val="auto"/>
              </w:rPr>
              <w:t>Balance at March 31, 2018</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62,948</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$ 3,381,280</w:t>
            </w:r>
          </w:p>
        </w:tc>
        <w:tc>
          <w:tcPr>
            <w:tcW w:w="18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(127,485)</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1,422,207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4,676,630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3,200</w:t>
            </w:r>
          </w:p>
        </w:tc>
        <w:tc>
          <w:tcPr>
            <w:tcW w:w="4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1"/>
              </w:rPr>
              <w:t>$ 4,679,830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6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2018</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12" w:lineRule="exact"/>
        <w:rPr>
          <w:sz w:val="20"/>
          <w:szCs w:val="20"/>
          <w:color w:val="auto"/>
        </w:rPr>
      </w:pPr>
    </w:p>
    <w:p>
      <w:pPr>
        <w:ind w:left="380" w:right="8440" w:hanging="373"/>
        <w:spacing w:after="0" w:line="352" w:lineRule="auto"/>
        <w:tabs>
          <w:tab w:leader="none" w:pos="375"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Significant Accounting Policies Organization</w:t>
      </w:r>
    </w:p>
    <w:p>
      <w:pPr>
        <w:jc w:val="both"/>
        <w:ind w:left="380"/>
        <w:spacing w:after="0"/>
        <w:rPr>
          <w:rFonts w:ascii="Arial" w:cs="Arial" w:eastAsia="Arial" w:hAnsi="Arial"/>
          <w:sz w:val="20"/>
          <w:szCs w:val="20"/>
          <w:b w:val="1"/>
          <w:bCs w:val="1"/>
          <w:color w:val="auto"/>
        </w:rPr>
      </w:pPr>
      <w:r>
        <w:rPr>
          <w:rFonts w:ascii="Arial" w:cs="Arial" w:eastAsia="Arial" w:hAnsi="Arial"/>
          <w:sz w:val="20"/>
          <w:szCs w:val="20"/>
          <w:color w:val="auto"/>
        </w:rPr>
        <w:t>Martin Marietta Materials, Inc. (the Company or Martin Marietta) is a natural resource-based building materials company. The Company supplies aggregates (crushed stone, sand and gravel) through its network of 282 quarries, mines and distribution yards to its customers in 30 states, Canada, the Bahamas and the Caribbean Islands. In the western United States, Martin Marietta also provides cement and downstream products, namely, ready mixed concrete, asphalt and paving services, in vertically-integrated structured markets where the Company has a leading aggregates position. The Company’s heavy-side building materials are used in infrastructure, nonresidential and residential construction projects. Aggregates are also used in agricultural, utility and environmental applications and as railroad ballast. The aggregates, cement, ready mixed concrete and asphalt and paving product lines are reported collectively as the “Building Materials” business.</w:t>
      </w:r>
    </w:p>
    <w:p>
      <w:pPr>
        <w:spacing w:after="0" w:line="87" w:lineRule="exact"/>
        <w:rPr>
          <w:rFonts w:ascii="Arial" w:cs="Arial" w:eastAsia="Arial" w:hAnsi="Arial"/>
          <w:sz w:val="20"/>
          <w:szCs w:val="20"/>
          <w:b w:val="1"/>
          <w:bCs w:val="1"/>
          <w:color w:val="auto"/>
        </w:rPr>
      </w:pPr>
    </w:p>
    <w:p>
      <w:pPr>
        <w:ind w:left="380"/>
        <w:spacing w:after="0" w:line="257" w:lineRule="auto"/>
        <w:rPr>
          <w:rFonts w:ascii="Arial" w:cs="Arial" w:eastAsia="Arial" w:hAnsi="Arial"/>
          <w:sz w:val="20"/>
          <w:szCs w:val="20"/>
          <w:b w:val="1"/>
          <w:bCs w:val="1"/>
          <w:color w:val="auto"/>
        </w:rPr>
      </w:pPr>
      <w:r>
        <w:rPr>
          <w:rFonts w:ascii="Arial" w:cs="Arial" w:eastAsia="Arial" w:hAnsi="Arial"/>
          <w:sz w:val="20"/>
          <w:szCs w:val="20"/>
          <w:color w:val="auto"/>
        </w:rPr>
        <w:t>The Company’s Building Materials business includes three reportable segments: the Mid-America Group, the Southeast Group and the West Group.</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BUILDING MATERIALS BUSINESS</w:t>
      </w:r>
    </w:p>
    <w:p>
      <w:pPr>
        <w:spacing w:after="0" w:line="20"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2560" w:type="dxa"/>
            <w:vAlign w:val="bottom"/>
            <w:tcBorders>
              <w:top w:val="single" w:sz="8" w:color="auto"/>
            </w:tcBorders>
            <w:gridSpan w:val="3"/>
          </w:tcPr>
          <w:p>
            <w:pPr>
              <w:spacing w:after="0"/>
              <w:rPr>
                <w:sz w:val="20"/>
                <w:szCs w:val="20"/>
                <w:color w:val="auto"/>
              </w:rPr>
            </w:pPr>
            <w:r>
              <w:rPr>
                <w:rFonts w:ascii="Arial" w:cs="Arial" w:eastAsia="Arial" w:hAnsi="Arial"/>
                <w:sz w:val="20"/>
                <w:szCs w:val="20"/>
                <w:color w:val="auto"/>
              </w:rPr>
              <w:t>Reportable Segments</w:t>
            </w:r>
          </w:p>
        </w:tc>
        <w:tc>
          <w:tcPr>
            <w:tcW w:w="274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20"/>
                <w:szCs w:val="20"/>
                <w:color w:val="auto"/>
                <w:w w:val="93"/>
              </w:rPr>
              <w:t>Mid-America Group</w:t>
            </w:r>
          </w:p>
        </w:tc>
        <w:tc>
          <w:tcPr>
            <w:tcW w:w="206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20"/>
                <w:szCs w:val="20"/>
                <w:color w:val="auto"/>
                <w:w w:val="87"/>
              </w:rPr>
              <w:t>Southeast Group</w:t>
            </w:r>
          </w:p>
        </w:tc>
        <w:tc>
          <w:tcPr>
            <w:tcW w:w="312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8"/>
              </w:rPr>
              <w:t>West Group</w:t>
            </w:r>
          </w:p>
        </w:tc>
      </w:tr>
      <w:tr>
        <w:trPr>
          <w:trHeight w:val="204"/>
        </w:trPr>
        <w:tc>
          <w:tcPr>
            <w:tcW w:w="20" w:type="dxa"/>
            <w:vAlign w:val="bottom"/>
          </w:tcPr>
          <w:p>
            <w:pPr>
              <w:spacing w:after="0"/>
              <w:rPr>
                <w:sz w:val="17"/>
                <w:szCs w:val="17"/>
                <w:color w:val="auto"/>
              </w:rPr>
            </w:pPr>
          </w:p>
        </w:tc>
        <w:tc>
          <w:tcPr>
            <w:tcW w:w="2380" w:type="dxa"/>
            <w:vAlign w:val="bottom"/>
            <w:tcBorders>
              <w:top w:val="single" w:sz="8" w:color="auto"/>
            </w:tcBorders>
          </w:tcPr>
          <w:p>
            <w:pPr>
              <w:spacing w:after="0" w:line="204" w:lineRule="exact"/>
              <w:rPr>
                <w:sz w:val="20"/>
                <w:szCs w:val="20"/>
                <w:color w:val="auto"/>
              </w:rPr>
            </w:pPr>
            <w:r>
              <w:rPr>
                <w:rFonts w:ascii="Arial" w:cs="Arial" w:eastAsia="Arial" w:hAnsi="Arial"/>
                <w:sz w:val="20"/>
                <w:szCs w:val="20"/>
                <w:color w:val="auto"/>
              </w:rPr>
              <w:t>Operating Locations</w:t>
            </w:r>
          </w:p>
        </w:tc>
        <w:tc>
          <w:tcPr>
            <w:tcW w:w="160" w:type="dxa"/>
            <w:vAlign w:val="bottom"/>
          </w:tcPr>
          <w:p>
            <w:pPr>
              <w:spacing w:after="0"/>
              <w:rPr>
                <w:sz w:val="17"/>
                <w:szCs w:val="17"/>
                <w:color w:val="auto"/>
              </w:rPr>
            </w:pPr>
          </w:p>
        </w:tc>
        <w:tc>
          <w:tcPr>
            <w:tcW w:w="2580" w:type="dxa"/>
            <w:vAlign w:val="bottom"/>
            <w:tcBorders>
              <w:top w:val="single" w:sz="8" w:color="auto"/>
            </w:tcBorders>
          </w:tcPr>
          <w:p>
            <w:pPr>
              <w:jc w:val="center"/>
              <w:spacing w:after="0" w:line="204" w:lineRule="exact"/>
              <w:rPr>
                <w:sz w:val="20"/>
                <w:szCs w:val="20"/>
                <w:color w:val="auto"/>
              </w:rPr>
            </w:pPr>
            <w:r>
              <w:rPr>
                <w:rFonts w:ascii="Arial" w:cs="Arial" w:eastAsia="Arial" w:hAnsi="Arial"/>
                <w:sz w:val="20"/>
                <w:szCs w:val="20"/>
                <w:color w:val="auto"/>
                <w:w w:val="89"/>
              </w:rPr>
              <w:t>Indiana, Iowa,</w:t>
            </w:r>
          </w:p>
        </w:tc>
        <w:tc>
          <w:tcPr>
            <w:tcW w:w="160" w:type="dxa"/>
            <w:vAlign w:val="bottom"/>
          </w:tcPr>
          <w:p>
            <w:pPr>
              <w:spacing w:after="0"/>
              <w:rPr>
                <w:sz w:val="17"/>
                <w:szCs w:val="17"/>
                <w:color w:val="auto"/>
              </w:rPr>
            </w:pPr>
          </w:p>
        </w:tc>
        <w:tc>
          <w:tcPr>
            <w:tcW w:w="1900" w:type="dxa"/>
            <w:vAlign w:val="bottom"/>
            <w:tcBorders>
              <w:top w:val="single" w:sz="8" w:color="auto"/>
            </w:tcBorders>
          </w:tcPr>
          <w:p>
            <w:pPr>
              <w:jc w:val="center"/>
              <w:spacing w:after="0" w:line="204" w:lineRule="exact"/>
              <w:rPr>
                <w:sz w:val="20"/>
                <w:szCs w:val="20"/>
                <w:color w:val="auto"/>
              </w:rPr>
            </w:pPr>
            <w:r>
              <w:rPr>
                <w:rFonts w:ascii="Arial" w:cs="Arial" w:eastAsia="Arial" w:hAnsi="Arial"/>
                <w:sz w:val="20"/>
                <w:szCs w:val="20"/>
                <w:color w:val="auto"/>
                <w:w w:val="90"/>
              </w:rPr>
              <w:t>Alabama, Florida,</w:t>
            </w:r>
          </w:p>
        </w:tc>
        <w:tc>
          <w:tcPr>
            <w:tcW w:w="160" w:type="dxa"/>
            <w:vAlign w:val="bottom"/>
          </w:tcPr>
          <w:p>
            <w:pPr>
              <w:spacing w:after="0"/>
              <w:rPr>
                <w:sz w:val="17"/>
                <w:szCs w:val="17"/>
                <w:color w:val="auto"/>
              </w:rPr>
            </w:pPr>
          </w:p>
        </w:tc>
        <w:tc>
          <w:tcPr>
            <w:tcW w:w="3120" w:type="dxa"/>
            <w:vAlign w:val="bottom"/>
            <w:tcBorders>
              <w:top w:val="single" w:sz="8" w:color="auto"/>
            </w:tcBorders>
          </w:tcPr>
          <w:p>
            <w:pPr>
              <w:jc w:val="center"/>
              <w:spacing w:after="0" w:line="204" w:lineRule="exact"/>
              <w:rPr>
                <w:sz w:val="20"/>
                <w:szCs w:val="20"/>
                <w:color w:val="auto"/>
              </w:rPr>
            </w:pPr>
            <w:r>
              <w:rPr>
                <w:rFonts w:ascii="Arial" w:cs="Arial" w:eastAsia="Arial" w:hAnsi="Arial"/>
                <w:sz w:val="20"/>
                <w:szCs w:val="20"/>
                <w:color w:val="auto"/>
                <w:w w:val="87"/>
              </w:rPr>
              <w:t>Arkansas, Colorado, southern Kansas,</w:t>
            </w:r>
          </w:p>
        </w:tc>
      </w:tr>
      <w:tr>
        <w:trPr>
          <w:trHeight w:val="227"/>
        </w:trPr>
        <w:tc>
          <w:tcPr>
            <w:tcW w:w="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40" w:type="dxa"/>
            <w:vAlign w:val="bottom"/>
            <w:gridSpan w:val="2"/>
          </w:tcPr>
          <w:p>
            <w:pPr>
              <w:jc w:val="center"/>
              <w:ind w:right="160"/>
              <w:spacing w:after="0" w:line="228" w:lineRule="exact"/>
              <w:rPr>
                <w:sz w:val="20"/>
                <w:szCs w:val="20"/>
                <w:color w:val="auto"/>
              </w:rPr>
            </w:pPr>
            <w:r>
              <w:rPr>
                <w:rFonts w:ascii="Arial" w:cs="Arial" w:eastAsia="Arial" w:hAnsi="Arial"/>
                <w:sz w:val="20"/>
                <w:szCs w:val="20"/>
                <w:color w:val="auto"/>
                <w:w w:val="88"/>
              </w:rPr>
              <w:t>northern Kansas, Kentucky,</w:t>
            </w:r>
          </w:p>
        </w:tc>
        <w:tc>
          <w:tcPr>
            <w:tcW w:w="2060" w:type="dxa"/>
            <w:vAlign w:val="bottom"/>
            <w:gridSpan w:val="2"/>
          </w:tcPr>
          <w:p>
            <w:pPr>
              <w:jc w:val="center"/>
              <w:ind w:right="220"/>
              <w:spacing w:after="0" w:line="228" w:lineRule="exact"/>
              <w:rPr>
                <w:sz w:val="20"/>
                <w:szCs w:val="20"/>
                <w:color w:val="auto"/>
              </w:rPr>
            </w:pPr>
            <w:r>
              <w:rPr>
                <w:rFonts w:ascii="Arial" w:cs="Arial" w:eastAsia="Arial" w:hAnsi="Arial"/>
                <w:sz w:val="20"/>
                <w:szCs w:val="20"/>
                <w:color w:val="auto"/>
                <w:w w:val="83"/>
              </w:rPr>
              <w:t>Georgia, Tennessee,</w:t>
            </w:r>
          </w:p>
        </w:tc>
        <w:tc>
          <w:tcPr>
            <w:tcW w:w="3120" w:type="dxa"/>
            <w:vAlign w:val="bottom"/>
          </w:tcPr>
          <w:p>
            <w:pPr>
              <w:jc w:val="center"/>
              <w:spacing w:after="0" w:line="228" w:lineRule="exact"/>
              <w:rPr>
                <w:sz w:val="20"/>
                <w:szCs w:val="20"/>
                <w:color w:val="auto"/>
              </w:rPr>
            </w:pPr>
            <w:r>
              <w:rPr>
                <w:rFonts w:ascii="Arial" w:cs="Arial" w:eastAsia="Arial" w:hAnsi="Arial"/>
                <w:sz w:val="20"/>
                <w:szCs w:val="20"/>
                <w:color w:val="auto"/>
                <w:w w:val="87"/>
              </w:rPr>
              <w:t>Louisiana, western Nebraska, Nevada,</w:t>
            </w:r>
          </w:p>
        </w:tc>
      </w:tr>
      <w:tr>
        <w:trPr>
          <w:trHeight w:val="227"/>
        </w:trPr>
        <w:tc>
          <w:tcPr>
            <w:tcW w:w="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40" w:type="dxa"/>
            <w:vAlign w:val="bottom"/>
            <w:gridSpan w:val="2"/>
          </w:tcPr>
          <w:p>
            <w:pPr>
              <w:jc w:val="center"/>
              <w:ind w:right="180"/>
              <w:spacing w:after="0" w:line="228" w:lineRule="exact"/>
              <w:rPr>
                <w:sz w:val="20"/>
                <w:szCs w:val="20"/>
                <w:color w:val="auto"/>
              </w:rPr>
            </w:pPr>
            <w:r>
              <w:rPr>
                <w:rFonts w:ascii="Arial" w:cs="Arial" w:eastAsia="Arial" w:hAnsi="Arial"/>
                <w:sz w:val="20"/>
                <w:szCs w:val="20"/>
                <w:color w:val="auto"/>
                <w:w w:val="91"/>
              </w:rPr>
              <w:t>Maryland, Minnesota, Missouri,</w:t>
            </w:r>
          </w:p>
        </w:tc>
        <w:tc>
          <w:tcPr>
            <w:tcW w:w="2060" w:type="dxa"/>
            <w:vAlign w:val="bottom"/>
            <w:gridSpan w:val="2"/>
          </w:tcPr>
          <w:p>
            <w:pPr>
              <w:jc w:val="center"/>
              <w:ind w:right="160"/>
              <w:spacing w:after="0" w:line="228" w:lineRule="exact"/>
              <w:rPr>
                <w:sz w:val="20"/>
                <w:szCs w:val="20"/>
                <w:color w:val="auto"/>
              </w:rPr>
            </w:pPr>
            <w:r>
              <w:rPr>
                <w:rFonts w:ascii="Arial" w:cs="Arial" w:eastAsia="Arial" w:hAnsi="Arial"/>
                <w:sz w:val="20"/>
                <w:szCs w:val="20"/>
                <w:color w:val="auto"/>
                <w:w w:val="87"/>
              </w:rPr>
              <w:t>Nova Scotia and the</w:t>
            </w:r>
          </w:p>
        </w:tc>
        <w:tc>
          <w:tcPr>
            <w:tcW w:w="3120" w:type="dxa"/>
            <w:vAlign w:val="bottom"/>
          </w:tcPr>
          <w:p>
            <w:pPr>
              <w:jc w:val="center"/>
              <w:spacing w:after="0" w:line="228" w:lineRule="exact"/>
              <w:rPr>
                <w:sz w:val="20"/>
                <w:szCs w:val="20"/>
                <w:color w:val="auto"/>
              </w:rPr>
            </w:pPr>
            <w:r>
              <w:rPr>
                <w:rFonts w:ascii="Arial" w:cs="Arial" w:eastAsia="Arial" w:hAnsi="Arial"/>
                <w:sz w:val="20"/>
                <w:szCs w:val="20"/>
                <w:color w:val="auto"/>
                <w:w w:val="88"/>
              </w:rPr>
              <w:t>Oklahoma, Texas, Utah</w:t>
            </w:r>
          </w:p>
        </w:tc>
      </w:tr>
      <w:tr>
        <w:trPr>
          <w:trHeight w:val="227"/>
        </w:trPr>
        <w:tc>
          <w:tcPr>
            <w:tcW w:w="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40" w:type="dxa"/>
            <w:vAlign w:val="bottom"/>
            <w:gridSpan w:val="2"/>
          </w:tcPr>
          <w:p>
            <w:pPr>
              <w:jc w:val="center"/>
              <w:ind w:right="160"/>
              <w:spacing w:after="0" w:line="228" w:lineRule="exact"/>
              <w:rPr>
                <w:sz w:val="20"/>
                <w:szCs w:val="20"/>
                <w:color w:val="auto"/>
              </w:rPr>
            </w:pPr>
            <w:r>
              <w:rPr>
                <w:rFonts w:ascii="Arial" w:cs="Arial" w:eastAsia="Arial" w:hAnsi="Arial"/>
                <w:sz w:val="20"/>
                <w:szCs w:val="20"/>
                <w:color w:val="auto"/>
                <w:w w:val="87"/>
              </w:rPr>
              <w:t>eastern Nebraska, North</w:t>
            </w:r>
          </w:p>
        </w:tc>
        <w:tc>
          <w:tcPr>
            <w:tcW w:w="2060" w:type="dxa"/>
            <w:vAlign w:val="bottom"/>
            <w:gridSpan w:val="2"/>
          </w:tcPr>
          <w:p>
            <w:pPr>
              <w:jc w:val="center"/>
              <w:ind w:right="180"/>
              <w:spacing w:after="0" w:line="228" w:lineRule="exact"/>
              <w:rPr>
                <w:sz w:val="20"/>
                <w:szCs w:val="20"/>
                <w:color w:val="auto"/>
              </w:rPr>
            </w:pPr>
            <w:r>
              <w:rPr>
                <w:rFonts w:ascii="Arial" w:cs="Arial" w:eastAsia="Arial" w:hAnsi="Arial"/>
                <w:sz w:val="20"/>
                <w:szCs w:val="20"/>
                <w:color w:val="auto"/>
                <w:w w:val="85"/>
              </w:rPr>
              <w:t>Bahamas</w:t>
            </w:r>
          </w:p>
        </w:tc>
        <w:tc>
          <w:tcPr>
            <w:tcW w:w="3120" w:type="dxa"/>
            <w:vAlign w:val="bottom"/>
          </w:tcPr>
          <w:p>
            <w:pPr>
              <w:jc w:val="center"/>
              <w:spacing w:after="0" w:line="228" w:lineRule="exact"/>
              <w:rPr>
                <w:sz w:val="20"/>
                <w:szCs w:val="20"/>
                <w:color w:val="auto"/>
              </w:rPr>
            </w:pPr>
            <w:r>
              <w:rPr>
                <w:rFonts w:ascii="Arial" w:cs="Arial" w:eastAsia="Arial" w:hAnsi="Arial"/>
                <w:sz w:val="20"/>
                <w:szCs w:val="20"/>
                <w:color w:val="auto"/>
                <w:w w:val="89"/>
              </w:rPr>
              <w:t>and Wyoming</w:t>
            </w:r>
          </w:p>
        </w:tc>
      </w:tr>
      <w:tr>
        <w:trPr>
          <w:trHeight w:val="227"/>
        </w:trPr>
        <w:tc>
          <w:tcPr>
            <w:tcW w:w="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40" w:type="dxa"/>
            <w:vAlign w:val="bottom"/>
            <w:gridSpan w:val="2"/>
          </w:tcPr>
          <w:p>
            <w:pPr>
              <w:jc w:val="center"/>
              <w:ind w:right="180"/>
              <w:spacing w:after="0" w:line="228" w:lineRule="exact"/>
              <w:rPr>
                <w:sz w:val="20"/>
                <w:szCs w:val="20"/>
                <w:color w:val="auto"/>
              </w:rPr>
            </w:pPr>
            <w:r>
              <w:rPr>
                <w:rFonts w:ascii="Arial" w:cs="Arial" w:eastAsia="Arial" w:hAnsi="Arial"/>
                <w:sz w:val="20"/>
                <w:szCs w:val="20"/>
                <w:color w:val="auto"/>
                <w:w w:val="89"/>
              </w:rPr>
              <w:t>Carolina, Ohio,</w:t>
            </w:r>
          </w:p>
        </w:tc>
        <w:tc>
          <w:tcPr>
            <w:tcW w:w="1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2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40" w:type="dxa"/>
            <w:vAlign w:val="bottom"/>
            <w:gridSpan w:val="2"/>
          </w:tcPr>
          <w:p>
            <w:pPr>
              <w:jc w:val="center"/>
              <w:ind w:right="180"/>
              <w:spacing w:after="0" w:line="228" w:lineRule="exact"/>
              <w:rPr>
                <w:sz w:val="20"/>
                <w:szCs w:val="20"/>
                <w:color w:val="auto"/>
              </w:rPr>
            </w:pPr>
            <w:r>
              <w:rPr>
                <w:rFonts w:ascii="Arial" w:cs="Arial" w:eastAsia="Arial" w:hAnsi="Arial"/>
                <w:sz w:val="20"/>
                <w:szCs w:val="20"/>
                <w:color w:val="auto"/>
                <w:w w:val="89"/>
              </w:rPr>
              <w:t>South Carolina,</w:t>
            </w:r>
          </w:p>
        </w:tc>
        <w:tc>
          <w:tcPr>
            <w:tcW w:w="1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2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40" w:type="dxa"/>
            <w:vAlign w:val="bottom"/>
            <w:gridSpan w:val="2"/>
          </w:tcPr>
          <w:p>
            <w:pPr>
              <w:jc w:val="center"/>
              <w:ind w:right="180"/>
              <w:spacing w:after="0" w:line="228" w:lineRule="exact"/>
              <w:rPr>
                <w:sz w:val="20"/>
                <w:szCs w:val="20"/>
                <w:color w:val="auto"/>
              </w:rPr>
            </w:pPr>
            <w:r>
              <w:rPr>
                <w:rFonts w:ascii="Arial" w:cs="Arial" w:eastAsia="Arial" w:hAnsi="Arial"/>
                <w:sz w:val="20"/>
                <w:szCs w:val="20"/>
                <w:color w:val="auto"/>
                <w:w w:val="89"/>
              </w:rPr>
              <w:t>Virginia, Washington and</w:t>
            </w:r>
          </w:p>
        </w:tc>
        <w:tc>
          <w:tcPr>
            <w:tcW w:w="1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20" w:type="dxa"/>
            <w:vAlign w:val="bottom"/>
          </w:tcPr>
          <w:p>
            <w:pPr>
              <w:spacing w:after="0"/>
              <w:rPr>
                <w:sz w:val="19"/>
                <w:szCs w:val="19"/>
                <w:color w:val="auto"/>
              </w:rPr>
            </w:pPr>
          </w:p>
        </w:tc>
      </w:tr>
      <w:tr>
        <w:trPr>
          <w:trHeight w:val="249"/>
        </w:trPr>
        <w:tc>
          <w:tcPr>
            <w:tcW w:w="2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740" w:type="dxa"/>
            <w:vAlign w:val="bottom"/>
            <w:gridSpan w:val="2"/>
          </w:tcPr>
          <w:p>
            <w:pPr>
              <w:jc w:val="center"/>
              <w:ind w:right="180"/>
              <w:spacing w:after="0"/>
              <w:rPr>
                <w:sz w:val="20"/>
                <w:szCs w:val="20"/>
                <w:color w:val="auto"/>
              </w:rPr>
            </w:pPr>
            <w:r>
              <w:rPr>
                <w:rFonts w:ascii="Arial" w:cs="Arial" w:eastAsia="Arial" w:hAnsi="Arial"/>
                <w:sz w:val="20"/>
                <w:szCs w:val="20"/>
                <w:color w:val="auto"/>
                <w:w w:val="91"/>
              </w:rPr>
              <w:t>West Virginia</w:t>
            </w:r>
          </w:p>
        </w:tc>
        <w:tc>
          <w:tcPr>
            <w:tcW w:w="1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120" w:type="dxa"/>
            <w:vAlign w:val="bottom"/>
          </w:tcPr>
          <w:p>
            <w:pPr>
              <w:spacing w:after="0"/>
              <w:rPr>
                <w:sz w:val="21"/>
                <w:szCs w:val="21"/>
                <w:color w:val="auto"/>
              </w:rPr>
            </w:pPr>
          </w:p>
        </w:tc>
      </w:tr>
      <w:tr>
        <w:trPr>
          <w:trHeight w:val="434"/>
        </w:trPr>
        <w:tc>
          <w:tcPr>
            <w:tcW w:w="2560" w:type="dxa"/>
            <w:vAlign w:val="bottom"/>
            <w:gridSpan w:val="3"/>
          </w:tcPr>
          <w:p>
            <w:pPr>
              <w:spacing w:after="0"/>
              <w:rPr>
                <w:sz w:val="20"/>
                <w:szCs w:val="20"/>
                <w:color w:val="auto"/>
              </w:rPr>
            </w:pPr>
            <w:r>
              <w:rPr>
                <w:rFonts w:ascii="Arial" w:cs="Arial" w:eastAsia="Arial" w:hAnsi="Arial"/>
                <w:sz w:val="20"/>
                <w:szCs w:val="20"/>
                <w:color w:val="auto"/>
              </w:rPr>
              <w:t>Product Lines</w:t>
            </w:r>
          </w:p>
        </w:tc>
        <w:tc>
          <w:tcPr>
            <w:tcW w:w="2740" w:type="dxa"/>
            <w:vAlign w:val="bottom"/>
            <w:gridSpan w:val="2"/>
          </w:tcPr>
          <w:p>
            <w:pPr>
              <w:jc w:val="center"/>
              <w:ind w:right="180"/>
              <w:spacing w:after="0"/>
              <w:rPr>
                <w:sz w:val="20"/>
                <w:szCs w:val="20"/>
                <w:color w:val="auto"/>
              </w:rPr>
            </w:pPr>
            <w:r>
              <w:rPr>
                <w:rFonts w:ascii="Arial" w:cs="Arial" w:eastAsia="Arial" w:hAnsi="Arial"/>
                <w:sz w:val="20"/>
                <w:szCs w:val="20"/>
                <w:color w:val="auto"/>
                <w:w w:val="85"/>
              </w:rPr>
              <w:t>Aggregates</w:t>
            </w:r>
          </w:p>
        </w:tc>
        <w:tc>
          <w:tcPr>
            <w:tcW w:w="2060" w:type="dxa"/>
            <w:vAlign w:val="bottom"/>
            <w:gridSpan w:val="2"/>
          </w:tcPr>
          <w:p>
            <w:pPr>
              <w:jc w:val="center"/>
              <w:ind w:right="160"/>
              <w:spacing w:after="0"/>
              <w:rPr>
                <w:sz w:val="20"/>
                <w:szCs w:val="20"/>
                <w:color w:val="auto"/>
              </w:rPr>
            </w:pPr>
            <w:r>
              <w:rPr>
                <w:rFonts w:ascii="Arial" w:cs="Arial" w:eastAsia="Arial" w:hAnsi="Arial"/>
                <w:sz w:val="20"/>
                <w:szCs w:val="20"/>
                <w:color w:val="auto"/>
                <w:w w:val="87"/>
              </w:rPr>
              <w:t>Aggregates</w:t>
            </w:r>
          </w:p>
        </w:tc>
        <w:tc>
          <w:tcPr>
            <w:tcW w:w="3120" w:type="dxa"/>
            <w:vAlign w:val="bottom"/>
          </w:tcPr>
          <w:p>
            <w:pPr>
              <w:jc w:val="center"/>
              <w:spacing w:after="0"/>
              <w:rPr>
                <w:sz w:val="20"/>
                <w:szCs w:val="20"/>
                <w:color w:val="auto"/>
              </w:rPr>
            </w:pPr>
            <w:r>
              <w:rPr>
                <w:rFonts w:ascii="Arial" w:cs="Arial" w:eastAsia="Arial" w:hAnsi="Arial"/>
                <w:sz w:val="20"/>
                <w:szCs w:val="20"/>
                <w:color w:val="auto"/>
                <w:w w:val="88"/>
              </w:rPr>
              <w:t>Aggregates, Cement, Ready Mixed</w:t>
            </w:r>
          </w:p>
        </w:tc>
      </w:tr>
      <w:tr>
        <w:trPr>
          <w:trHeight w:val="249"/>
        </w:trPr>
        <w:tc>
          <w:tcPr>
            <w:tcW w:w="2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120" w:type="dxa"/>
            <w:vAlign w:val="bottom"/>
          </w:tcPr>
          <w:p>
            <w:pPr>
              <w:jc w:val="center"/>
              <w:spacing w:after="0"/>
              <w:rPr>
                <w:sz w:val="20"/>
                <w:szCs w:val="20"/>
                <w:color w:val="auto"/>
              </w:rPr>
            </w:pPr>
            <w:r>
              <w:rPr>
                <w:rFonts w:ascii="Arial" w:cs="Arial" w:eastAsia="Arial" w:hAnsi="Arial"/>
                <w:sz w:val="20"/>
                <w:szCs w:val="20"/>
                <w:color w:val="auto"/>
                <w:w w:val="88"/>
              </w:rPr>
              <w:t>Concrete, Asphalt and Paving</w:t>
            </w:r>
          </w:p>
        </w:tc>
      </w:tr>
    </w:tbl>
    <w:p>
      <w:pPr>
        <w:spacing w:after="0" w:line="193" w:lineRule="exact"/>
        <w:rPr>
          <w:sz w:val="20"/>
          <w:szCs w:val="20"/>
          <w:color w:val="auto"/>
        </w:rPr>
      </w:pPr>
    </w:p>
    <w:p>
      <w:pPr>
        <w:jc w:val="both"/>
        <w:ind w:left="380"/>
        <w:spacing w:after="0" w:line="247" w:lineRule="auto"/>
        <w:rPr>
          <w:sz w:val="20"/>
          <w:szCs w:val="20"/>
          <w:color w:val="auto"/>
        </w:rPr>
      </w:pPr>
      <w:r>
        <w:rPr>
          <w:rFonts w:ascii="Arial" w:cs="Arial" w:eastAsia="Arial" w:hAnsi="Arial"/>
          <w:sz w:val="20"/>
          <w:szCs w:val="20"/>
          <w:color w:val="auto"/>
        </w:rPr>
        <w:t>The Company has a Magnesia Specialties business with manufacturing facilities in Manistee, Michigan, and Woodville, Ohio. The Magnesia Specialties business produces magnesia-based chemicals products used in industrial, agricultural and environmental applications, and dolomitic lime sold primarily to customers in the steel and mining industries.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7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2018</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69" w:lineRule="exact"/>
        <w:rPr>
          <w:sz w:val="20"/>
          <w:szCs w:val="20"/>
          <w:color w:val="auto"/>
        </w:rPr>
      </w:pPr>
    </w:p>
    <w:p>
      <w:pPr>
        <w:ind w:left="380" w:right="7440" w:hanging="373"/>
        <w:spacing w:after="0" w:line="352" w:lineRule="auto"/>
        <w:tabs>
          <w:tab w:leader="none" w:pos="375"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Significant Accounting Policies (continued) Basis of Presentation</w:t>
      </w:r>
    </w:p>
    <w:p>
      <w:pPr>
        <w:jc w:val="both"/>
        <w:ind w:left="380"/>
        <w:spacing w:after="0" w:line="285" w:lineRule="auto"/>
        <w:rPr>
          <w:rFonts w:ascii="Arial" w:cs="Arial" w:eastAsia="Arial" w:hAnsi="Arial"/>
          <w:sz w:val="20"/>
          <w:szCs w:val="20"/>
          <w:b w:val="1"/>
          <w:bCs w:val="1"/>
          <w:color w:val="auto"/>
        </w:rPr>
      </w:pPr>
      <w:r>
        <w:rPr>
          <w:rFonts w:ascii="Arial" w:cs="Arial" w:eastAsia="Arial" w:hAnsi="Arial"/>
          <w:sz w:val="17"/>
          <w:szCs w:val="17"/>
          <w:color w:val="auto"/>
        </w:rPr>
        <w:t>The accompanying unaudited consolidated financial statements of the Company have been prepared in accordance with generally accepted accounting principles (GAAP) for interim financial information and with the instructions to the Quarterly Report on Form 10-Q and in Article 10 of Regulation S-X. Other than the required adoption of two new accounting pronouncements described below, the Company has continued to follow the accounting policies set forth in the audited consolidated financial statements and related notes thereto included in the Company’s Annual Report on Form 10-K for the year ended December 31, 2017. In the opinion of management, the interim consolidated financial information provided herein reflects all adjustments, consisting of normal recurring accruals, necessary for a fair statement of the results of operations, financial position and cash flows for the interim periods. The consolidated results of operations for the three-months ended March 31, 2018 are not indicative of the results expected for other interim periods or the full year. The consolidated balance sheet at December 31, 2017 has been derived from the audited consolidated financial statements at that date but does not include all of the information and notes required by GAAP for complete financial statements. These consolidated financial statements should be read in conjunction with the audited consolidated financial statements and notes thereto included in the Company’s Annual Report on Form 10-K for the year ended December 31, 2017.</w:t>
      </w:r>
    </w:p>
    <w:p>
      <w:pPr>
        <w:spacing w:after="0" w:line="384" w:lineRule="exact"/>
        <w:rPr>
          <w:rFonts w:ascii="Arial" w:cs="Arial" w:eastAsia="Arial" w:hAnsi="Arial"/>
          <w:sz w:val="20"/>
          <w:szCs w:val="20"/>
          <w:b w:val="1"/>
          <w:bCs w:val="1"/>
          <w:color w:val="auto"/>
        </w:rPr>
      </w:pPr>
    </w:p>
    <w:p>
      <w:pPr>
        <w:ind w:left="380" w:right="7860"/>
        <w:spacing w:after="0" w:line="414" w:lineRule="auto"/>
        <w:rPr>
          <w:rFonts w:ascii="Arial" w:cs="Arial" w:eastAsia="Arial" w:hAnsi="Arial"/>
          <w:sz w:val="20"/>
          <w:szCs w:val="20"/>
          <w:b w:val="1"/>
          <w:bCs w:val="1"/>
          <w:color w:val="auto"/>
        </w:rPr>
      </w:pPr>
      <w:r>
        <w:rPr>
          <w:rFonts w:ascii="Arial" w:cs="Arial" w:eastAsia="Arial" w:hAnsi="Arial"/>
          <w:sz w:val="17"/>
          <w:szCs w:val="17"/>
          <w:b w:val="1"/>
          <w:bCs w:val="1"/>
          <w:color w:val="auto"/>
        </w:rPr>
        <w:t xml:space="preserve">New Accounting Pronouncements </w:t>
      </w:r>
      <w:r>
        <w:rPr>
          <w:rFonts w:ascii="Arial" w:cs="Arial" w:eastAsia="Arial" w:hAnsi="Arial"/>
          <w:sz w:val="17"/>
          <w:szCs w:val="17"/>
          <w:i w:val="1"/>
          <w:iCs w:val="1"/>
          <w:color w:val="auto"/>
        </w:rPr>
        <w:t>Revenue from Contracts with Customers</w:t>
      </w:r>
    </w:p>
    <w:p>
      <w:pPr>
        <w:jc w:val="both"/>
        <w:ind w:left="380"/>
        <w:spacing w:after="0" w:line="258" w:lineRule="auto"/>
        <w:rPr>
          <w:rFonts w:ascii="Arial" w:cs="Arial" w:eastAsia="Arial" w:hAnsi="Arial"/>
          <w:sz w:val="20"/>
          <w:szCs w:val="20"/>
          <w:b w:val="1"/>
          <w:bCs w:val="1"/>
          <w:color w:val="auto"/>
        </w:rPr>
      </w:pPr>
      <w:r>
        <w:rPr>
          <w:rFonts w:ascii="Arial" w:cs="Arial" w:eastAsia="Arial" w:hAnsi="Arial"/>
          <w:sz w:val="19"/>
          <w:szCs w:val="19"/>
          <w:color w:val="auto"/>
        </w:rPr>
        <w:t xml:space="preserve">Effective January 1, 2018, the Company adopted Accounting Standards Update (ASU) 2014-09, </w:t>
      </w:r>
      <w:r>
        <w:rPr>
          <w:rFonts w:ascii="Arial" w:cs="Arial" w:eastAsia="Arial" w:hAnsi="Arial"/>
          <w:sz w:val="19"/>
          <w:szCs w:val="19"/>
          <w:i w:val="1"/>
          <w:iCs w:val="1"/>
          <w:color w:val="auto"/>
        </w:rPr>
        <w:t>Revenue from Contracts with Customers</w:t>
      </w:r>
      <w:r>
        <w:rPr>
          <w:rFonts w:ascii="Arial" w:cs="Arial" w:eastAsia="Arial" w:hAnsi="Arial"/>
          <w:sz w:val="19"/>
          <w:szCs w:val="19"/>
          <w:color w:val="auto"/>
        </w:rPr>
        <w:t xml:space="preserve"> (ASU 2014-09), which changes the evaluation and accounting for revenue recognition under contracts with customers and enhances financial statement disclosures. The Company implemented ASU 2014-09 using the modified retrospective approach. The adoption resulted in insignificant changes to the Company’s policies in reporting revenues and had an immaterial impact on the Company’s financial position and results of operations but required new disclosures (see Note 2).</w:t>
      </w:r>
    </w:p>
    <w:p>
      <w:pPr>
        <w:spacing w:after="0" w:line="177"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20"/>
          <w:szCs w:val="20"/>
          <w:i w:val="1"/>
          <w:iCs w:val="1"/>
          <w:color w:val="auto"/>
        </w:rPr>
        <w:t>Statement of Cash Flows: Classification of Certain Cash Receipts and Cash Payments</w:t>
      </w:r>
    </w:p>
    <w:p>
      <w:pPr>
        <w:spacing w:after="0" w:line="104" w:lineRule="exact"/>
        <w:rPr>
          <w:rFonts w:ascii="Arial" w:cs="Arial" w:eastAsia="Arial" w:hAnsi="Arial"/>
          <w:sz w:val="20"/>
          <w:szCs w:val="20"/>
          <w:b w:val="1"/>
          <w:bCs w:val="1"/>
          <w:color w:val="auto"/>
        </w:rPr>
      </w:pPr>
    </w:p>
    <w:p>
      <w:pPr>
        <w:jc w:val="both"/>
        <w:ind w:left="380"/>
        <w:spacing w:after="0" w:line="295" w:lineRule="auto"/>
        <w:rPr>
          <w:rFonts w:ascii="Arial" w:cs="Arial" w:eastAsia="Arial" w:hAnsi="Arial"/>
          <w:sz w:val="20"/>
          <w:szCs w:val="20"/>
          <w:b w:val="1"/>
          <w:bCs w:val="1"/>
          <w:color w:val="auto"/>
        </w:rPr>
      </w:pPr>
      <w:r>
        <w:rPr>
          <w:rFonts w:ascii="Arial" w:cs="Arial" w:eastAsia="Arial" w:hAnsi="Arial"/>
          <w:sz w:val="17"/>
          <w:szCs w:val="17"/>
          <w:color w:val="auto"/>
        </w:rPr>
        <w:t xml:space="preserve">Effective January 1, 2018, the Company adopted ASU 2016-15, </w:t>
      </w:r>
      <w:r>
        <w:rPr>
          <w:rFonts w:ascii="Arial" w:cs="Arial" w:eastAsia="Arial" w:hAnsi="Arial"/>
          <w:sz w:val="17"/>
          <w:szCs w:val="17"/>
          <w:i w:val="1"/>
          <w:iCs w:val="1"/>
          <w:color w:val="auto"/>
        </w:rPr>
        <w:t>Statement of Cash Flows: Classification of Certain Cash Receipts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Cash Payments </w:t>
      </w:r>
      <w:r>
        <w:rPr>
          <w:rFonts w:ascii="Arial" w:cs="Arial" w:eastAsia="Arial" w:hAnsi="Arial"/>
          <w:sz w:val="17"/>
          <w:szCs w:val="17"/>
          <w:color w:val="auto"/>
        </w:rPr>
        <w:t>(ASU 2016-15), which provides clarification or additional guidance on certain transactions and its classification on the</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 of cash flows on a retrospective basis. Notably, ASU 2016-15 states settlement proceeds from corporate-owned life insurance policies should be classified as investing activities and premiums paid may be presented as either investing or operating activities or a combination of both. At March 31, 2017, the Company reclassified $181,000 from operating activities to investing activities.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8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2018</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69" w:lineRule="exact"/>
        <w:rPr>
          <w:sz w:val="20"/>
          <w:szCs w:val="20"/>
          <w:color w:val="auto"/>
        </w:rPr>
      </w:pPr>
    </w:p>
    <w:p>
      <w:pPr>
        <w:ind w:left="380" w:hanging="373"/>
        <w:spacing w:after="0"/>
        <w:tabs>
          <w:tab w:leader="none" w:pos="38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Significant Accounting Policies (continued)</w:t>
      </w:r>
    </w:p>
    <w:p>
      <w:pPr>
        <w:spacing w:after="0" w:line="211" w:lineRule="exact"/>
        <w:rPr>
          <w:rFonts w:ascii="Arial" w:cs="Arial" w:eastAsia="Arial" w:hAnsi="Arial"/>
          <w:sz w:val="20"/>
          <w:szCs w:val="20"/>
          <w:b w:val="1"/>
          <w:bCs w:val="1"/>
          <w:color w:val="auto"/>
        </w:rPr>
      </w:pPr>
    </w:p>
    <w:p>
      <w:pPr>
        <w:ind w:left="380" w:right="7960"/>
        <w:spacing w:after="0" w:line="352" w:lineRule="auto"/>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Pending Accounting Pronouncement </w:t>
      </w:r>
      <w:r>
        <w:rPr>
          <w:rFonts w:ascii="Arial" w:cs="Arial" w:eastAsia="Arial" w:hAnsi="Arial"/>
          <w:sz w:val="20"/>
          <w:szCs w:val="20"/>
          <w:i w:val="1"/>
          <w:iCs w:val="1"/>
          <w:color w:val="auto"/>
        </w:rPr>
        <w:t>Lease Standard</w:t>
      </w:r>
    </w:p>
    <w:p>
      <w:pPr>
        <w:jc w:val="both"/>
        <w:ind w:left="380"/>
        <w:spacing w:after="0"/>
        <w:rPr>
          <w:rFonts w:ascii="Arial" w:cs="Arial" w:eastAsia="Arial" w:hAnsi="Arial"/>
          <w:sz w:val="20"/>
          <w:szCs w:val="20"/>
          <w:b w:val="1"/>
          <w:bCs w:val="1"/>
          <w:color w:val="auto"/>
        </w:rPr>
      </w:pPr>
      <w:r>
        <w:rPr>
          <w:rFonts w:ascii="Arial" w:cs="Arial" w:eastAsia="Arial" w:hAnsi="Arial"/>
          <w:sz w:val="20"/>
          <w:szCs w:val="20"/>
          <w:color w:val="auto"/>
        </w:rPr>
        <w:t xml:space="preserve">In February 2016, the Financial Accounting Standards Board (FASB) issued a new accounting standard, </w:t>
      </w:r>
      <w:r>
        <w:rPr>
          <w:rFonts w:ascii="Arial" w:cs="Arial" w:eastAsia="Arial" w:hAnsi="Arial"/>
          <w:sz w:val="20"/>
          <w:szCs w:val="20"/>
          <w:i w:val="1"/>
          <w:iCs w:val="1"/>
          <w:color w:val="auto"/>
        </w:rPr>
        <w:t>Accounting Codification Standard</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842 – Leases, </w:t>
      </w:r>
      <w:r>
        <w:rPr>
          <w:rFonts w:ascii="Arial" w:cs="Arial" w:eastAsia="Arial" w:hAnsi="Arial"/>
          <w:sz w:val="20"/>
          <w:szCs w:val="20"/>
          <w:color w:val="auto"/>
        </w:rPr>
        <w:t>intending to improve financial reporting of leases and to provide more transparency into off-balance sheet leasing</w:t>
      </w:r>
      <w:r>
        <w:rPr>
          <w:rFonts w:ascii="Arial" w:cs="Arial" w:eastAsia="Arial" w:hAnsi="Arial"/>
          <w:sz w:val="20"/>
          <w:szCs w:val="20"/>
          <w:i w:val="1"/>
          <w:iCs w:val="1"/>
          <w:color w:val="auto"/>
        </w:rPr>
        <w:t xml:space="preserve"> </w:t>
      </w:r>
      <w:r>
        <w:rPr>
          <w:rFonts w:ascii="Arial" w:cs="Arial" w:eastAsia="Arial" w:hAnsi="Arial"/>
          <w:sz w:val="20"/>
          <w:szCs w:val="20"/>
          <w:color w:val="auto"/>
        </w:rPr>
        <w:t>obligations. The guidance requires virtually all leases, excluding mineral interest leases, to be recorded on the balance sheet and provides guidance on the recognition of lease expense and income. The new standard is effective January 1, 2019. The FASB recently proposed to eliminate the need for retrospective presentation of comparative financial statements and to allow the use of certain practical expedients in the adoption of the new standard. The Company is currently assessing the impact of the new standard on the Company’s financial statements. The Company believes the new standard will have a material effect on its balance sheet but has not quantified the impact at this time.</w:t>
      </w:r>
    </w:p>
    <w:p>
      <w:pPr>
        <w:spacing w:after="0" w:line="188"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Consolidated Comprehensive Earnings/Loss and Accumulated Other Comprehensive Loss</w:t>
      </w:r>
    </w:p>
    <w:p>
      <w:pPr>
        <w:spacing w:after="0" w:line="110" w:lineRule="exact"/>
        <w:rPr>
          <w:rFonts w:ascii="Arial" w:cs="Arial" w:eastAsia="Arial" w:hAnsi="Arial"/>
          <w:sz w:val="20"/>
          <w:szCs w:val="20"/>
          <w:b w:val="1"/>
          <w:bCs w:val="1"/>
          <w:color w:val="auto"/>
        </w:rPr>
      </w:pPr>
    </w:p>
    <w:p>
      <w:pPr>
        <w:jc w:val="both"/>
        <w:ind w:left="380"/>
        <w:spacing w:after="0" w:line="243" w:lineRule="auto"/>
        <w:rPr>
          <w:rFonts w:ascii="Arial" w:cs="Arial" w:eastAsia="Arial" w:hAnsi="Arial"/>
          <w:sz w:val="20"/>
          <w:szCs w:val="20"/>
          <w:b w:val="1"/>
          <w:bCs w:val="1"/>
          <w:color w:val="auto"/>
        </w:rPr>
      </w:pPr>
      <w:r>
        <w:rPr>
          <w:rFonts w:ascii="Arial" w:cs="Arial" w:eastAsia="Arial" w:hAnsi="Arial"/>
          <w:sz w:val="20"/>
          <w:szCs w:val="20"/>
          <w:color w:val="auto"/>
        </w:rPr>
        <w:t>Consolidated comprehensive earnings/loss and accumulated other comprehensive loss consist of consolidated net earnings or loss; adjustments for the funded status of pension and postretirement benefit plans; foreign currency translation adjustments; and the amortization of the value of terminated forward starting interest rate swap agreements into interest expense, and are presented in the Company’s consolidated statements of earnings and comprehensive earnings.</w:t>
      </w:r>
    </w:p>
    <w:p>
      <w:pPr>
        <w:spacing w:after="0" w:line="85"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20"/>
          <w:szCs w:val="20"/>
          <w:color w:val="auto"/>
        </w:rPr>
        <w:t>Comprehensive earnings attributable to Martin Marietta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880" w:type="dxa"/>
            <w:vAlign w:val="bottom"/>
            <w:gridSpan w:val="4"/>
          </w:tcPr>
          <w:p>
            <w:pPr>
              <w:jc w:val="center"/>
              <w:ind w:left="482"/>
              <w:spacing w:after="0"/>
              <w:rPr>
                <w:sz w:val="20"/>
                <w:szCs w:val="20"/>
                <w:color w:val="auto"/>
              </w:rPr>
            </w:pPr>
            <w:r>
              <w:rPr>
                <w:rFonts w:ascii="Arial" w:cs="Arial" w:eastAsia="Arial" w:hAnsi="Arial"/>
                <w:sz w:val="20"/>
                <w:szCs w:val="20"/>
                <w:color w:val="auto"/>
                <w:w w:val="88"/>
              </w:rPr>
              <w:t>Three-Months Ended</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4"/>
        </w:trPr>
        <w:tc>
          <w:tcPr>
            <w:tcW w:w="6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center"/>
              <w:ind w:right="342"/>
              <w:spacing w:after="0"/>
              <w:rPr>
                <w:sz w:val="20"/>
                <w:szCs w:val="20"/>
                <w:color w:val="auto"/>
              </w:rPr>
            </w:pPr>
            <w:r>
              <w:rPr>
                <w:rFonts w:ascii="Arial" w:cs="Arial" w:eastAsia="Arial" w:hAnsi="Arial"/>
                <w:sz w:val="20"/>
                <w:szCs w:val="20"/>
                <w:color w:val="auto"/>
                <w:w w:val="92"/>
              </w:rPr>
              <w:t>March 31,</w:t>
            </w:r>
          </w:p>
        </w:tc>
        <w:tc>
          <w:tcPr>
            <w:tcW w:w="5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4"/>
        </w:trPr>
        <w:tc>
          <w:tcPr>
            <w:tcW w:w="6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2018</w:t>
            </w:r>
          </w:p>
        </w:tc>
        <w:tc>
          <w:tcPr>
            <w:tcW w:w="5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2017</w:t>
            </w:r>
          </w:p>
        </w:tc>
        <w:tc>
          <w:tcPr>
            <w:tcW w:w="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34"/>
        </w:trPr>
        <w:tc>
          <w:tcPr>
            <w:tcW w:w="6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880" w:type="dxa"/>
            <w:vAlign w:val="bottom"/>
            <w:gridSpan w:val="4"/>
          </w:tcPr>
          <w:p>
            <w:pPr>
              <w:jc w:val="center"/>
              <w:ind w:left="482"/>
              <w:spacing w:after="0"/>
              <w:rPr>
                <w:sz w:val="20"/>
                <w:szCs w:val="20"/>
                <w:color w:val="auto"/>
              </w:rPr>
            </w:pPr>
            <w:r>
              <w:rPr>
                <w:rFonts w:ascii="Arial" w:cs="Arial" w:eastAsia="Arial" w:hAnsi="Arial"/>
                <w:sz w:val="20"/>
                <w:szCs w:val="20"/>
                <w:i w:val="1"/>
                <w:iCs w:val="1"/>
                <w:color w:val="auto"/>
                <w:w w:val="90"/>
              </w:rPr>
              <w:t>(Dollars in Thousands)</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1"/>
        </w:trPr>
        <w:tc>
          <w:tcPr>
            <w:tcW w:w="6240" w:type="dxa"/>
            <w:vAlign w:val="bottom"/>
            <w:shd w:val="clear" w:color="auto" w:fill="CFF0FC"/>
          </w:tcPr>
          <w:p>
            <w:pPr>
              <w:spacing w:after="0"/>
              <w:rPr>
                <w:sz w:val="20"/>
                <w:szCs w:val="20"/>
                <w:color w:val="auto"/>
              </w:rPr>
            </w:pPr>
            <w:r>
              <w:rPr>
                <w:rFonts w:ascii="Arial" w:cs="Arial" w:eastAsia="Arial" w:hAnsi="Arial"/>
                <w:sz w:val="20"/>
                <w:szCs w:val="20"/>
                <w:color w:val="auto"/>
              </w:rPr>
              <w:t>Net earnings attributable to Martin Marietta Materials, Inc.</w:t>
            </w:r>
          </w:p>
        </w:tc>
        <w:tc>
          <w:tcPr>
            <w:tcW w:w="2620" w:type="dxa"/>
            <w:vAlign w:val="bottom"/>
            <w:gridSpan w:val="2"/>
            <w:shd w:val="clear" w:color="auto" w:fill="CFF0FC"/>
          </w:tcPr>
          <w:p>
            <w:pPr>
              <w:jc w:val="right"/>
              <w:ind w:right="822"/>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8"/>
              </w:rPr>
              <w:t>10,023</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822"/>
              <w:spacing w:after="0"/>
              <w:rPr>
                <w:sz w:val="20"/>
                <w:szCs w:val="20"/>
                <w:color w:val="auto"/>
              </w:rPr>
            </w:pPr>
            <w:r>
              <w:rPr>
                <w:rFonts w:ascii="Arial" w:cs="Arial" w:eastAsia="Arial" w:hAnsi="Arial"/>
                <w:sz w:val="20"/>
                <w:szCs w:val="20"/>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8"/>
              </w:rPr>
              <w:t>42,334</w:t>
            </w:r>
          </w:p>
        </w:tc>
        <w:tc>
          <w:tcPr>
            <w:tcW w:w="120" w:type="dxa"/>
            <w:vAlign w:val="bottom"/>
            <w:shd w:val="clear" w:color="auto" w:fill="CFF0FC"/>
          </w:tcPr>
          <w:p>
            <w:pPr>
              <w:spacing w:after="0"/>
              <w:rPr>
                <w:sz w:val="20"/>
                <w:szCs w:val="20"/>
                <w:color w:val="auto"/>
              </w:rPr>
            </w:pPr>
          </w:p>
        </w:tc>
      </w:tr>
      <w:tr>
        <w:trPr>
          <w:trHeight w:val="241"/>
        </w:trPr>
        <w:tc>
          <w:tcPr>
            <w:tcW w:w="624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Other comprehensive earnings, net of tax</w:t>
            </w:r>
          </w:p>
        </w:tc>
        <w:tc>
          <w:tcPr>
            <w:tcW w:w="1600" w:type="dxa"/>
            <w:vAlign w:val="bottom"/>
            <w:tcBorders>
              <w:bottom w:val="single" w:sz="8" w:color="CFF0FC"/>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1,619</w:t>
            </w:r>
          </w:p>
        </w:tc>
        <w:tc>
          <w:tcPr>
            <w:tcW w:w="280" w:type="dxa"/>
            <w:vAlign w:val="bottom"/>
            <w:tcBorders>
              <w:bottom w:val="single" w:sz="8" w:color="CFF0FC"/>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2,262</w:t>
            </w:r>
          </w:p>
        </w:tc>
        <w:tc>
          <w:tcPr>
            <w:tcW w:w="120" w:type="dxa"/>
            <w:vAlign w:val="bottom"/>
            <w:tcBorders>
              <w:bottom w:val="single" w:sz="8" w:color="CFF0FC"/>
            </w:tcBorders>
          </w:tcPr>
          <w:p>
            <w:pPr>
              <w:spacing w:after="0"/>
              <w:rPr>
                <w:sz w:val="20"/>
                <w:szCs w:val="20"/>
                <w:color w:val="auto"/>
              </w:rPr>
            </w:pPr>
          </w:p>
        </w:tc>
      </w:tr>
      <w:tr>
        <w:trPr>
          <w:trHeight w:val="217"/>
        </w:trPr>
        <w:tc>
          <w:tcPr>
            <w:tcW w:w="6240" w:type="dxa"/>
            <w:vAlign w:val="bottom"/>
            <w:shd w:val="clear" w:color="auto" w:fill="CFF0FC"/>
          </w:tcPr>
          <w:p>
            <w:pPr>
              <w:spacing w:after="0" w:line="217" w:lineRule="exact"/>
              <w:rPr>
                <w:sz w:val="20"/>
                <w:szCs w:val="20"/>
                <w:color w:val="auto"/>
              </w:rPr>
            </w:pPr>
            <w:r>
              <w:rPr>
                <w:rFonts w:ascii="Arial" w:cs="Arial" w:eastAsia="Arial" w:hAnsi="Arial"/>
                <w:sz w:val="20"/>
                <w:szCs w:val="20"/>
                <w:color w:val="auto"/>
              </w:rPr>
              <w:t>Comprehensive earnings attributable to Martin Marietta</w:t>
            </w:r>
          </w:p>
        </w:tc>
        <w:tc>
          <w:tcPr>
            <w:tcW w:w="16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44"/>
        </w:trPr>
        <w:tc>
          <w:tcPr>
            <w:tcW w:w="6240" w:type="dxa"/>
            <w:vAlign w:val="bottom"/>
            <w:shd w:val="clear" w:color="auto" w:fill="CFF0FC"/>
          </w:tcPr>
          <w:p>
            <w:pPr>
              <w:ind w:left="160"/>
              <w:spacing w:after="0"/>
              <w:rPr>
                <w:sz w:val="20"/>
                <w:szCs w:val="20"/>
                <w:color w:val="auto"/>
              </w:rPr>
            </w:pPr>
            <w:r>
              <w:rPr>
                <w:rFonts w:ascii="Arial" w:cs="Arial" w:eastAsia="Arial" w:hAnsi="Arial"/>
                <w:sz w:val="20"/>
                <w:szCs w:val="20"/>
                <w:color w:val="auto"/>
              </w:rPr>
              <w:t>Materials, Inc.</w:t>
            </w:r>
          </w:p>
        </w:tc>
        <w:tc>
          <w:tcPr>
            <w:tcW w:w="2620" w:type="dxa"/>
            <w:vAlign w:val="bottom"/>
            <w:gridSpan w:val="2"/>
            <w:shd w:val="clear" w:color="auto" w:fill="CFF0FC"/>
          </w:tcPr>
          <w:p>
            <w:pPr>
              <w:jc w:val="right"/>
              <w:ind w:right="822"/>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8"/>
              </w:rPr>
              <w:t>11,642</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822"/>
              <w:spacing w:after="0"/>
              <w:rPr>
                <w:sz w:val="20"/>
                <w:szCs w:val="20"/>
                <w:color w:val="auto"/>
              </w:rPr>
            </w:pPr>
            <w:r>
              <w:rPr>
                <w:rFonts w:ascii="Arial" w:cs="Arial" w:eastAsia="Arial" w:hAnsi="Arial"/>
                <w:sz w:val="20"/>
                <w:szCs w:val="20"/>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8"/>
              </w:rPr>
              <w:t>44,596</w:t>
            </w:r>
          </w:p>
        </w:tc>
        <w:tc>
          <w:tcPr>
            <w:tcW w:w="120" w:type="dxa"/>
            <w:vAlign w:val="bottom"/>
            <w:shd w:val="clear" w:color="auto" w:fill="CFF0FC"/>
          </w:tcPr>
          <w:p>
            <w:pPr>
              <w:spacing w:after="0"/>
              <w:rPr>
                <w:sz w:val="21"/>
                <w:szCs w:val="21"/>
                <w:color w:val="auto"/>
              </w:rPr>
            </w:pPr>
          </w:p>
        </w:tc>
      </w:tr>
      <w:tr>
        <w:trPr>
          <w:trHeight w:val="20"/>
        </w:trPr>
        <w:tc>
          <w:tcPr>
            <w:tcW w:w="6240" w:type="dxa"/>
            <w:vAlign w:val="bottom"/>
            <w:tcBorders>
              <w:top w:val="single" w:sz="8" w:color="CFF0FC"/>
            </w:tcBorders>
          </w:tcPr>
          <w:p>
            <w:pPr>
              <w:spacing w:after="0" w:line="20" w:lineRule="exact"/>
              <w:rPr>
                <w:sz w:val="1"/>
                <w:szCs w:val="1"/>
                <w:color w:val="auto"/>
              </w:rPr>
            </w:pPr>
          </w:p>
        </w:tc>
        <w:tc>
          <w:tcPr>
            <w:tcW w:w="160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37" w:lineRule="exact"/>
        <w:rPr>
          <w:sz w:val="20"/>
          <w:szCs w:val="20"/>
          <w:color w:val="auto"/>
        </w:rPr>
      </w:pPr>
    </w:p>
    <w:p>
      <w:pPr>
        <w:ind w:left="380" w:right="80"/>
        <w:spacing w:after="0" w:line="257" w:lineRule="auto"/>
        <w:rPr>
          <w:sz w:val="20"/>
          <w:szCs w:val="20"/>
          <w:color w:val="auto"/>
        </w:rPr>
      </w:pPr>
      <w:r>
        <w:rPr>
          <w:rFonts w:ascii="Arial" w:cs="Arial" w:eastAsia="Arial" w:hAnsi="Arial"/>
          <w:sz w:val="20"/>
          <w:szCs w:val="20"/>
          <w:color w:val="auto"/>
        </w:rPr>
        <w:t>Comprehensive earnings attributable to noncontrolling interests, consisting of net earnings and adjustments for the funded status of pension and postretirement benefit plans, is as follows: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020" w:type="dxa"/>
            <w:vAlign w:val="bottom"/>
            <w:gridSpan w:val="4"/>
          </w:tcPr>
          <w:p>
            <w:pPr>
              <w:jc w:val="center"/>
              <w:ind w:left="342"/>
              <w:spacing w:after="0"/>
              <w:rPr>
                <w:sz w:val="20"/>
                <w:szCs w:val="20"/>
                <w:color w:val="auto"/>
              </w:rPr>
            </w:pPr>
            <w:r>
              <w:rPr>
                <w:rFonts w:ascii="Arial" w:cs="Arial" w:eastAsia="Arial" w:hAnsi="Arial"/>
                <w:sz w:val="20"/>
                <w:szCs w:val="20"/>
                <w:color w:val="auto"/>
                <w:w w:val="88"/>
              </w:rPr>
              <w:t>Three-Months Ended</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4"/>
        </w:trPr>
        <w:tc>
          <w:tcPr>
            <w:tcW w:w="62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center"/>
              <w:ind w:right="622"/>
              <w:spacing w:after="0"/>
              <w:rPr>
                <w:sz w:val="20"/>
                <w:szCs w:val="20"/>
                <w:color w:val="auto"/>
              </w:rPr>
            </w:pPr>
            <w:r>
              <w:rPr>
                <w:rFonts w:ascii="Arial" w:cs="Arial" w:eastAsia="Arial" w:hAnsi="Arial"/>
                <w:sz w:val="20"/>
                <w:szCs w:val="20"/>
                <w:color w:val="auto"/>
                <w:w w:val="92"/>
              </w:rPr>
              <w:t>March 31,</w:t>
            </w:r>
          </w:p>
        </w:tc>
        <w:tc>
          <w:tcPr>
            <w:tcW w:w="4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4"/>
        </w:trPr>
        <w:tc>
          <w:tcPr>
            <w:tcW w:w="6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160" w:type="dxa"/>
            <w:vAlign w:val="bottom"/>
            <w:tcBorders>
              <w:bottom w:val="single" w:sz="8" w:color="auto"/>
            </w:tcBorders>
          </w:tcPr>
          <w:p>
            <w:pPr>
              <w:jc w:val="right"/>
              <w:ind w:right="82"/>
              <w:spacing w:after="0"/>
              <w:rPr>
                <w:sz w:val="20"/>
                <w:szCs w:val="20"/>
                <w:color w:val="auto"/>
              </w:rPr>
            </w:pPr>
            <w:r>
              <w:rPr>
                <w:rFonts w:ascii="Arial" w:cs="Arial" w:eastAsia="Arial" w:hAnsi="Arial"/>
                <w:sz w:val="20"/>
                <w:szCs w:val="20"/>
                <w:color w:val="auto"/>
              </w:rPr>
              <w:t>2018</w:t>
            </w:r>
          </w:p>
        </w:tc>
        <w:tc>
          <w:tcPr>
            <w:tcW w:w="4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62"/>
              <w:spacing w:after="0"/>
              <w:rPr>
                <w:sz w:val="20"/>
                <w:szCs w:val="20"/>
                <w:color w:val="auto"/>
              </w:rPr>
            </w:pPr>
            <w:r>
              <w:rPr>
                <w:rFonts w:ascii="Arial" w:cs="Arial" w:eastAsia="Arial" w:hAnsi="Arial"/>
                <w:sz w:val="20"/>
                <w:szCs w:val="20"/>
                <w:color w:val="auto"/>
              </w:rPr>
              <w:t>2017</w:t>
            </w:r>
          </w:p>
        </w:tc>
        <w:tc>
          <w:tcPr>
            <w:tcW w:w="4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34"/>
        </w:trPr>
        <w:tc>
          <w:tcPr>
            <w:tcW w:w="6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020" w:type="dxa"/>
            <w:vAlign w:val="bottom"/>
            <w:gridSpan w:val="4"/>
          </w:tcPr>
          <w:p>
            <w:pPr>
              <w:jc w:val="center"/>
              <w:ind w:left="342"/>
              <w:spacing w:after="0"/>
              <w:rPr>
                <w:sz w:val="20"/>
                <w:szCs w:val="20"/>
                <w:color w:val="auto"/>
              </w:rPr>
            </w:pPr>
            <w:r>
              <w:rPr>
                <w:rFonts w:ascii="Arial" w:cs="Arial" w:eastAsia="Arial" w:hAnsi="Arial"/>
                <w:sz w:val="20"/>
                <w:szCs w:val="20"/>
                <w:i w:val="1"/>
                <w:iCs w:val="1"/>
                <w:color w:val="auto"/>
                <w:w w:val="90"/>
              </w:rPr>
              <w:t>(Dollars in Thousands)</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1"/>
        </w:trPr>
        <w:tc>
          <w:tcPr>
            <w:tcW w:w="6200" w:type="dxa"/>
            <w:vAlign w:val="bottom"/>
            <w:shd w:val="clear" w:color="auto" w:fill="CFF0FC"/>
          </w:tcPr>
          <w:p>
            <w:pPr>
              <w:spacing w:after="0"/>
              <w:rPr>
                <w:sz w:val="20"/>
                <w:szCs w:val="20"/>
                <w:color w:val="auto"/>
              </w:rPr>
            </w:pPr>
            <w:r>
              <w:rPr>
                <w:rFonts w:ascii="Arial" w:cs="Arial" w:eastAsia="Arial" w:hAnsi="Arial"/>
                <w:sz w:val="20"/>
                <w:szCs w:val="20"/>
                <w:color w:val="auto"/>
              </w:rPr>
              <w:t>Net earnings (loss) attributable to noncontrolling interests</w:t>
            </w:r>
          </w:p>
        </w:tc>
        <w:tc>
          <w:tcPr>
            <w:tcW w:w="2800" w:type="dxa"/>
            <w:vAlign w:val="bottom"/>
            <w:gridSpan w:val="2"/>
            <w:shd w:val="clear" w:color="auto" w:fill="CFF0FC"/>
          </w:tcPr>
          <w:p>
            <w:pPr>
              <w:jc w:val="right"/>
              <w:ind w:right="962"/>
              <w:spacing w:after="0"/>
              <w:rPr>
                <w:sz w:val="20"/>
                <w:szCs w:val="20"/>
                <w:color w:val="auto"/>
              </w:rPr>
            </w:pPr>
            <w:r>
              <w:rPr>
                <w:rFonts w:ascii="Arial" w:cs="Arial" w:eastAsia="Arial" w:hAnsi="Arial"/>
                <w:sz w:val="20"/>
                <w:szCs w:val="20"/>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w:t>
            </w:r>
          </w:p>
        </w:tc>
        <w:tc>
          <w:tcPr>
            <w:tcW w:w="28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962"/>
              <w:spacing w:after="0"/>
              <w:rPr>
                <w:sz w:val="20"/>
                <w:szCs w:val="20"/>
                <w:color w:val="auto"/>
              </w:rPr>
            </w:pPr>
            <w:r>
              <w:rPr>
                <w:rFonts w:ascii="Arial" w:cs="Arial" w:eastAsia="Arial" w:hAnsi="Arial"/>
                <w:sz w:val="20"/>
                <w:szCs w:val="20"/>
                <w:color w:val="auto"/>
                <w:w w:val="71"/>
              </w:rPr>
              <w:t>$</w:t>
            </w: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(27)</w:t>
            </w:r>
          </w:p>
        </w:tc>
      </w:tr>
      <w:tr>
        <w:trPr>
          <w:trHeight w:val="241"/>
        </w:trPr>
        <w:tc>
          <w:tcPr>
            <w:tcW w:w="6200" w:type="dxa"/>
            <w:vAlign w:val="bottom"/>
          </w:tcPr>
          <w:p>
            <w:pPr>
              <w:spacing w:after="0"/>
              <w:rPr>
                <w:sz w:val="20"/>
                <w:szCs w:val="20"/>
                <w:color w:val="auto"/>
              </w:rPr>
            </w:pPr>
            <w:r>
              <w:rPr>
                <w:rFonts w:ascii="Arial" w:cs="Arial" w:eastAsia="Arial" w:hAnsi="Arial"/>
                <w:sz w:val="20"/>
                <w:szCs w:val="20"/>
                <w:color w:val="auto"/>
              </w:rPr>
              <w:t>Other comprehensive earnings, net of tax</w:t>
            </w:r>
          </w:p>
        </w:tc>
        <w:tc>
          <w:tcPr>
            <w:tcW w:w="16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11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20"/>
                <w:szCs w:val="20"/>
                <w:color w:val="auto"/>
              </w:rPr>
              <w:t>1</w:t>
            </w:r>
          </w:p>
        </w:tc>
        <w:tc>
          <w:tcPr>
            <w:tcW w:w="120" w:type="dxa"/>
            <w:vAlign w:val="bottom"/>
          </w:tcPr>
          <w:p>
            <w:pPr>
              <w:spacing w:after="0"/>
              <w:rPr>
                <w:sz w:val="20"/>
                <w:szCs w:val="20"/>
                <w:color w:val="auto"/>
              </w:rPr>
            </w:pPr>
          </w:p>
        </w:tc>
      </w:tr>
      <w:tr>
        <w:trPr>
          <w:trHeight w:val="217"/>
        </w:trPr>
        <w:tc>
          <w:tcPr>
            <w:tcW w:w="6200" w:type="dxa"/>
            <w:vAlign w:val="bottom"/>
            <w:tcBorders>
              <w:top w:val="single" w:sz="8" w:color="CFF0FC"/>
            </w:tcBorders>
            <w:shd w:val="clear" w:color="auto" w:fill="CFF0FC"/>
          </w:tcPr>
          <w:p>
            <w:pPr>
              <w:spacing w:after="0" w:line="217" w:lineRule="exact"/>
              <w:rPr>
                <w:sz w:val="20"/>
                <w:szCs w:val="20"/>
                <w:color w:val="auto"/>
              </w:rPr>
            </w:pPr>
            <w:r>
              <w:rPr>
                <w:rFonts w:ascii="Arial" w:cs="Arial" w:eastAsia="Arial" w:hAnsi="Arial"/>
                <w:sz w:val="20"/>
                <w:szCs w:val="20"/>
                <w:color w:val="auto"/>
              </w:rPr>
              <w:t>Comprehensive earnings (loss) attributable to</w:t>
            </w:r>
          </w:p>
        </w:tc>
        <w:tc>
          <w:tcPr>
            <w:tcW w:w="164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44"/>
        </w:trPr>
        <w:tc>
          <w:tcPr>
            <w:tcW w:w="6200" w:type="dxa"/>
            <w:vAlign w:val="bottom"/>
            <w:shd w:val="clear" w:color="auto" w:fill="CFF0FC"/>
          </w:tcPr>
          <w:p>
            <w:pPr>
              <w:ind w:left="160"/>
              <w:spacing w:after="0"/>
              <w:rPr>
                <w:sz w:val="20"/>
                <w:szCs w:val="20"/>
                <w:color w:val="auto"/>
              </w:rPr>
            </w:pPr>
            <w:r>
              <w:rPr>
                <w:rFonts w:ascii="Arial" w:cs="Arial" w:eastAsia="Arial" w:hAnsi="Arial"/>
                <w:sz w:val="20"/>
                <w:szCs w:val="20"/>
                <w:color w:val="auto"/>
              </w:rPr>
              <w:t>noncontrolling interests</w:t>
            </w:r>
          </w:p>
        </w:tc>
        <w:tc>
          <w:tcPr>
            <w:tcW w:w="2800" w:type="dxa"/>
            <w:vAlign w:val="bottom"/>
            <w:gridSpan w:val="2"/>
            <w:shd w:val="clear" w:color="auto" w:fill="CFF0FC"/>
          </w:tcPr>
          <w:p>
            <w:pPr>
              <w:jc w:val="right"/>
              <w:ind w:right="962"/>
              <w:spacing w:after="0"/>
              <w:rPr>
                <w:sz w:val="20"/>
                <w:szCs w:val="20"/>
                <w:color w:val="auto"/>
              </w:rPr>
            </w:pPr>
            <w:r>
              <w:rPr>
                <w:rFonts w:ascii="Arial" w:cs="Arial" w:eastAsia="Arial" w:hAnsi="Arial"/>
                <w:sz w:val="20"/>
                <w:szCs w:val="20"/>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w:t>
            </w:r>
          </w:p>
        </w:tc>
        <w:tc>
          <w:tcPr>
            <w:tcW w:w="28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962"/>
              <w:spacing w:after="0"/>
              <w:rPr>
                <w:sz w:val="20"/>
                <w:szCs w:val="20"/>
                <w:color w:val="auto"/>
              </w:rPr>
            </w:pPr>
            <w:r>
              <w:rPr>
                <w:rFonts w:ascii="Arial" w:cs="Arial" w:eastAsia="Arial" w:hAnsi="Arial"/>
                <w:sz w:val="20"/>
                <w:szCs w:val="20"/>
                <w:color w:val="auto"/>
                <w:w w:val="71"/>
              </w:rPr>
              <w:t>$</w:t>
            </w: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(26)</w:t>
            </w:r>
          </w:p>
        </w:tc>
      </w:tr>
      <w:tr>
        <w:trPr>
          <w:trHeight w:val="20"/>
        </w:trPr>
        <w:tc>
          <w:tcPr>
            <w:tcW w:w="6200" w:type="dxa"/>
            <w:vAlign w:val="bottom"/>
            <w:tcBorders>
              <w:top w:val="single" w:sz="8" w:color="CFF0FC"/>
            </w:tcBorders>
          </w:tcPr>
          <w:p>
            <w:pPr>
              <w:spacing w:after="0" w:line="20" w:lineRule="exact"/>
              <w:rPr>
                <w:sz w:val="1"/>
                <w:szCs w:val="1"/>
                <w:color w:val="auto"/>
              </w:rPr>
            </w:pPr>
          </w:p>
        </w:tc>
        <w:tc>
          <w:tcPr>
            <w:tcW w:w="164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9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2018</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69" w:lineRule="exact"/>
        <w:rPr>
          <w:sz w:val="20"/>
          <w:szCs w:val="20"/>
          <w:color w:val="auto"/>
        </w:rPr>
      </w:pPr>
    </w:p>
    <w:p>
      <w:pPr>
        <w:ind w:left="380" w:hanging="373"/>
        <w:spacing w:after="0"/>
        <w:tabs>
          <w:tab w:leader="none" w:pos="38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Significant Accounting Policies (continued)</w:t>
      </w:r>
    </w:p>
    <w:p>
      <w:pPr>
        <w:spacing w:after="0" w:line="104" w:lineRule="exact"/>
        <w:rPr>
          <w:rFonts w:ascii="Arial" w:cs="Arial" w:eastAsia="Arial" w:hAnsi="Arial"/>
          <w:sz w:val="20"/>
          <w:szCs w:val="20"/>
          <w:b w:val="1"/>
          <w:bCs w:val="1"/>
          <w:color w:val="auto"/>
        </w:rPr>
      </w:pPr>
    </w:p>
    <w:p>
      <w:pPr>
        <w:ind w:left="380" w:right="2460"/>
        <w:spacing w:after="0" w:line="407" w:lineRule="auto"/>
        <w:rPr>
          <w:rFonts w:ascii="Arial" w:cs="Arial" w:eastAsia="Arial" w:hAnsi="Arial"/>
          <w:sz w:val="20"/>
          <w:szCs w:val="20"/>
          <w:b w:val="1"/>
          <w:bCs w:val="1"/>
          <w:color w:val="auto"/>
        </w:rPr>
      </w:pPr>
      <w:r>
        <w:rPr>
          <w:rFonts w:ascii="Arial" w:cs="Arial" w:eastAsia="Arial" w:hAnsi="Arial"/>
          <w:sz w:val="19"/>
          <w:szCs w:val="19"/>
          <w:b w:val="1"/>
          <w:bCs w:val="1"/>
          <w:color w:val="auto"/>
        </w:rPr>
        <w:t xml:space="preserve">Consolidated Comprehensive Earnings/Loss and Accumulated Other Comprehensive Loss (continued) </w:t>
      </w:r>
      <w:r>
        <w:rPr>
          <w:rFonts w:ascii="Arial" w:cs="Arial" w:eastAsia="Arial" w:hAnsi="Arial"/>
          <w:sz w:val="19"/>
          <w:szCs w:val="19"/>
          <w:color w:val="auto"/>
        </w:rPr>
        <w:t>Changes in accumulated other comprehensive earnings (loss), net of tax, are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5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20"/>
                <w:szCs w:val="20"/>
                <w:i w:val="1"/>
                <w:iCs w:val="1"/>
                <w:color w:val="auto"/>
                <w:w w:val="91"/>
              </w:rPr>
              <w:t>(Dollars in Thousands)</w:t>
            </w:r>
          </w:p>
        </w:tc>
        <w:tc>
          <w:tcPr>
            <w:tcW w:w="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1"/>
        </w:trPr>
        <w:tc>
          <w:tcPr>
            <w:tcW w:w="4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20"/>
                <w:szCs w:val="20"/>
                <w:color w:val="auto"/>
                <w:w w:val="89"/>
              </w:rPr>
              <w:t>Unamortized</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4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20"/>
                <w:szCs w:val="20"/>
                <w:color w:val="auto"/>
                <w:w w:val="89"/>
              </w:rPr>
              <w:t>Value of</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4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20"/>
                <w:szCs w:val="20"/>
                <w:color w:val="auto"/>
                <w:w w:val="88"/>
              </w:rPr>
              <w:t>Terminated</w:t>
            </w:r>
          </w:p>
        </w:tc>
        <w:tc>
          <w:tcPr>
            <w:tcW w:w="80" w:type="dxa"/>
            <w:vAlign w:val="bottom"/>
          </w:tcPr>
          <w:p>
            <w:pPr>
              <w:spacing w:after="0"/>
              <w:rPr>
                <w:sz w:val="20"/>
                <w:szCs w:val="20"/>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20"/>
                <w:szCs w:val="20"/>
                <w:color w:val="auto"/>
                <w:w w:val="89"/>
              </w:rPr>
              <w:t>Accumulated</w:t>
            </w:r>
          </w:p>
        </w:tc>
      </w:tr>
      <w:tr>
        <w:trPr>
          <w:trHeight w:val="241"/>
        </w:trPr>
        <w:tc>
          <w:tcPr>
            <w:tcW w:w="4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20"/>
                <w:szCs w:val="20"/>
                <w:color w:val="auto"/>
                <w:w w:val="84"/>
              </w:rPr>
              <w:t>Pension and</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3"/>
          </w:tcPr>
          <w:p>
            <w:pPr>
              <w:spacing w:after="0"/>
              <w:rPr>
                <w:sz w:val="20"/>
                <w:szCs w:val="20"/>
                <w:color w:val="auto"/>
              </w:rPr>
            </w:pPr>
            <w:r>
              <w:rPr>
                <w:rFonts w:ascii="Arial" w:cs="Arial" w:eastAsia="Arial" w:hAnsi="Arial"/>
                <w:sz w:val="20"/>
                <w:szCs w:val="20"/>
                <w:color w:val="auto"/>
                <w:w w:val="98"/>
              </w:rPr>
              <w:t>Forward Starting</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20"/>
                <w:szCs w:val="20"/>
                <w:color w:val="auto"/>
                <w:w w:val="87"/>
              </w:rPr>
              <w:t>Other</w:t>
            </w:r>
          </w:p>
        </w:tc>
      </w:tr>
      <w:tr>
        <w:trPr>
          <w:trHeight w:val="241"/>
        </w:trPr>
        <w:tc>
          <w:tcPr>
            <w:tcW w:w="4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60" w:type="dxa"/>
            <w:vAlign w:val="bottom"/>
            <w:gridSpan w:val="3"/>
          </w:tcPr>
          <w:p>
            <w:pPr>
              <w:jc w:val="center"/>
              <w:ind w:right="140"/>
              <w:spacing w:after="0"/>
              <w:rPr>
                <w:sz w:val="20"/>
                <w:szCs w:val="20"/>
                <w:color w:val="auto"/>
              </w:rPr>
            </w:pPr>
            <w:r>
              <w:rPr>
                <w:rFonts w:ascii="Arial" w:cs="Arial" w:eastAsia="Arial" w:hAnsi="Arial"/>
                <w:sz w:val="20"/>
                <w:szCs w:val="20"/>
                <w:color w:val="auto"/>
                <w:w w:val="87"/>
              </w:rPr>
              <w:t>Postretirement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20"/>
                <w:szCs w:val="20"/>
                <w:color w:val="auto"/>
              </w:rPr>
              <w:t>Foreign</w:t>
            </w:r>
          </w:p>
        </w:tc>
        <w:tc>
          <w:tcPr>
            <w:tcW w:w="120" w:type="dxa"/>
            <w:vAlign w:val="bottom"/>
          </w:tcPr>
          <w:p>
            <w:pPr>
              <w:spacing w:after="0"/>
              <w:rPr>
                <w:sz w:val="20"/>
                <w:szCs w:val="20"/>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20"/>
                <w:szCs w:val="20"/>
                <w:color w:val="auto"/>
                <w:w w:val="87"/>
              </w:rPr>
              <w:t>Interest Rate</w:t>
            </w:r>
          </w:p>
        </w:tc>
        <w:tc>
          <w:tcPr>
            <w:tcW w:w="1440" w:type="dxa"/>
            <w:vAlign w:val="bottom"/>
            <w:gridSpan w:val="4"/>
          </w:tcPr>
          <w:p>
            <w:pPr>
              <w:ind w:left="80"/>
              <w:spacing w:after="0"/>
              <w:rPr>
                <w:sz w:val="20"/>
                <w:szCs w:val="20"/>
                <w:color w:val="auto"/>
              </w:rPr>
            </w:pPr>
            <w:r>
              <w:rPr>
                <w:rFonts w:ascii="Arial" w:cs="Arial" w:eastAsia="Arial" w:hAnsi="Arial"/>
                <w:sz w:val="20"/>
                <w:szCs w:val="20"/>
                <w:color w:val="auto"/>
                <w:w w:val="95"/>
              </w:rPr>
              <w:t>Comprehensive</w:t>
            </w:r>
          </w:p>
        </w:tc>
      </w:tr>
      <w:tr>
        <w:trPr>
          <w:trHeight w:val="244"/>
        </w:trPr>
        <w:tc>
          <w:tcPr>
            <w:tcW w:w="45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60" w:type="dxa"/>
            <w:vAlign w:val="bottom"/>
            <w:gridSpan w:val="3"/>
          </w:tcPr>
          <w:p>
            <w:pPr>
              <w:jc w:val="center"/>
              <w:ind w:right="140"/>
              <w:spacing w:after="0"/>
              <w:rPr>
                <w:sz w:val="20"/>
                <w:szCs w:val="20"/>
                <w:color w:val="auto"/>
              </w:rPr>
            </w:pPr>
            <w:r>
              <w:rPr>
                <w:rFonts w:ascii="Arial" w:cs="Arial" w:eastAsia="Arial" w:hAnsi="Arial"/>
                <w:sz w:val="20"/>
                <w:szCs w:val="20"/>
                <w:color w:val="auto"/>
                <w:w w:val="89"/>
              </w:rPr>
              <w:t>Benefit Plans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20"/>
                <w:szCs w:val="20"/>
                <w:color w:val="auto"/>
              </w:rPr>
              <w:t>Currency</w:t>
            </w:r>
          </w:p>
        </w:tc>
        <w:tc>
          <w:tcPr>
            <w:tcW w:w="120" w:type="dxa"/>
            <w:vAlign w:val="bottom"/>
          </w:tcPr>
          <w:p>
            <w:pPr>
              <w:spacing w:after="0"/>
              <w:rPr>
                <w:sz w:val="21"/>
                <w:szCs w:val="21"/>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20"/>
                <w:szCs w:val="20"/>
                <w:color w:val="auto"/>
                <w:w w:val="87"/>
              </w:rPr>
              <w:t>Swap</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20"/>
                <w:szCs w:val="20"/>
                <w:color w:val="auto"/>
                <w:w w:val="89"/>
              </w:rPr>
              <w:t>Loss</w:t>
            </w:r>
          </w:p>
        </w:tc>
      </w:tr>
      <w:tr>
        <w:trPr>
          <w:trHeight w:val="234"/>
        </w:trPr>
        <w:tc>
          <w:tcPr>
            <w:tcW w:w="4580" w:type="dxa"/>
            <w:vAlign w:val="bottom"/>
            <w:tcBorders>
              <w:bottom w:val="single" w:sz="8" w:color="CFF0FC"/>
            </w:tcBorders>
          </w:tcPr>
          <w:p>
            <w:pPr>
              <w:spacing w:after="0"/>
              <w:rPr>
                <w:sz w:val="20"/>
                <w:szCs w:val="20"/>
                <w:color w:val="auto"/>
              </w:rPr>
            </w:pPr>
          </w:p>
        </w:tc>
        <w:tc>
          <w:tcPr>
            <w:tcW w:w="880" w:type="dxa"/>
            <w:vAlign w:val="bottom"/>
            <w:tcBorders>
              <w:bottom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3160" w:type="dxa"/>
            <w:vAlign w:val="bottom"/>
            <w:tcBorders>
              <w:top w:val="single" w:sz="8" w:color="auto"/>
              <w:bottom w:val="single" w:sz="8" w:color="auto"/>
            </w:tcBorders>
            <w:gridSpan w:val="7"/>
          </w:tcPr>
          <w:p>
            <w:pPr>
              <w:jc w:val="center"/>
              <w:ind w:right="40"/>
              <w:spacing w:after="0"/>
              <w:rPr>
                <w:sz w:val="20"/>
                <w:szCs w:val="20"/>
                <w:color w:val="auto"/>
              </w:rPr>
            </w:pPr>
            <w:r>
              <w:rPr>
                <w:rFonts w:ascii="Arial" w:cs="Arial" w:eastAsia="Arial" w:hAnsi="Arial"/>
                <w:sz w:val="20"/>
                <w:szCs w:val="20"/>
                <w:color w:val="auto"/>
                <w:w w:val="89"/>
              </w:rPr>
              <w:t>Three-Months Ended March 31, 2018</w:t>
            </w:r>
          </w:p>
        </w:tc>
        <w:tc>
          <w:tcPr>
            <w:tcW w:w="8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r>
      <w:tr>
        <w:trPr>
          <w:trHeight w:val="234"/>
        </w:trPr>
        <w:tc>
          <w:tcPr>
            <w:tcW w:w="4580" w:type="dxa"/>
            <w:vAlign w:val="bottom"/>
            <w:shd w:val="clear" w:color="auto" w:fill="CFF0FC"/>
          </w:tcPr>
          <w:p>
            <w:pPr>
              <w:spacing w:after="0"/>
              <w:rPr>
                <w:sz w:val="20"/>
                <w:szCs w:val="20"/>
                <w:color w:val="auto"/>
              </w:rPr>
            </w:pPr>
            <w:r>
              <w:rPr>
                <w:rFonts w:ascii="Arial" w:cs="Arial" w:eastAsia="Arial" w:hAnsi="Arial"/>
                <w:sz w:val="20"/>
                <w:szCs w:val="20"/>
                <w:color w:val="auto"/>
              </w:rPr>
              <w:t>Balance at beginning of period</w:t>
            </w:r>
          </w:p>
        </w:tc>
        <w:tc>
          <w:tcPr>
            <w:tcW w:w="8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(128,802)</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(22)</w:t>
            </w:r>
          </w:p>
        </w:tc>
        <w:tc>
          <w:tcPr>
            <w:tcW w:w="120" w:type="dxa"/>
            <w:vAlign w:val="bottom"/>
            <w:shd w:val="clear" w:color="auto" w:fill="CFF0FC"/>
          </w:tcPr>
          <w:p>
            <w:pPr>
              <w:spacing w:after="0"/>
              <w:rPr>
                <w:sz w:val="20"/>
                <w:szCs w:val="20"/>
                <w:color w:val="auto"/>
              </w:rPr>
            </w:pPr>
            <w:r>
              <w:rPr>
                <w:rFonts w:ascii="Arial" w:cs="Arial" w:eastAsia="Arial" w:hAnsi="Arial"/>
                <w:sz w:val="20"/>
                <w:szCs w:val="20"/>
                <w:color w:val="auto"/>
                <w:w w:val="89"/>
              </w:rPr>
              <w:t>$</w:t>
            </w: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20"/>
                <w:szCs w:val="20"/>
                <w:color w:val="auto"/>
              </w:rPr>
              <w:t>(280)</w:t>
            </w:r>
          </w:p>
        </w:tc>
        <w:tc>
          <w:tcPr>
            <w:tcW w:w="340" w:type="dxa"/>
            <w:vAlign w:val="bottom"/>
            <w:gridSpan w:val="2"/>
            <w:shd w:val="clear" w:color="auto" w:fill="CFF0FC"/>
          </w:tcPr>
          <w:p>
            <w:pPr>
              <w:ind w:left="80"/>
              <w:spacing w:after="0"/>
              <w:rPr>
                <w:sz w:val="20"/>
                <w:szCs w:val="20"/>
                <w:color w:val="auto"/>
              </w:rPr>
            </w:pPr>
            <w:r>
              <w:rPr>
                <w:rFonts w:ascii="Arial" w:cs="Arial" w:eastAsia="Arial" w:hAnsi="Arial"/>
                <w:sz w:val="20"/>
                <w:szCs w:val="20"/>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(129,104)</w:t>
            </w:r>
          </w:p>
        </w:tc>
        <w:tc>
          <w:tcPr>
            <w:tcW w:w="100" w:type="dxa"/>
            <w:vAlign w:val="bottom"/>
            <w:shd w:val="clear" w:color="auto" w:fill="CFF0FC"/>
          </w:tcPr>
          <w:p>
            <w:pPr>
              <w:spacing w:after="0"/>
              <w:rPr>
                <w:sz w:val="20"/>
                <w:szCs w:val="20"/>
                <w:color w:val="auto"/>
              </w:rPr>
            </w:pPr>
          </w:p>
        </w:tc>
      </w:tr>
      <w:tr>
        <w:trPr>
          <w:trHeight w:val="217"/>
        </w:trPr>
        <w:tc>
          <w:tcPr>
            <w:tcW w:w="4580" w:type="dxa"/>
            <w:vAlign w:val="bottom"/>
          </w:tcPr>
          <w:p>
            <w:pPr>
              <w:spacing w:after="0" w:line="217" w:lineRule="exact"/>
              <w:rPr>
                <w:sz w:val="20"/>
                <w:szCs w:val="20"/>
                <w:color w:val="auto"/>
              </w:rPr>
            </w:pPr>
            <w:r>
              <w:rPr>
                <w:rFonts w:ascii="Arial" w:cs="Arial" w:eastAsia="Arial" w:hAnsi="Arial"/>
                <w:sz w:val="20"/>
                <w:szCs w:val="20"/>
                <w:color w:val="auto"/>
              </w:rPr>
              <w:t>Other comprehensive loss before</w:t>
            </w:r>
          </w:p>
        </w:tc>
        <w:tc>
          <w:tcPr>
            <w:tcW w:w="8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4"/>
        </w:trPr>
        <w:tc>
          <w:tcPr>
            <w:tcW w:w="4580" w:type="dxa"/>
            <w:vAlign w:val="bottom"/>
          </w:tcPr>
          <w:p>
            <w:pPr>
              <w:ind w:left="160"/>
              <w:spacing w:after="0"/>
              <w:rPr>
                <w:sz w:val="20"/>
                <w:szCs w:val="20"/>
                <w:color w:val="auto"/>
              </w:rPr>
            </w:pPr>
            <w:r>
              <w:rPr>
                <w:rFonts w:ascii="Arial" w:cs="Arial" w:eastAsia="Arial" w:hAnsi="Arial"/>
                <w:sz w:val="20"/>
                <w:szCs w:val="20"/>
                <w:color w:val="auto"/>
              </w:rPr>
              <w:t>reclassifications, net of tax</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20"/>
                <w:szCs w:val="20"/>
                <w:color w:val="auto"/>
              </w:rPr>
              <w:t>(587)</w:t>
            </w:r>
          </w:p>
        </w:tc>
        <w:tc>
          <w:tcPr>
            <w:tcW w:w="12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20"/>
                <w:szCs w:val="20"/>
                <w:color w:val="auto"/>
              </w:rPr>
              <w:t>(587)</w:t>
            </w:r>
          </w:p>
        </w:tc>
      </w:tr>
      <w:tr>
        <w:trPr>
          <w:trHeight w:val="224"/>
        </w:trPr>
        <w:tc>
          <w:tcPr>
            <w:tcW w:w="458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Amounts reclassified from accumulated</w:t>
            </w: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4580" w:type="dxa"/>
            <w:vAlign w:val="bottom"/>
            <w:shd w:val="clear" w:color="auto" w:fill="CFF0FC"/>
          </w:tcPr>
          <w:p>
            <w:pPr>
              <w:ind w:left="160"/>
              <w:spacing w:after="0"/>
              <w:rPr>
                <w:sz w:val="20"/>
                <w:szCs w:val="20"/>
                <w:color w:val="auto"/>
              </w:rPr>
            </w:pPr>
            <w:r>
              <w:rPr>
                <w:rFonts w:ascii="Arial" w:cs="Arial" w:eastAsia="Arial" w:hAnsi="Arial"/>
                <w:sz w:val="20"/>
                <w:szCs w:val="20"/>
                <w:color w:val="auto"/>
              </w:rPr>
              <w:t>other comprehensive earnings, net of tax</w:t>
            </w:r>
          </w:p>
        </w:tc>
        <w:tc>
          <w:tcPr>
            <w:tcW w:w="8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1,996</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20"/>
                <w:szCs w:val="20"/>
                <w:color w:val="auto"/>
              </w:rPr>
              <w:t>—</w:t>
            </w: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210</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2,206</w:t>
            </w:r>
          </w:p>
        </w:tc>
        <w:tc>
          <w:tcPr>
            <w:tcW w:w="100" w:type="dxa"/>
            <w:vAlign w:val="bottom"/>
            <w:shd w:val="clear" w:color="auto" w:fill="CFF0FC"/>
          </w:tcPr>
          <w:p>
            <w:pPr>
              <w:spacing w:after="0"/>
              <w:rPr>
                <w:sz w:val="21"/>
                <w:szCs w:val="21"/>
                <w:color w:val="auto"/>
              </w:rPr>
            </w:pPr>
          </w:p>
        </w:tc>
      </w:tr>
      <w:tr>
        <w:trPr>
          <w:trHeight w:val="234"/>
        </w:trPr>
        <w:tc>
          <w:tcPr>
            <w:tcW w:w="458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Other comprehensive earnings (loss), net of tax</w:t>
            </w:r>
          </w:p>
        </w:tc>
        <w:tc>
          <w:tcPr>
            <w:tcW w:w="880" w:type="dxa"/>
            <w:vAlign w:val="bottom"/>
            <w:tcBorders>
              <w:bottom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1,996</w:t>
            </w:r>
          </w:p>
        </w:tc>
        <w:tc>
          <w:tcPr>
            <w:tcW w:w="12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(587)</w:t>
            </w:r>
          </w:p>
        </w:tc>
        <w:tc>
          <w:tcPr>
            <w:tcW w:w="260" w:type="dxa"/>
            <w:vAlign w:val="bottom"/>
            <w:tcBorders>
              <w:bottom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210</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1,619</w:t>
            </w:r>
          </w:p>
        </w:tc>
        <w:tc>
          <w:tcPr>
            <w:tcW w:w="100" w:type="dxa"/>
            <w:vAlign w:val="bottom"/>
            <w:tcBorders>
              <w:bottom w:val="single" w:sz="8" w:color="CFF0FC"/>
            </w:tcBorders>
          </w:tcPr>
          <w:p>
            <w:pPr>
              <w:spacing w:after="0"/>
              <w:rPr>
                <w:sz w:val="20"/>
                <w:szCs w:val="20"/>
                <w:color w:val="auto"/>
              </w:rPr>
            </w:pPr>
          </w:p>
        </w:tc>
      </w:tr>
      <w:tr>
        <w:trPr>
          <w:trHeight w:val="234"/>
        </w:trPr>
        <w:tc>
          <w:tcPr>
            <w:tcW w:w="4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at end of period</w:t>
            </w:r>
          </w:p>
        </w:tc>
        <w:tc>
          <w:tcPr>
            <w:tcW w:w="8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(126,806)</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(609)</w:t>
            </w:r>
          </w:p>
        </w:tc>
        <w:tc>
          <w:tcPr>
            <w:tcW w:w="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w w:val="8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(70)</w:t>
            </w: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(127,485)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
        </w:trPr>
        <w:tc>
          <w:tcPr>
            <w:tcW w:w="4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2"/>
        </w:trPr>
        <w:tc>
          <w:tcPr>
            <w:tcW w:w="4580" w:type="dxa"/>
            <w:vAlign w:val="bottom"/>
            <w:tcBorders>
              <w:bottom w:val="single" w:sz="8" w:color="CFF0FC"/>
            </w:tcBorders>
          </w:tcPr>
          <w:p>
            <w:pPr>
              <w:spacing w:after="0"/>
              <w:rPr>
                <w:sz w:val="24"/>
                <w:szCs w:val="24"/>
                <w:color w:val="auto"/>
              </w:rPr>
            </w:pPr>
          </w:p>
        </w:tc>
        <w:tc>
          <w:tcPr>
            <w:tcW w:w="88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7"/>
          </w:tcPr>
          <w:p>
            <w:pPr>
              <w:jc w:val="center"/>
              <w:ind w:right="40"/>
              <w:spacing w:after="0"/>
              <w:rPr>
                <w:sz w:val="20"/>
                <w:szCs w:val="20"/>
                <w:color w:val="auto"/>
              </w:rPr>
            </w:pPr>
            <w:r>
              <w:rPr>
                <w:rFonts w:ascii="Arial" w:cs="Arial" w:eastAsia="Arial" w:hAnsi="Arial"/>
                <w:sz w:val="20"/>
                <w:szCs w:val="20"/>
                <w:color w:val="auto"/>
                <w:w w:val="89"/>
              </w:rPr>
              <w:t>Three-Months Ended March 31, 2017</w:t>
            </w: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CFF2FA"/>
            </w:tcBorders>
          </w:tcPr>
          <w:p>
            <w:pPr>
              <w:spacing w:after="0"/>
              <w:rPr>
                <w:sz w:val="24"/>
                <w:szCs w:val="24"/>
                <w:color w:val="auto"/>
              </w:rPr>
            </w:pPr>
          </w:p>
        </w:tc>
      </w:tr>
      <w:tr>
        <w:trPr>
          <w:trHeight w:val="234"/>
        </w:trPr>
        <w:tc>
          <w:tcPr>
            <w:tcW w:w="4580" w:type="dxa"/>
            <w:vAlign w:val="bottom"/>
            <w:shd w:val="clear" w:color="auto" w:fill="CFF0FC"/>
          </w:tcPr>
          <w:p>
            <w:pPr>
              <w:spacing w:after="0"/>
              <w:rPr>
                <w:sz w:val="20"/>
                <w:szCs w:val="20"/>
                <w:color w:val="auto"/>
              </w:rPr>
            </w:pPr>
            <w:r>
              <w:rPr>
                <w:rFonts w:ascii="Arial" w:cs="Arial" w:eastAsia="Arial" w:hAnsi="Arial"/>
                <w:sz w:val="20"/>
                <w:szCs w:val="20"/>
                <w:color w:val="auto"/>
              </w:rPr>
              <w:t>Balance at beginning of period</w:t>
            </w:r>
          </w:p>
        </w:tc>
        <w:tc>
          <w:tcPr>
            <w:tcW w:w="880" w:type="dxa"/>
            <w:vAlign w:val="bottom"/>
            <w:shd w:val="clear" w:color="auto" w:fill="CFF0FC"/>
          </w:tcPr>
          <w:p>
            <w:pPr>
              <w:spacing w:after="0"/>
              <w:rPr>
                <w:sz w:val="20"/>
                <w:szCs w:val="20"/>
                <w:color w:val="auto"/>
              </w:rPr>
            </w:pPr>
          </w:p>
        </w:tc>
        <w:tc>
          <w:tcPr>
            <w:tcW w:w="120" w:type="dxa"/>
            <w:vAlign w:val="bottom"/>
            <w:shd w:val="clear" w:color="auto" w:fill="CFF2FA"/>
          </w:tcPr>
          <w:p>
            <w:pPr>
              <w:jc w:val="right"/>
              <w:spacing w:after="0"/>
              <w:rPr>
                <w:sz w:val="20"/>
                <w:szCs w:val="20"/>
                <w:color w:val="auto"/>
              </w:rPr>
            </w:pPr>
            <w:r>
              <w:rPr>
                <w:rFonts w:ascii="Arial" w:cs="Arial" w:eastAsia="Arial" w:hAnsi="Arial"/>
                <w:sz w:val="20"/>
                <w:szCs w:val="20"/>
                <w:color w:val="auto"/>
                <w:w w:val="71"/>
              </w:rPr>
              <w:t>$</w:t>
            </w:r>
          </w:p>
        </w:tc>
        <w:tc>
          <w:tcPr>
            <w:tcW w:w="1240" w:type="dxa"/>
            <w:vAlign w:val="bottom"/>
            <w:gridSpan w:val="2"/>
            <w:shd w:val="clear" w:color="auto" w:fill="CFF2FA"/>
          </w:tcPr>
          <w:p>
            <w:pPr>
              <w:jc w:val="right"/>
              <w:ind w:right="60"/>
              <w:spacing w:after="0"/>
              <w:rPr>
                <w:sz w:val="20"/>
                <w:szCs w:val="20"/>
                <w:color w:val="auto"/>
              </w:rPr>
            </w:pPr>
            <w:r>
              <w:rPr>
                <w:rFonts w:ascii="Arial" w:cs="Arial" w:eastAsia="Arial" w:hAnsi="Arial"/>
                <w:sz w:val="20"/>
                <w:szCs w:val="20"/>
                <w:color w:val="auto"/>
              </w:rPr>
              <w:t>(128,373)</w:t>
            </w:r>
          </w:p>
        </w:tc>
        <w:tc>
          <w:tcPr>
            <w:tcW w:w="300" w:type="dxa"/>
            <w:vAlign w:val="bottom"/>
            <w:gridSpan w:val="2"/>
            <w:shd w:val="clear" w:color="auto" w:fill="CFF2FA"/>
          </w:tcPr>
          <w:p>
            <w:pPr>
              <w:jc w:val="right"/>
              <w:spacing w:after="0"/>
              <w:rPr>
                <w:sz w:val="20"/>
                <w:szCs w:val="20"/>
                <w:color w:val="auto"/>
              </w:rPr>
            </w:pPr>
            <w:r>
              <w:rPr>
                <w:rFonts w:ascii="Arial" w:cs="Arial" w:eastAsia="Arial" w:hAnsi="Arial"/>
                <w:sz w:val="20"/>
                <w:szCs w:val="20"/>
                <w:color w:val="auto"/>
              </w:rPr>
              <w:t>$</w:t>
            </w:r>
          </w:p>
        </w:tc>
        <w:tc>
          <w:tcPr>
            <w:tcW w:w="1380" w:type="dxa"/>
            <w:vAlign w:val="bottom"/>
            <w:gridSpan w:val="2"/>
            <w:shd w:val="clear" w:color="auto" w:fill="CFF2FA"/>
          </w:tcPr>
          <w:p>
            <w:pPr>
              <w:jc w:val="right"/>
              <w:ind w:right="180"/>
              <w:spacing w:after="0"/>
              <w:rPr>
                <w:sz w:val="20"/>
                <w:szCs w:val="20"/>
                <w:color w:val="auto"/>
              </w:rPr>
            </w:pPr>
            <w:r>
              <w:rPr>
                <w:rFonts w:ascii="Arial" w:cs="Arial" w:eastAsia="Arial" w:hAnsi="Arial"/>
                <w:sz w:val="20"/>
                <w:szCs w:val="20"/>
                <w:color w:val="auto"/>
              </w:rPr>
              <w:t>(1,162)</w:t>
            </w:r>
          </w:p>
        </w:tc>
        <w:tc>
          <w:tcPr>
            <w:tcW w:w="120" w:type="dxa"/>
            <w:vAlign w:val="bottom"/>
            <w:shd w:val="clear" w:color="auto" w:fill="CFF2FA"/>
          </w:tcPr>
          <w:p>
            <w:pPr>
              <w:spacing w:after="0"/>
              <w:rPr>
                <w:sz w:val="20"/>
                <w:szCs w:val="20"/>
                <w:color w:val="auto"/>
              </w:rPr>
            </w:pPr>
            <w:r>
              <w:rPr>
                <w:rFonts w:ascii="Arial" w:cs="Arial" w:eastAsia="Arial" w:hAnsi="Arial"/>
                <w:sz w:val="20"/>
                <w:szCs w:val="20"/>
                <w:color w:val="auto"/>
                <w:w w:val="89"/>
              </w:rPr>
              <w:t>$</w:t>
            </w:r>
          </w:p>
        </w:tc>
        <w:tc>
          <w:tcPr>
            <w:tcW w:w="1360" w:type="dxa"/>
            <w:vAlign w:val="bottom"/>
            <w:gridSpan w:val="2"/>
            <w:shd w:val="clear" w:color="auto" w:fill="CFF2FA"/>
          </w:tcPr>
          <w:p>
            <w:pPr>
              <w:jc w:val="right"/>
              <w:ind w:right="80"/>
              <w:spacing w:after="0"/>
              <w:rPr>
                <w:sz w:val="20"/>
                <w:szCs w:val="20"/>
                <w:color w:val="auto"/>
              </w:rPr>
            </w:pPr>
            <w:r>
              <w:rPr>
                <w:rFonts w:ascii="Arial" w:cs="Arial" w:eastAsia="Arial" w:hAnsi="Arial"/>
                <w:sz w:val="20"/>
                <w:szCs w:val="20"/>
                <w:color w:val="auto"/>
              </w:rPr>
              <w:t>(1,152)</w:t>
            </w:r>
          </w:p>
        </w:tc>
        <w:tc>
          <w:tcPr>
            <w:tcW w:w="340" w:type="dxa"/>
            <w:vAlign w:val="bottom"/>
            <w:gridSpan w:val="2"/>
            <w:shd w:val="clear" w:color="auto" w:fill="CFF2FA"/>
          </w:tcPr>
          <w:p>
            <w:pPr>
              <w:ind w:left="80"/>
              <w:spacing w:after="0"/>
              <w:rPr>
                <w:sz w:val="20"/>
                <w:szCs w:val="20"/>
                <w:color w:val="auto"/>
              </w:rPr>
            </w:pPr>
            <w:r>
              <w:rPr>
                <w:rFonts w:ascii="Arial" w:cs="Arial" w:eastAsia="Arial" w:hAnsi="Arial"/>
                <w:sz w:val="20"/>
                <w:szCs w:val="20"/>
                <w:color w:val="auto"/>
              </w:rPr>
              <w:t>$</w:t>
            </w:r>
          </w:p>
        </w:tc>
        <w:tc>
          <w:tcPr>
            <w:tcW w:w="1000" w:type="dxa"/>
            <w:vAlign w:val="bottom"/>
            <w:shd w:val="clear" w:color="auto" w:fill="CFF2FA"/>
          </w:tcPr>
          <w:p>
            <w:pPr>
              <w:jc w:val="right"/>
              <w:spacing w:after="0"/>
              <w:rPr>
                <w:sz w:val="20"/>
                <w:szCs w:val="20"/>
                <w:color w:val="auto"/>
              </w:rPr>
            </w:pPr>
            <w:r>
              <w:rPr>
                <w:rFonts w:ascii="Arial" w:cs="Arial" w:eastAsia="Arial" w:hAnsi="Arial"/>
                <w:sz w:val="20"/>
                <w:szCs w:val="20"/>
                <w:color w:val="auto"/>
              </w:rPr>
              <w:t>(130,687)</w:t>
            </w:r>
          </w:p>
        </w:tc>
        <w:tc>
          <w:tcPr>
            <w:tcW w:w="100" w:type="dxa"/>
            <w:vAlign w:val="bottom"/>
            <w:shd w:val="clear" w:color="auto" w:fill="CFF2FA"/>
          </w:tcPr>
          <w:p>
            <w:pPr>
              <w:spacing w:after="0"/>
              <w:rPr>
                <w:sz w:val="20"/>
                <w:szCs w:val="20"/>
                <w:color w:val="auto"/>
              </w:rPr>
            </w:pPr>
          </w:p>
        </w:tc>
      </w:tr>
      <w:tr>
        <w:trPr>
          <w:trHeight w:val="217"/>
        </w:trPr>
        <w:tc>
          <w:tcPr>
            <w:tcW w:w="4580" w:type="dxa"/>
            <w:vAlign w:val="bottom"/>
          </w:tcPr>
          <w:p>
            <w:pPr>
              <w:spacing w:after="0" w:line="217" w:lineRule="exact"/>
              <w:rPr>
                <w:sz w:val="20"/>
                <w:szCs w:val="20"/>
                <w:color w:val="auto"/>
              </w:rPr>
            </w:pPr>
            <w:r>
              <w:rPr>
                <w:rFonts w:ascii="Arial" w:cs="Arial" w:eastAsia="Arial" w:hAnsi="Arial"/>
                <w:sz w:val="20"/>
                <w:szCs w:val="20"/>
                <w:color w:val="auto"/>
              </w:rPr>
              <w:t>Other comprehensive earnings before</w:t>
            </w:r>
          </w:p>
        </w:tc>
        <w:tc>
          <w:tcPr>
            <w:tcW w:w="8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4"/>
        </w:trPr>
        <w:tc>
          <w:tcPr>
            <w:tcW w:w="4580" w:type="dxa"/>
            <w:vAlign w:val="bottom"/>
          </w:tcPr>
          <w:p>
            <w:pPr>
              <w:ind w:left="160"/>
              <w:spacing w:after="0"/>
              <w:rPr>
                <w:sz w:val="20"/>
                <w:szCs w:val="20"/>
                <w:color w:val="auto"/>
              </w:rPr>
            </w:pPr>
            <w:r>
              <w:rPr>
                <w:rFonts w:ascii="Arial" w:cs="Arial" w:eastAsia="Arial" w:hAnsi="Arial"/>
                <w:sz w:val="20"/>
                <w:szCs w:val="20"/>
                <w:color w:val="auto"/>
              </w:rPr>
              <w:t>reclassifications, net of tax</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137</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137</w:t>
            </w:r>
          </w:p>
        </w:tc>
        <w:tc>
          <w:tcPr>
            <w:tcW w:w="100" w:type="dxa"/>
            <w:vAlign w:val="bottom"/>
          </w:tcPr>
          <w:p>
            <w:pPr>
              <w:spacing w:after="0"/>
              <w:rPr>
                <w:sz w:val="21"/>
                <w:szCs w:val="21"/>
                <w:color w:val="auto"/>
              </w:rPr>
            </w:pPr>
          </w:p>
        </w:tc>
      </w:tr>
      <w:tr>
        <w:trPr>
          <w:trHeight w:val="224"/>
        </w:trPr>
        <w:tc>
          <w:tcPr>
            <w:tcW w:w="458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Amounts reclassified from accumulated</w:t>
            </w:r>
          </w:p>
        </w:tc>
        <w:tc>
          <w:tcPr>
            <w:tcW w:w="880" w:type="dxa"/>
            <w:vAlign w:val="bottom"/>
            <w:shd w:val="clear" w:color="auto" w:fill="CFF0FC"/>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112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180" w:type="dxa"/>
            <w:vAlign w:val="bottom"/>
            <w:shd w:val="clear" w:color="auto" w:fill="CFF2FA"/>
          </w:tcPr>
          <w:p>
            <w:pPr>
              <w:spacing w:after="0"/>
              <w:rPr>
                <w:sz w:val="19"/>
                <w:szCs w:val="19"/>
                <w:color w:val="auto"/>
              </w:rPr>
            </w:pPr>
          </w:p>
        </w:tc>
        <w:tc>
          <w:tcPr>
            <w:tcW w:w="1120" w:type="dxa"/>
            <w:vAlign w:val="bottom"/>
            <w:shd w:val="clear" w:color="auto" w:fill="CFF2FA"/>
          </w:tcPr>
          <w:p>
            <w:pPr>
              <w:spacing w:after="0"/>
              <w:rPr>
                <w:sz w:val="19"/>
                <w:szCs w:val="19"/>
                <w:color w:val="auto"/>
              </w:rPr>
            </w:pPr>
          </w:p>
        </w:tc>
        <w:tc>
          <w:tcPr>
            <w:tcW w:w="26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1200" w:type="dxa"/>
            <w:vAlign w:val="bottom"/>
            <w:shd w:val="clear" w:color="auto" w:fill="CFF2FA"/>
          </w:tcPr>
          <w:p>
            <w:pPr>
              <w:spacing w:after="0"/>
              <w:rPr>
                <w:sz w:val="19"/>
                <w:szCs w:val="19"/>
                <w:color w:val="auto"/>
              </w:rPr>
            </w:pPr>
          </w:p>
        </w:tc>
        <w:tc>
          <w:tcPr>
            <w:tcW w:w="160" w:type="dxa"/>
            <w:vAlign w:val="bottom"/>
            <w:shd w:val="clear" w:color="auto" w:fill="CFF2FA"/>
          </w:tcPr>
          <w:p>
            <w:pPr>
              <w:spacing w:after="0"/>
              <w:rPr>
                <w:sz w:val="19"/>
                <w:szCs w:val="19"/>
                <w:color w:val="auto"/>
              </w:rPr>
            </w:pPr>
          </w:p>
        </w:tc>
        <w:tc>
          <w:tcPr>
            <w:tcW w:w="80" w:type="dxa"/>
            <w:vAlign w:val="bottom"/>
            <w:shd w:val="clear" w:color="auto" w:fill="CFF2FA"/>
          </w:tcPr>
          <w:p>
            <w:pPr>
              <w:spacing w:after="0"/>
              <w:rPr>
                <w:sz w:val="19"/>
                <w:szCs w:val="19"/>
                <w:color w:val="auto"/>
              </w:rPr>
            </w:pPr>
          </w:p>
        </w:tc>
        <w:tc>
          <w:tcPr>
            <w:tcW w:w="260" w:type="dxa"/>
            <w:vAlign w:val="bottom"/>
            <w:shd w:val="clear" w:color="auto" w:fill="CFF2FA"/>
          </w:tcPr>
          <w:p>
            <w:pPr>
              <w:spacing w:after="0"/>
              <w:rPr>
                <w:sz w:val="19"/>
                <w:szCs w:val="19"/>
                <w:color w:val="auto"/>
              </w:rPr>
            </w:pPr>
          </w:p>
        </w:tc>
        <w:tc>
          <w:tcPr>
            <w:tcW w:w="100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r>
      <w:tr>
        <w:trPr>
          <w:trHeight w:val="244"/>
        </w:trPr>
        <w:tc>
          <w:tcPr>
            <w:tcW w:w="4580" w:type="dxa"/>
            <w:vAlign w:val="bottom"/>
            <w:shd w:val="clear" w:color="auto" w:fill="CFF0FC"/>
          </w:tcPr>
          <w:p>
            <w:pPr>
              <w:ind w:left="160"/>
              <w:spacing w:after="0"/>
              <w:rPr>
                <w:sz w:val="20"/>
                <w:szCs w:val="20"/>
                <w:color w:val="auto"/>
              </w:rPr>
            </w:pPr>
            <w:r>
              <w:rPr>
                <w:rFonts w:ascii="Arial" w:cs="Arial" w:eastAsia="Arial" w:hAnsi="Arial"/>
                <w:sz w:val="20"/>
                <w:szCs w:val="20"/>
                <w:color w:val="auto"/>
              </w:rPr>
              <w:t>other comprehensive earnings, net of tax</w:t>
            </w:r>
          </w:p>
        </w:tc>
        <w:tc>
          <w:tcPr>
            <w:tcW w:w="880" w:type="dxa"/>
            <w:vAlign w:val="bottom"/>
            <w:shd w:val="clear" w:color="auto" w:fill="CFF0FC"/>
          </w:tcPr>
          <w:p>
            <w:pPr>
              <w:spacing w:after="0"/>
              <w:rPr>
                <w:sz w:val="21"/>
                <w:szCs w:val="21"/>
                <w:color w:val="auto"/>
              </w:rPr>
            </w:pPr>
          </w:p>
        </w:tc>
        <w:tc>
          <w:tcPr>
            <w:tcW w:w="120" w:type="dxa"/>
            <w:vAlign w:val="bottom"/>
            <w:shd w:val="clear" w:color="auto" w:fill="CFF2FA"/>
          </w:tcPr>
          <w:p>
            <w:pPr>
              <w:spacing w:after="0"/>
              <w:rPr>
                <w:sz w:val="21"/>
                <w:szCs w:val="21"/>
                <w:color w:val="auto"/>
              </w:rPr>
            </w:pPr>
          </w:p>
        </w:tc>
        <w:tc>
          <w:tcPr>
            <w:tcW w:w="1120" w:type="dxa"/>
            <w:vAlign w:val="bottom"/>
            <w:shd w:val="clear" w:color="auto" w:fill="CFF2FA"/>
          </w:tcPr>
          <w:p>
            <w:pPr>
              <w:jc w:val="right"/>
              <w:spacing w:after="0"/>
              <w:rPr>
                <w:sz w:val="20"/>
                <w:szCs w:val="20"/>
                <w:color w:val="auto"/>
              </w:rPr>
            </w:pPr>
            <w:r>
              <w:rPr>
                <w:rFonts w:ascii="Arial" w:cs="Arial" w:eastAsia="Arial" w:hAnsi="Arial"/>
                <w:sz w:val="20"/>
                <w:szCs w:val="20"/>
                <w:color w:val="auto"/>
              </w:rPr>
              <w:t>1,910</w:t>
            </w:r>
          </w:p>
        </w:tc>
        <w:tc>
          <w:tcPr>
            <w:tcW w:w="120" w:type="dxa"/>
            <w:vAlign w:val="bottom"/>
            <w:shd w:val="clear" w:color="auto" w:fill="CFF2FA"/>
          </w:tcPr>
          <w:p>
            <w:pPr>
              <w:spacing w:after="0"/>
              <w:rPr>
                <w:sz w:val="21"/>
                <w:szCs w:val="21"/>
                <w:color w:val="auto"/>
              </w:rPr>
            </w:pPr>
          </w:p>
        </w:tc>
        <w:tc>
          <w:tcPr>
            <w:tcW w:w="120" w:type="dxa"/>
            <w:vAlign w:val="bottom"/>
            <w:shd w:val="clear" w:color="auto" w:fill="CFF2FA"/>
          </w:tcPr>
          <w:p>
            <w:pPr>
              <w:spacing w:after="0"/>
              <w:rPr>
                <w:sz w:val="21"/>
                <w:szCs w:val="21"/>
                <w:color w:val="auto"/>
              </w:rPr>
            </w:pPr>
          </w:p>
        </w:tc>
        <w:tc>
          <w:tcPr>
            <w:tcW w:w="180" w:type="dxa"/>
            <w:vAlign w:val="bottom"/>
            <w:shd w:val="clear" w:color="auto" w:fill="CFF2FA"/>
          </w:tcPr>
          <w:p>
            <w:pPr>
              <w:spacing w:after="0"/>
              <w:rPr>
                <w:sz w:val="21"/>
                <w:szCs w:val="21"/>
                <w:color w:val="auto"/>
              </w:rPr>
            </w:pPr>
          </w:p>
        </w:tc>
        <w:tc>
          <w:tcPr>
            <w:tcW w:w="1380" w:type="dxa"/>
            <w:vAlign w:val="bottom"/>
            <w:gridSpan w:val="2"/>
            <w:shd w:val="clear" w:color="auto" w:fill="CFF2FA"/>
          </w:tcPr>
          <w:p>
            <w:pPr>
              <w:jc w:val="right"/>
              <w:ind w:right="260"/>
              <w:spacing w:after="0"/>
              <w:rPr>
                <w:sz w:val="20"/>
                <w:szCs w:val="20"/>
                <w:color w:val="auto"/>
              </w:rPr>
            </w:pPr>
            <w:r>
              <w:rPr>
                <w:rFonts w:ascii="Arial" w:cs="Arial" w:eastAsia="Arial" w:hAnsi="Arial"/>
                <w:sz w:val="20"/>
                <w:szCs w:val="20"/>
                <w:color w:val="auto"/>
              </w:rPr>
              <w:t>—</w:t>
            </w:r>
          </w:p>
        </w:tc>
        <w:tc>
          <w:tcPr>
            <w:tcW w:w="120" w:type="dxa"/>
            <w:vAlign w:val="bottom"/>
            <w:shd w:val="clear" w:color="auto" w:fill="CFF2FA"/>
          </w:tcPr>
          <w:p>
            <w:pPr>
              <w:spacing w:after="0"/>
              <w:rPr>
                <w:sz w:val="21"/>
                <w:szCs w:val="21"/>
                <w:color w:val="auto"/>
              </w:rPr>
            </w:pPr>
          </w:p>
        </w:tc>
        <w:tc>
          <w:tcPr>
            <w:tcW w:w="1200" w:type="dxa"/>
            <w:vAlign w:val="bottom"/>
            <w:shd w:val="clear" w:color="auto" w:fill="CFF2FA"/>
          </w:tcPr>
          <w:p>
            <w:pPr>
              <w:jc w:val="right"/>
              <w:spacing w:after="0"/>
              <w:rPr>
                <w:sz w:val="20"/>
                <w:szCs w:val="20"/>
                <w:color w:val="auto"/>
              </w:rPr>
            </w:pPr>
            <w:r>
              <w:rPr>
                <w:rFonts w:ascii="Arial" w:cs="Arial" w:eastAsia="Arial" w:hAnsi="Arial"/>
                <w:sz w:val="20"/>
                <w:szCs w:val="20"/>
                <w:color w:val="auto"/>
              </w:rPr>
              <w:t>215</w:t>
            </w:r>
          </w:p>
        </w:tc>
        <w:tc>
          <w:tcPr>
            <w:tcW w:w="160" w:type="dxa"/>
            <w:vAlign w:val="bottom"/>
            <w:shd w:val="clear" w:color="auto" w:fill="CFF2FA"/>
          </w:tcPr>
          <w:p>
            <w:pPr>
              <w:spacing w:after="0"/>
              <w:rPr>
                <w:sz w:val="21"/>
                <w:szCs w:val="21"/>
                <w:color w:val="auto"/>
              </w:rPr>
            </w:pPr>
          </w:p>
        </w:tc>
        <w:tc>
          <w:tcPr>
            <w:tcW w:w="80" w:type="dxa"/>
            <w:vAlign w:val="bottom"/>
            <w:shd w:val="clear" w:color="auto" w:fill="CFF2FA"/>
          </w:tcPr>
          <w:p>
            <w:pPr>
              <w:spacing w:after="0"/>
              <w:rPr>
                <w:sz w:val="21"/>
                <w:szCs w:val="21"/>
                <w:color w:val="auto"/>
              </w:rPr>
            </w:pPr>
          </w:p>
        </w:tc>
        <w:tc>
          <w:tcPr>
            <w:tcW w:w="260" w:type="dxa"/>
            <w:vAlign w:val="bottom"/>
            <w:shd w:val="clear" w:color="auto" w:fill="CFF2FA"/>
          </w:tcPr>
          <w:p>
            <w:pPr>
              <w:spacing w:after="0"/>
              <w:rPr>
                <w:sz w:val="21"/>
                <w:szCs w:val="21"/>
                <w:color w:val="auto"/>
              </w:rPr>
            </w:pPr>
          </w:p>
        </w:tc>
        <w:tc>
          <w:tcPr>
            <w:tcW w:w="1000" w:type="dxa"/>
            <w:vAlign w:val="bottom"/>
            <w:shd w:val="clear" w:color="auto" w:fill="CFF2FA"/>
          </w:tcPr>
          <w:p>
            <w:pPr>
              <w:jc w:val="right"/>
              <w:spacing w:after="0"/>
              <w:rPr>
                <w:sz w:val="20"/>
                <w:szCs w:val="20"/>
                <w:color w:val="auto"/>
              </w:rPr>
            </w:pPr>
            <w:r>
              <w:rPr>
                <w:rFonts w:ascii="Arial" w:cs="Arial" w:eastAsia="Arial" w:hAnsi="Arial"/>
                <w:sz w:val="20"/>
                <w:szCs w:val="20"/>
                <w:color w:val="auto"/>
              </w:rPr>
              <w:t>2,125</w:t>
            </w:r>
          </w:p>
        </w:tc>
        <w:tc>
          <w:tcPr>
            <w:tcW w:w="100" w:type="dxa"/>
            <w:vAlign w:val="bottom"/>
            <w:shd w:val="clear" w:color="auto" w:fill="CFF2FA"/>
          </w:tcPr>
          <w:p>
            <w:pPr>
              <w:spacing w:after="0"/>
              <w:rPr>
                <w:sz w:val="21"/>
                <w:szCs w:val="21"/>
                <w:color w:val="auto"/>
              </w:rPr>
            </w:pPr>
          </w:p>
        </w:tc>
      </w:tr>
      <w:tr>
        <w:trPr>
          <w:trHeight w:val="234"/>
        </w:trPr>
        <w:tc>
          <w:tcPr>
            <w:tcW w:w="458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Other comprehensive earnings, net of tax</w:t>
            </w:r>
          </w:p>
        </w:tc>
        <w:tc>
          <w:tcPr>
            <w:tcW w:w="880" w:type="dxa"/>
            <w:vAlign w:val="bottom"/>
            <w:tcBorders>
              <w:bottom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1,910</w:t>
            </w:r>
          </w:p>
        </w:tc>
        <w:tc>
          <w:tcPr>
            <w:tcW w:w="120" w:type="dxa"/>
            <w:vAlign w:val="bottom"/>
            <w:tcBorders>
              <w:bottom w:val="single" w:sz="8" w:color="CFF2FA"/>
            </w:tcBorders>
          </w:tcPr>
          <w:p>
            <w:pPr>
              <w:spacing w:after="0"/>
              <w:rPr>
                <w:sz w:val="20"/>
                <w:szCs w:val="20"/>
                <w:color w:val="auto"/>
              </w:rPr>
            </w:pPr>
          </w:p>
        </w:tc>
        <w:tc>
          <w:tcPr>
            <w:tcW w:w="120" w:type="dxa"/>
            <w:vAlign w:val="bottom"/>
            <w:tcBorders>
              <w:bottom w:val="single" w:sz="8" w:color="CFF2FA"/>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137</w:t>
            </w:r>
          </w:p>
        </w:tc>
        <w:tc>
          <w:tcPr>
            <w:tcW w:w="260" w:type="dxa"/>
            <w:vAlign w:val="bottom"/>
            <w:tcBorders>
              <w:bottom w:val="single" w:sz="8" w:color="CFF2FA"/>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215</w:t>
            </w:r>
          </w:p>
        </w:tc>
        <w:tc>
          <w:tcPr>
            <w:tcW w:w="160" w:type="dxa"/>
            <w:vAlign w:val="bottom"/>
            <w:tcBorders>
              <w:bottom w:val="single" w:sz="8" w:color="CFF2FA"/>
            </w:tcBorders>
          </w:tcPr>
          <w:p>
            <w:pPr>
              <w:spacing w:after="0"/>
              <w:rPr>
                <w:sz w:val="20"/>
                <w:szCs w:val="20"/>
                <w:color w:val="auto"/>
              </w:rPr>
            </w:pPr>
          </w:p>
        </w:tc>
        <w:tc>
          <w:tcPr>
            <w:tcW w:w="80" w:type="dxa"/>
            <w:vAlign w:val="bottom"/>
            <w:tcBorders>
              <w:bottom w:val="single" w:sz="8" w:color="CFF2FA"/>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2,262</w:t>
            </w:r>
          </w:p>
        </w:tc>
        <w:tc>
          <w:tcPr>
            <w:tcW w:w="100" w:type="dxa"/>
            <w:vAlign w:val="bottom"/>
            <w:tcBorders>
              <w:bottom w:val="single" w:sz="8" w:color="CFF2FA"/>
            </w:tcBorders>
          </w:tcPr>
          <w:p>
            <w:pPr>
              <w:spacing w:after="0"/>
              <w:rPr>
                <w:sz w:val="20"/>
                <w:szCs w:val="20"/>
                <w:color w:val="auto"/>
              </w:rPr>
            </w:pPr>
          </w:p>
        </w:tc>
      </w:tr>
      <w:tr>
        <w:trPr>
          <w:trHeight w:val="234"/>
        </w:trPr>
        <w:tc>
          <w:tcPr>
            <w:tcW w:w="4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at end of period</w:t>
            </w:r>
          </w:p>
        </w:tc>
        <w:tc>
          <w:tcPr>
            <w:tcW w:w="8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w w:val="71"/>
              </w:rPr>
              <w:t>$</w:t>
            </w:r>
          </w:p>
        </w:tc>
        <w:tc>
          <w:tcPr>
            <w:tcW w:w="11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(126,463)</w:t>
            </w:r>
          </w:p>
        </w:tc>
        <w:tc>
          <w:tcPr>
            <w:tcW w:w="120" w:type="dxa"/>
            <w:vAlign w:val="bottom"/>
            <w:tcBorders>
              <w:bottom w:val="single" w:sz="8" w:color="CFF2FA"/>
            </w:tcBorders>
            <w:shd w:val="clear" w:color="auto" w:fill="CFF2FA"/>
          </w:tcPr>
          <w:p>
            <w:pPr>
              <w:spacing w:after="0"/>
              <w:rPr>
                <w:sz w:val="20"/>
                <w:szCs w:val="20"/>
                <w:color w:val="auto"/>
              </w:rPr>
            </w:pPr>
          </w:p>
        </w:tc>
        <w:tc>
          <w:tcPr>
            <w:tcW w:w="120" w:type="dxa"/>
            <w:vAlign w:val="bottom"/>
            <w:tcBorders>
              <w:bottom w:val="single" w:sz="8" w:color="CFF2FA"/>
            </w:tcBorders>
            <w:shd w:val="clear" w:color="auto" w:fill="CFF2FA"/>
          </w:tcPr>
          <w:p>
            <w:pPr>
              <w:spacing w:after="0"/>
              <w:rPr>
                <w:sz w:val="20"/>
                <w:szCs w:val="20"/>
                <w:color w:val="auto"/>
              </w:rPr>
            </w:pPr>
          </w:p>
        </w:tc>
        <w:tc>
          <w:tcPr>
            <w:tcW w:w="18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w w:val="71"/>
              </w:rPr>
              <w:t>$</w:t>
            </w:r>
          </w:p>
        </w:tc>
        <w:tc>
          <w:tcPr>
            <w:tcW w:w="11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(1,025)</w:t>
            </w:r>
          </w:p>
        </w:tc>
        <w:tc>
          <w:tcPr>
            <w:tcW w:w="260" w:type="dxa"/>
            <w:vAlign w:val="bottom"/>
            <w:tcBorders>
              <w:bottom w:val="single" w:sz="8" w:color="CFF2FA"/>
            </w:tcBorders>
            <w:shd w:val="clear" w:color="auto" w:fill="CFF2FA"/>
          </w:tcPr>
          <w:p>
            <w:pPr>
              <w:spacing w:after="0"/>
              <w:rPr>
                <w:sz w:val="20"/>
                <w:szCs w:val="20"/>
                <w:color w:val="auto"/>
              </w:rPr>
            </w:pPr>
          </w:p>
        </w:tc>
        <w:tc>
          <w:tcPr>
            <w:tcW w:w="120" w:type="dxa"/>
            <w:vAlign w:val="bottom"/>
            <w:tcBorders>
              <w:bottom w:val="single" w:sz="8" w:color="auto"/>
            </w:tcBorders>
            <w:shd w:val="clear" w:color="auto" w:fill="CFF2FA"/>
          </w:tcPr>
          <w:p>
            <w:pPr>
              <w:spacing w:after="0"/>
              <w:rPr>
                <w:sz w:val="20"/>
                <w:szCs w:val="20"/>
                <w:color w:val="auto"/>
              </w:rPr>
            </w:pPr>
            <w:r>
              <w:rPr>
                <w:rFonts w:ascii="Arial" w:cs="Arial" w:eastAsia="Arial" w:hAnsi="Arial"/>
                <w:sz w:val="20"/>
                <w:szCs w:val="20"/>
                <w:color w:val="auto"/>
                <w:w w:val="89"/>
              </w:rPr>
              <w:t>$</w:t>
            </w:r>
          </w:p>
        </w:tc>
        <w:tc>
          <w:tcPr>
            <w:tcW w:w="12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(937)</w:t>
            </w:r>
          </w:p>
        </w:tc>
        <w:tc>
          <w:tcPr>
            <w:tcW w:w="160" w:type="dxa"/>
            <w:vAlign w:val="bottom"/>
            <w:tcBorders>
              <w:bottom w:val="single" w:sz="8" w:color="CFF2FA"/>
            </w:tcBorders>
            <w:shd w:val="clear" w:color="auto" w:fill="CFF2FA"/>
          </w:tcPr>
          <w:p>
            <w:pPr>
              <w:spacing w:after="0"/>
              <w:rPr>
                <w:sz w:val="20"/>
                <w:szCs w:val="20"/>
                <w:color w:val="auto"/>
              </w:rPr>
            </w:pPr>
          </w:p>
        </w:tc>
        <w:tc>
          <w:tcPr>
            <w:tcW w:w="80" w:type="dxa"/>
            <w:vAlign w:val="bottom"/>
            <w:tcBorders>
              <w:bottom w:val="single" w:sz="8" w:color="CFF2FA"/>
            </w:tcBorders>
            <w:shd w:val="clear" w:color="auto" w:fill="CFF2FA"/>
          </w:tcPr>
          <w:p>
            <w:pPr>
              <w:spacing w:after="0"/>
              <w:rPr>
                <w:sz w:val="20"/>
                <w:szCs w:val="20"/>
                <w:color w:val="auto"/>
              </w:rPr>
            </w:pPr>
          </w:p>
        </w:tc>
        <w:tc>
          <w:tcPr>
            <w:tcW w:w="260" w:type="dxa"/>
            <w:vAlign w:val="bottom"/>
            <w:tcBorders>
              <w:bottom w:val="single" w:sz="8" w:color="auto"/>
            </w:tcBorders>
            <w:shd w:val="clear" w:color="auto" w:fill="CFF2FA"/>
          </w:tcPr>
          <w:p>
            <w:pPr>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(128,425)</w:t>
            </w:r>
          </w:p>
        </w:tc>
        <w:tc>
          <w:tcPr>
            <w:tcW w:w="100" w:type="dxa"/>
            <w:vAlign w:val="bottom"/>
            <w:tcBorders>
              <w:bottom w:val="single" w:sz="8" w:color="CFF2FA"/>
            </w:tcBorders>
            <w:shd w:val="clear" w:color="auto" w:fill="CFF2FA"/>
          </w:tcPr>
          <w:p>
            <w:pPr>
              <w:spacing w:after="0"/>
              <w:rPr>
                <w:sz w:val="20"/>
                <w:szCs w:val="20"/>
                <w:color w:val="auto"/>
              </w:rPr>
            </w:pPr>
          </w:p>
        </w:tc>
      </w:tr>
      <w:tr>
        <w:trPr>
          <w:trHeight w:val="20"/>
        </w:trPr>
        <w:tc>
          <w:tcPr>
            <w:tcW w:w="4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10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2018</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69" w:lineRule="exact"/>
        <w:rPr>
          <w:sz w:val="20"/>
          <w:szCs w:val="20"/>
          <w:color w:val="auto"/>
        </w:rPr>
      </w:pPr>
    </w:p>
    <w:p>
      <w:pPr>
        <w:ind w:left="380" w:hanging="373"/>
        <w:spacing w:after="0"/>
        <w:tabs>
          <w:tab w:leader="none" w:pos="38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Significant Accounting Policies (continued)</w:t>
      </w:r>
    </w:p>
    <w:p>
      <w:pPr>
        <w:spacing w:after="0" w:line="104" w:lineRule="exact"/>
        <w:rPr>
          <w:rFonts w:ascii="Arial" w:cs="Arial" w:eastAsia="Arial" w:hAnsi="Arial"/>
          <w:sz w:val="20"/>
          <w:szCs w:val="20"/>
          <w:b w:val="1"/>
          <w:bCs w:val="1"/>
          <w:color w:val="auto"/>
        </w:rPr>
      </w:pPr>
    </w:p>
    <w:p>
      <w:pPr>
        <w:ind w:left="380" w:right="2260"/>
        <w:spacing w:after="0" w:line="483" w:lineRule="auto"/>
        <w:rPr>
          <w:rFonts w:ascii="Arial" w:cs="Arial" w:eastAsia="Arial" w:hAnsi="Arial"/>
          <w:sz w:val="20"/>
          <w:szCs w:val="20"/>
          <w:b w:val="1"/>
          <w:bCs w:val="1"/>
          <w:color w:val="auto"/>
        </w:rPr>
      </w:pPr>
      <w:r>
        <w:rPr>
          <w:rFonts w:ascii="Arial" w:cs="Arial" w:eastAsia="Arial" w:hAnsi="Arial"/>
          <w:sz w:val="17"/>
          <w:szCs w:val="17"/>
          <w:b w:val="1"/>
          <w:bCs w:val="1"/>
          <w:color w:val="auto"/>
        </w:rPr>
        <w:t xml:space="preserve">Consolidated Comprehensive Earnings/Loss and Accumulated Other Comprehensive Loss (continued) </w:t>
      </w:r>
      <w:r>
        <w:rPr>
          <w:rFonts w:ascii="Arial" w:cs="Arial" w:eastAsia="Arial" w:hAnsi="Arial"/>
          <w:sz w:val="17"/>
          <w:szCs w:val="17"/>
          <w:color w:val="auto"/>
        </w:rPr>
        <w:t>Changes in net noncurrent deferred tax assets recorded in accumulated other comprehensive loss are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0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20"/>
                <w:szCs w:val="20"/>
                <w:i w:val="1"/>
                <w:iCs w:val="1"/>
                <w:color w:val="auto"/>
                <w:w w:val="91"/>
              </w:rPr>
              <w:t>(Dollars in Thousands)</w:t>
            </w:r>
          </w:p>
        </w:tc>
        <w:tc>
          <w:tcPr>
            <w:tcW w:w="1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17"/>
        </w:trPr>
        <w:tc>
          <w:tcPr>
            <w:tcW w:w="6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jc w:val="center"/>
              <w:ind w:right="460"/>
              <w:spacing w:after="0" w:line="217" w:lineRule="exact"/>
              <w:rPr>
                <w:sz w:val="20"/>
                <w:szCs w:val="20"/>
                <w:color w:val="auto"/>
              </w:rPr>
            </w:pPr>
            <w:r>
              <w:rPr>
                <w:rFonts w:ascii="Arial" w:cs="Arial" w:eastAsia="Arial" w:hAnsi="Arial"/>
                <w:sz w:val="20"/>
                <w:szCs w:val="20"/>
                <w:color w:val="auto"/>
                <w:w w:val="89"/>
              </w:rPr>
              <w:t>Unamortized</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6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gridSpan w:val="2"/>
          </w:tcPr>
          <w:p>
            <w:pPr>
              <w:jc w:val="center"/>
              <w:ind w:right="460"/>
              <w:spacing w:after="0" w:line="228" w:lineRule="exact"/>
              <w:rPr>
                <w:sz w:val="20"/>
                <w:szCs w:val="20"/>
                <w:color w:val="auto"/>
              </w:rPr>
            </w:pPr>
            <w:r>
              <w:rPr>
                <w:rFonts w:ascii="Arial" w:cs="Arial" w:eastAsia="Arial" w:hAnsi="Arial"/>
                <w:sz w:val="20"/>
                <w:szCs w:val="20"/>
                <w:color w:val="auto"/>
                <w:w w:val="89"/>
              </w:rPr>
              <w:t>Value of</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6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gridSpan w:val="2"/>
          </w:tcPr>
          <w:p>
            <w:pPr>
              <w:jc w:val="center"/>
              <w:ind w:right="440"/>
              <w:spacing w:after="0" w:line="228" w:lineRule="exact"/>
              <w:rPr>
                <w:sz w:val="20"/>
                <w:szCs w:val="20"/>
                <w:color w:val="auto"/>
              </w:rPr>
            </w:pPr>
            <w:r>
              <w:rPr>
                <w:rFonts w:ascii="Arial" w:cs="Arial" w:eastAsia="Arial" w:hAnsi="Arial"/>
                <w:sz w:val="20"/>
                <w:szCs w:val="20"/>
                <w:color w:val="auto"/>
                <w:w w:val="86"/>
              </w:rPr>
              <w:t>Terminated</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6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center"/>
              <w:ind w:right="300"/>
              <w:spacing w:after="0" w:line="228" w:lineRule="exact"/>
              <w:rPr>
                <w:sz w:val="20"/>
                <w:szCs w:val="20"/>
                <w:color w:val="auto"/>
              </w:rPr>
            </w:pPr>
            <w:r>
              <w:rPr>
                <w:rFonts w:ascii="Arial" w:cs="Arial" w:eastAsia="Arial" w:hAnsi="Arial"/>
                <w:sz w:val="20"/>
                <w:szCs w:val="20"/>
                <w:color w:val="auto"/>
                <w:w w:val="86"/>
              </w:rPr>
              <w:t>Pension and</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gridSpan w:val="2"/>
          </w:tcPr>
          <w:p>
            <w:pPr>
              <w:jc w:val="center"/>
              <w:ind w:right="440"/>
              <w:spacing w:after="0" w:line="228" w:lineRule="exact"/>
              <w:rPr>
                <w:sz w:val="20"/>
                <w:szCs w:val="20"/>
                <w:color w:val="auto"/>
              </w:rPr>
            </w:pPr>
            <w:r>
              <w:rPr>
                <w:rFonts w:ascii="Arial" w:cs="Arial" w:eastAsia="Arial" w:hAnsi="Arial"/>
                <w:sz w:val="20"/>
                <w:szCs w:val="20"/>
                <w:color w:val="auto"/>
                <w:w w:val="89"/>
              </w:rPr>
              <w:t>Forward Starting</w:t>
            </w:r>
          </w:p>
        </w:tc>
        <w:tc>
          <w:tcPr>
            <w:tcW w:w="100" w:type="dxa"/>
            <w:vAlign w:val="bottom"/>
          </w:tcPr>
          <w:p>
            <w:pPr>
              <w:spacing w:after="0"/>
              <w:rPr>
                <w:sz w:val="19"/>
                <w:szCs w:val="19"/>
                <w:color w:val="auto"/>
              </w:rPr>
            </w:pPr>
          </w:p>
        </w:tc>
        <w:tc>
          <w:tcPr>
            <w:tcW w:w="1440" w:type="dxa"/>
            <w:vAlign w:val="bottom"/>
            <w:gridSpan w:val="2"/>
          </w:tcPr>
          <w:p>
            <w:pPr>
              <w:jc w:val="center"/>
              <w:ind w:right="220"/>
              <w:spacing w:after="0" w:line="228" w:lineRule="exact"/>
              <w:rPr>
                <w:sz w:val="20"/>
                <w:szCs w:val="20"/>
                <w:color w:val="auto"/>
              </w:rPr>
            </w:pPr>
            <w:r>
              <w:rPr>
                <w:rFonts w:ascii="Arial" w:cs="Arial" w:eastAsia="Arial" w:hAnsi="Arial"/>
                <w:sz w:val="20"/>
                <w:szCs w:val="20"/>
                <w:color w:val="auto"/>
                <w:w w:val="89"/>
              </w:rPr>
              <w:t>Net Noncurrent</w:t>
            </w:r>
          </w:p>
        </w:tc>
      </w:tr>
      <w:tr>
        <w:trPr>
          <w:trHeight w:val="227"/>
        </w:trPr>
        <w:tc>
          <w:tcPr>
            <w:tcW w:w="6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center"/>
              <w:ind w:right="280"/>
              <w:spacing w:after="0" w:line="228" w:lineRule="exact"/>
              <w:rPr>
                <w:sz w:val="20"/>
                <w:szCs w:val="20"/>
                <w:color w:val="auto"/>
              </w:rPr>
            </w:pPr>
            <w:r>
              <w:rPr>
                <w:rFonts w:ascii="Arial" w:cs="Arial" w:eastAsia="Arial" w:hAnsi="Arial"/>
                <w:sz w:val="20"/>
                <w:szCs w:val="20"/>
                <w:color w:val="auto"/>
                <w:w w:val="87"/>
              </w:rPr>
              <w:t>Postretirement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gridSpan w:val="2"/>
          </w:tcPr>
          <w:p>
            <w:pPr>
              <w:jc w:val="center"/>
              <w:ind w:right="440"/>
              <w:spacing w:after="0" w:line="228" w:lineRule="exact"/>
              <w:rPr>
                <w:sz w:val="20"/>
                <w:szCs w:val="20"/>
                <w:color w:val="auto"/>
              </w:rPr>
            </w:pPr>
            <w:r>
              <w:rPr>
                <w:rFonts w:ascii="Arial" w:cs="Arial" w:eastAsia="Arial" w:hAnsi="Arial"/>
                <w:sz w:val="20"/>
                <w:szCs w:val="20"/>
                <w:color w:val="auto"/>
                <w:w w:val="87"/>
              </w:rPr>
              <w:t>Interest Rate</w:t>
            </w:r>
          </w:p>
        </w:tc>
        <w:tc>
          <w:tcPr>
            <w:tcW w:w="100" w:type="dxa"/>
            <w:vAlign w:val="bottom"/>
          </w:tcPr>
          <w:p>
            <w:pPr>
              <w:spacing w:after="0"/>
              <w:rPr>
                <w:sz w:val="19"/>
                <w:szCs w:val="19"/>
                <w:color w:val="auto"/>
              </w:rPr>
            </w:pPr>
          </w:p>
        </w:tc>
        <w:tc>
          <w:tcPr>
            <w:tcW w:w="1440" w:type="dxa"/>
            <w:vAlign w:val="bottom"/>
            <w:gridSpan w:val="2"/>
          </w:tcPr>
          <w:p>
            <w:pPr>
              <w:jc w:val="center"/>
              <w:ind w:right="220"/>
              <w:spacing w:after="0" w:line="228" w:lineRule="exact"/>
              <w:rPr>
                <w:sz w:val="20"/>
                <w:szCs w:val="20"/>
                <w:color w:val="auto"/>
              </w:rPr>
            </w:pPr>
            <w:r>
              <w:rPr>
                <w:rFonts w:ascii="Arial" w:cs="Arial" w:eastAsia="Arial" w:hAnsi="Arial"/>
                <w:sz w:val="20"/>
                <w:szCs w:val="20"/>
                <w:color w:val="auto"/>
                <w:w w:val="87"/>
              </w:rPr>
              <w:t>Deferred Tax</w:t>
            </w:r>
          </w:p>
        </w:tc>
      </w:tr>
      <w:tr>
        <w:trPr>
          <w:trHeight w:val="244"/>
        </w:trPr>
        <w:tc>
          <w:tcPr>
            <w:tcW w:w="60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42"/>
              <w:spacing w:after="0"/>
              <w:rPr>
                <w:sz w:val="20"/>
                <w:szCs w:val="20"/>
                <w:color w:val="auto"/>
              </w:rPr>
            </w:pPr>
            <w:r>
              <w:rPr>
                <w:rFonts w:ascii="Arial" w:cs="Arial" w:eastAsia="Arial" w:hAnsi="Arial"/>
                <w:sz w:val="20"/>
                <w:szCs w:val="20"/>
                <w:color w:val="auto"/>
                <w:w w:val="88"/>
              </w:rPr>
              <w:t>Benefit Plans</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center"/>
              <w:ind w:right="102"/>
              <w:spacing w:after="0"/>
              <w:rPr>
                <w:sz w:val="20"/>
                <w:szCs w:val="20"/>
                <w:color w:val="auto"/>
              </w:rPr>
            </w:pPr>
            <w:r>
              <w:rPr>
                <w:rFonts w:ascii="Arial" w:cs="Arial" w:eastAsia="Arial" w:hAnsi="Arial"/>
                <w:sz w:val="20"/>
                <w:szCs w:val="20"/>
                <w:color w:val="auto"/>
                <w:w w:val="87"/>
              </w:rPr>
              <w:t>Swap</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22"/>
              <w:spacing w:after="0"/>
              <w:rPr>
                <w:sz w:val="20"/>
                <w:szCs w:val="20"/>
                <w:color w:val="auto"/>
              </w:rPr>
            </w:pPr>
            <w:r>
              <w:rPr>
                <w:rFonts w:ascii="Arial" w:cs="Arial" w:eastAsia="Arial" w:hAnsi="Arial"/>
                <w:sz w:val="20"/>
                <w:szCs w:val="20"/>
                <w:color w:val="auto"/>
                <w:w w:val="83"/>
              </w:rPr>
              <w:t>Assets</w:t>
            </w:r>
          </w:p>
        </w:tc>
        <w:tc>
          <w:tcPr>
            <w:tcW w:w="100" w:type="dxa"/>
            <w:vAlign w:val="bottom"/>
          </w:tcPr>
          <w:p>
            <w:pPr>
              <w:spacing w:after="0"/>
              <w:rPr>
                <w:sz w:val="21"/>
                <w:szCs w:val="21"/>
                <w:color w:val="auto"/>
              </w:rPr>
            </w:pPr>
          </w:p>
        </w:tc>
      </w:tr>
      <w:tr>
        <w:trPr>
          <w:trHeight w:val="475"/>
        </w:trPr>
        <w:tc>
          <w:tcPr>
            <w:tcW w:w="6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gridSpan w:val="9"/>
          </w:tcPr>
          <w:p>
            <w:pPr>
              <w:jc w:val="center"/>
              <w:ind w:right="240"/>
              <w:spacing w:after="0"/>
              <w:rPr>
                <w:sz w:val="20"/>
                <w:szCs w:val="20"/>
                <w:color w:val="auto"/>
              </w:rPr>
            </w:pPr>
            <w:r>
              <w:rPr>
                <w:rFonts w:ascii="Arial" w:cs="Arial" w:eastAsia="Arial" w:hAnsi="Arial"/>
                <w:sz w:val="20"/>
                <w:szCs w:val="20"/>
                <w:color w:val="auto"/>
                <w:w w:val="89"/>
              </w:rPr>
              <w:t>Three-Months Ended March 31, 2018</w:t>
            </w:r>
          </w:p>
        </w:tc>
      </w:tr>
      <w:tr>
        <w:trPr>
          <w:trHeight w:val="234"/>
        </w:trPr>
        <w:tc>
          <w:tcPr>
            <w:tcW w:w="6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at beginning of period</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79,938</w:t>
            </w:r>
          </w:p>
        </w:tc>
        <w:tc>
          <w:tcPr>
            <w:tcW w:w="16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auto"/>
            </w:tcBorders>
            <w:gridSpan w:val="2"/>
            <w:shd w:val="clear" w:color="auto" w:fill="CFF0FC"/>
          </w:tcPr>
          <w:p>
            <w:pPr>
              <w:jc w:val="right"/>
              <w:ind w:right="2"/>
              <w:spacing w:after="0"/>
              <w:rPr>
                <w:sz w:val="20"/>
                <w:szCs w:val="20"/>
                <w:color w:val="auto"/>
              </w:rPr>
            </w:pPr>
            <w:r>
              <w:rPr>
                <w:rFonts w:ascii="Arial" w:cs="Arial" w:eastAsia="Arial" w:hAnsi="Arial"/>
                <w:sz w:val="20"/>
                <w:szCs w:val="20"/>
                <w:color w:val="auto"/>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178</w:t>
            </w:r>
          </w:p>
        </w:tc>
        <w:tc>
          <w:tcPr>
            <w:tcW w:w="24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80,116</w:t>
            </w:r>
          </w:p>
        </w:tc>
        <w:tc>
          <w:tcPr>
            <w:tcW w:w="100" w:type="dxa"/>
            <w:vAlign w:val="bottom"/>
            <w:tcBorders>
              <w:top w:val="single" w:sz="8" w:color="CFF0FC"/>
            </w:tcBorders>
            <w:shd w:val="clear" w:color="auto" w:fill="CFF0FC"/>
          </w:tcPr>
          <w:p>
            <w:pPr>
              <w:spacing w:after="0"/>
              <w:rPr>
                <w:sz w:val="20"/>
                <w:szCs w:val="20"/>
                <w:color w:val="auto"/>
              </w:rPr>
            </w:pPr>
          </w:p>
        </w:tc>
      </w:tr>
      <w:tr>
        <w:trPr>
          <w:trHeight w:val="241"/>
        </w:trPr>
        <w:tc>
          <w:tcPr>
            <w:tcW w:w="6020" w:type="dxa"/>
            <w:vAlign w:val="bottom"/>
          </w:tcPr>
          <w:p>
            <w:pPr>
              <w:spacing w:after="0"/>
              <w:rPr>
                <w:sz w:val="20"/>
                <w:szCs w:val="20"/>
                <w:color w:val="auto"/>
              </w:rPr>
            </w:pPr>
            <w:r>
              <w:rPr>
                <w:rFonts w:ascii="Arial" w:cs="Arial" w:eastAsia="Arial" w:hAnsi="Arial"/>
                <w:sz w:val="20"/>
                <w:szCs w:val="20"/>
                <w:color w:val="auto"/>
              </w:rPr>
              <w:t>Tax effect of other comprehensive earnings</w:t>
            </w:r>
          </w:p>
        </w:tc>
        <w:tc>
          <w:tcPr>
            <w:tcW w:w="120" w:type="dxa"/>
            <w:vAlign w:val="bottom"/>
          </w:tcPr>
          <w:p>
            <w:pPr>
              <w:spacing w:after="0"/>
              <w:rPr>
                <w:sz w:val="20"/>
                <w:szCs w:val="20"/>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20"/>
                <w:szCs w:val="20"/>
                <w:color w:val="auto"/>
              </w:rPr>
              <w:t>(658)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2"/>
          </w:tcPr>
          <w:p>
            <w:pPr>
              <w:jc w:val="right"/>
              <w:ind w:right="180"/>
              <w:spacing w:after="0"/>
              <w:rPr>
                <w:sz w:val="20"/>
                <w:szCs w:val="20"/>
                <w:color w:val="auto"/>
              </w:rPr>
            </w:pPr>
            <w:r>
              <w:rPr>
                <w:rFonts w:ascii="Arial" w:cs="Arial" w:eastAsia="Arial" w:hAnsi="Arial"/>
                <w:sz w:val="20"/>
                <w:szCs w:val="20"/>
                <w:color w:val="auto"/>
              </w:rPr>
              <w:t>(137)</w:t>
            </w:r>
          </w:p>
        </w:tc>
        <w:tc>
          <w:tcPr>
            <w:tcW w:w="10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20"/>
                <w:szCs w:val="20"/>
                <w:color w:val="auto"/>
              </w:rPr>
              <w:t>(795)</w:t>
            </w:r>
          </w:p>
        </w:tc>
      </w:tr>
      <w:tr>
        <w:trPr>
          <w:trHeight w:val="234"/>
        </w:trPr>
        <w:tc>
          <w:tcPr>
            <w:tcW w:w="60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at end of period</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79,280</w:t>
            </w:r>
          </w:p>
        </w:tc>
        <w:tc>
          <w:tcPr>
            <w:tcW w:w="160" w:type="dxa"/>
            <w:vAlign w:val="bottom"/>
            <w:tcBorders>
              <w:top w:val="single" w:sz="8" w:color="CFF0FC"/>
              <w:bottom w:val="single" w:sz="8" w:color="CFF0FC"/>
            </w:tcBorders>
            <w:shd w:val="clear" w:color="auto" w:fill="CFF0FC"/>
          </w:tcPr>
          <w:p>
            <w:pPr>
              <w:spacing w:after="0"/>
              <w:rPr>
                <w:sz w:val="20"/>
                <w:szCs w:val="20"/>
                <w:color w:val="auto"/>
              </w:rPr>
            </w:pP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2"/>
              <w:spacing w:after="0"/>
              <w:rPr>
                <w:sz w:val="20"/>
                <w:szCs w:val="20"/>
                <w:color w:val="auto"/>
              </w:rPr>
            </w:pPr>
            <w:r>
              <w:rPr>
                <w:rFonts w:ascii="Arial" w:cs="Arial" w:eastAsia="Arial" w:hAnsi="Arial"/>
                <w:sz w:val="20"/>
                <w:szCs w:val="20"/>
                <w:color w:val="auto"/>
                <w:w w:val="71"/>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41</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79,321</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6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9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2"/>
        </w:trPr>
        <w:tc>
          <w:tcPr>
            <w:tcW w:w="6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gridSpan w:val="9"/>
          </w:tcPr>
          <w:p>
            <w:pPr>
              <w:jc w:val="center"/>
              <w:ind w:right="240"/>
              <w:spacing w:after="0"/>
              <w:rPr>
                <w:sz w:val="20"/>
                <w:szCs w:val="20"/>
                <w:color w:val="auto"/>
              </w:rPr>
            </w:pPr>
            <w:r>
              <w:rPr>
                <w:rFonts w:ascii="Arial" w:cs="Arial" w:eastAsia="Arial" w:hAnsi="Arial"/>
                <w:sz w:val="20"/>
                <w:szCs w:val="20"/>
                <w:color w:val="auto"/>
                <w:w w:val="89"/>
              </w:rPr>
              <w:t>Three-Months Ended March 31, 2017</w:t>
            </w:r>
          </w:p>
        </w:tc>
      </w:tr>
      <w:tr>
        <w:trPr>
          <w:trHeight w:val="234"/>
        </w:trPr>
        <w:tc>
          <w:tcPr>
            <w:tcW w:w="6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at beginning of period</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82,044</w:t>
            </w:r>
          </w:p>
        </w:tc>
        <w:tc>
          <w:tcPr>
            <w:tcW w:w="16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auto"/>
            </w:tcBorders>
            <w:gridSpan w:val="2"/>
            <w:shd w:val="clear" w:color="auto" w:fill="CFF0FC"/>
          </w:tcPr>
          <w:p>
            <w:pPr>
              <w:jc w:val="right"/>
              <w:ind w:right="2"/>
              <w:spacing w:after="0"/>
              <w:rPr>
                <w:sz w:val="20"/>
                <w:szCs w:val="20"/>
                <w:color w:val="auto"/>
              </w:rPr>
            </w:pPr>
            <w:r>
              <w:rPr>
                <w:rFonts w:ascii="Arial" w:cs="Arial" w:eastAsia="Arial" w:hAnsi="Arial"/>
                <w:sz w:val="20"/>
                <w:szCs w:val="20"/>
                <w:color w:val="auto"/>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749</w:t>
            </w:r>
          </w:p>
        </w:tc>
        <w:tc>
          <w:tcPr>
            <w:tcW w:w="24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82,793</w:t>
            </w:r>
          </w:p>
        </w:tc>
        <w:tc>
          <w:tcPr>
            <w:tcW w:w="100" w:type="dxa"/>
            <w:vAlign w:val="bottom"/>
            <w:tcBorders>
              <w:top w:val="single" w:sz="8" w:color="CFF0FC"/>
            </w:tcBorders>
            <w:shd w:val="clear" w:color="auto" w:fill="CFF0FC"/>
          </w:tcPr>
          <w:p>
            <w:pPr>
              <w:spacing w:after="0"/>
              <w:rPr>
                <w:sz w:val="20"/>
                <w:szCs w:val="20"/>
                <w:color w:val="auto"/>
              </w:rPr>
            </w:pPr>
          </w:p>
        </w:tc>
      </w:tr>
      <w:tr>
        <w:trPr>
          <w:trHeight w:val="241"/>
        </w:trPr>
        <w:tc>
          <w:tcPr>
            <w:tcW w:w="6020" w:type="dxa"/>
            <w:vAlign w:val="bottom"/>
          </w:tcPr>
          <w:p>
            <w:pPr>
              <w:spacing w:after="0"/>
              <w:rPr>
                <w:sz w:val="20"/>
                <w:szCs w:val="20"/>
                <w:color w:val="auto"/>
              </w:rPr>
            </w:pPr>
            <w:r>
              <w:rPr>
                <w:rFonts w:ascii="Arial" w:cs="Arial" w:eastAsia="Arial" w:hAnsi="Arial"/>
                <w:sz w:val="20"/>
                <w:szCs w:val="20"/>
                <w:color w:val="auto"/>
              </w:rPr>
              <w:t>Tax effect of other comprehensive earnings</w:t>
            </w:r>
          </w:p>
        </w:tc>
        <w:tc>
          <w:tcPr>
            <w:tcW w:w="120" w:type="dxa"/>
            <w:vAlign w:val="bottom"/>
          </w:tcPr>
          <w:p>
            <w:pPr>
              <w:spacing w:after="0"/>
              <w:rPr>
                <w:sz w:val="20"/>
                <w:szCs w:val="20"/>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20"/>
                <w:szCs w:val="20"/>
                <w:color w:val="auto"/>
              </w:rPr>
              <w:t>(1,185)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2"/>
          </w:tcPr>
          <w:p>
            <w:pPr>
              <w:jc w:val="right"/>
              <w:ind w:right="180"/>
              <w:spacing w:after="0"/>
              <w:rPr>
                <w:sz w:val="20"/>
                <w:szCs w:val="20"/>
                <w:color w:val="auto"/>
              </w:rPr>
            </w:pPr>
            <w:r>
              <w:rPr>
                <w:rFonts w:ascii="Arial" w:cs="Arial" w:eastAsia="Arial" w:hAnsi="Arial"/>
                <w:sz w:val="20"/>
                <w:szCs w:val="20"/>
                <w:color w:val="auto"/>
              </w:rPr>
              <w:t>(141)</w:t>
            </w:r>
          </w:p>
        </w:tc>
        <w:tc>
          <w:tcPr>
            <w:tcW w:w="10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20"/>
                <w:szCs w:val="20"/>
                <w:color w:val="auto"/>
              </w:rPr>
              <w:t>(1,326)</w:t>
            </w:r>
          </w:p>
        </w:tc>
      </w:tr>
      <w:tr>
        <w:trPr>
          <w:trHeight w:val="234"/>
        </w:trPr>
        <w:tc>
          <w:tcPr>
            <w:tcW w:w="60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at end of period</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80,859</w:t>
            </w:r>
          </w:p>
        </w:tc>
        <w:tc>
          <w:tcPr>
            <w:tcW w:w="160" w:type="dxa"/>
            <w:vAlign w:val="bottom"/>
            <w:tcBorders>
              <w:top w:val="single" w:sz="8" w:color="CFF0FC"/>
              <w:bottom w:val="single" w:sz="8" w:color="CFF0FC"/>
            </w:tcBorders>
            <w:shd w:val="clear" w:color="auto" w:fill="CFF0FC"/>
          </w:tcPr>
          <w:p>
            <w:pPr>
              <w:spacing w:after="0"/>
              <w:rPr>
                <w:sz w:val="20"/>
                <w:szCs w:val="20"/>
                <w:color w:val="auto"/>
              </w:rPr>
            </w:pP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2"/>
              <w:spacing w:after="0"/>
              <w:rPr>
                <w:sz w:val="20"/>
                <w:szCs w:val="20"/>
                <w:color w:val="auto"/>
              </w:rPr>
            </w:pPr>
            <w:r>
              <w:rPr>
                <w:rFonts w:ascii="Arial" w:cs="Arial" w:eastAsia="Arial" w:hAnsi="Arial"/>
                <w:sz w:val="20"/>
                <w:szCs w:val="20"/>
                <w:color w:val="auto"/>
                <w:w w:val="71"/>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608</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81,467</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6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11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2018</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69" w:lineRule="exact"/>
        <w:rPr>
          <w:sz w:val="20"/>
          <w:szCs w:val="20"/>
          <w:color w:val="auto"/>
        </w:rPr>
      </w:pPr>
    </w:p>
    <w:p>
      <w:pPr>
        <w:ind w:left="380" w:hanging="373"/>
        <w:spacing w:after="0"/>
        <w:tabs>
          <w:tab w:leader="none" w:pos="38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Significant Accounting Policies (continued)</w:t>
      </w:r>
    </w:p>
    <w:p>
      <w:pPr>
        <w:spacing w:after="0" w:line="104" w:lineRule="exact"/>
        <w:rPr>
          <w:rFonts w:ascii="Arial" w:cs="Arial" w:eastAsia="Arial" w:hAnsi="Arial"/>
          <w:sz w:val="20"/>
          <w:szCs w:val="20"/>
          <w:b w:val="1"/>
          <w:bCs w:val="1"/>
          <w:color w:val="auto"/>
        </w:rPr>
      </w:pPr>
    </w:p>
    <w:p>
      <w:pPr>
        <w:ind w:left="380" w:right="2460"/>
        <w:spacing w:after="0" w:line="374" w:lineRule="auto"/>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Consolidated Comprehensive Earnings/Loss and Accumulated Other Comprehensive Loss (continued) </w:t>
      </w:r>
      <w:r>
        <w:rPr>
          <w:rFonts w:ascii="Arial" w:cs="Arial" w:eastAsia="Arial" w:hAnsi="Arial"/>
          <w:sz w:val="20"/>
          <w:szCs w:val="20"/>
          <w:color w:val="auto"/>
        </w:rPr>
        <w:t>Reclassifications out of accumulated other comprehensive loss are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20" w:type="dxa"/>
            <w:vAlign w:val="bottom"/>
            <w:gridSpan w:val="5"/>
          </w:tcPr>
          <w:p>
            <w:pPr>
              <w:jc w:val="center"/>
              <w:ind w:left="445"/>
              <w:spacing w:after="0"/>
              <w:rPr>
                <w:sz w:val="20"/>
                <w:szCs w:val="20"/>
                <w:color w:val="auto"/>
              </w:rPr>
            </w:pPr>
            <w:r>
              <w:rPr>
                <w:rFonts w:ascii="Arial" w:cs="Arial" w:eastAsia="Arial" w:hAnsi="Arial"/>
                <w:sz w:val="20"/>
                <w:szCs w:val="20"/>
                <w:color w:val="auto"/>
                <w:w w:val="89"/>
              </w:rPr>
              <w:t>Three-Months Ended</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80" w:type="dxa"/>
            <w:vAlign w:val="bottom"/>
          </w:tcPr>
          <w:p>
            <w:pPr>
              <w:jc w:val="center"/>
              <w:spacing w:after="0"/>
              <w:rPr>
                <w:sz w:val="20"/>
                <w:szCs w:val="20"/>
                <w:color w:val="auto"/>
              </w:rPr>
            </w:pPr>
            <w:r>
              <w:rPr>
                <w:rFonts w:ascii="Arial" w:cs="Arial" w:eastAsia="Arial" w:hAnsi="Arial"/>
                <w:sz w:val="19"/>
                <w:szCs w:val="19"/>
                <w:color w:val="auto"/>
                <w:w w:val="90"/>
              </w:rPr>
              <w:t>Affected line items in the consolidated</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center"/>
              <w:ind w:right="407"/>
              <w:spacing w:after="0"/>
              <w:rPr>
                <w:sz w:val="20"/>
                <w:szCs w:val="20"/>
                <w:color w:val="auto"/>
              </w:rPr>
            </w:pPr>
            <w:r>
              <w:rPr>
                <w:rFonts w:ascii="Arial" w:cs="Arial" w:eastAsia="Arial" w:hAnsi="Arial"/>
                <w:sz w:val="19"/>
                <w:szCs w:val="19"/>
                <w:color w:val="auto"/>
                <w:w w:val="89"/>
              </w:rPr>
              <w:t>March 31,</w:t>
            </w:r>
          </w:p>
        </w:tc>
        <w:tc>
          <w:tcPr>
            <w:tcW w:w="5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80" w:type="dxa"/>
            <w:vAlign w:val="bottom"/>
          </w:tcPr>
          <w:p>
            <w:pPr>
              <w:jc w:val="center"/>
              <w:spacing w:after="0"/>
              <w:rPr>
                <w:sz w:val="20"/>
                <w:szCs w:val="20"/>
                <w:color w:val="auto"/>
              </w:rPr>
            </w:pPr>
            <w:r>
              <w:rPr>
                <w:rFonts w:ascii="Arial" w:cs="Arial" w:eastAsia="Arial" w:hAnsi="Arial"/>
                <w:sz w:val="19"/>
                <w:szCs w:val="19"/>
                <w:color w:val="auto"/>
                <w:w w:val="87"/>
              </w:rPr>
              <w:t>statements of earnings and</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2018</w:t>
            </w:r>
          </w:p>
        </w:tc>
        <w:tc>
          <w:tcPr>
            <w:tcW w:w="5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2017</w:t>
            </w:r>
          </w:p>
        </w:tc>
        <w:tc>
          <w:tcPr>
            <w:tcW w:w="5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87"/>
              </w:rPr>
              <w:t>comprehensive earnings</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20" w:type="dxa"/>
            <w:vAlign w:val="bottom"/>
            <w:gridSpan w:val="5"/>
          </w:tcPr>
          <w:p>
            <w:pPr>
              <w:jc w:val="center"/>
              <w:ind w:left="445"/>
              <w:spacing w:after="0"/>
              <w:rPr>
                <w:sz w:val="20"/>
                <w:szCs w:val="20"/>
                <w:color w:val="auto"/>
              </w:rPr>
            </w:pPr>
            <w:r>
              <w:rPr>
                <w:rFonts w:ascii="Arial" w:cs="Arial" w:eastAsia="Arial" w:hAnsi="Arial"/>
                <w:sz w:val="19"/>
                <w:szCs w:val="19"/>
                <w:i w:val="1"/>
                <w:iCs w:val="1"/>
                <w:color w:val="auto"/>
                <w:w w:val="92"/>
              </w:rPr>
              <w:t>(Dollars in Thousands)</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9"/>
                <w:szCs w:val="19"/>
                <w:color w:val="auto"/>
              </w:rPr>
              <w:t>Pension and postretirement benefit plans</w:t>
            </w:r>
          </w:p>
        </w:tc>
        <w:tc>
          <w:tcPr>
            <w:tcW w:w="5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540" w:type="dxa"/>
            <w:vAlign w:val="bottom"/>
          </w:tcPr>
          <w:p>
            <w:pPr>
              <w:ind w:left="240"/>
              <w:spacing w:after="0"/>
              <w:rPr>
                <w:sz w:val="20"/>
                <w:szCs w:val="20"/>
                <w:color w:val="auto"/>
              </w:rPr>
            </w:pPr>
            <w:r>
              <w:rPr>
                <w:rFonts w:ascii="Arial" w:cs="Arial" w:eastAsia="Arial" w:hAnsi="Arial"/>
                <w:sz w:val="19"/>
                <w:szCs w:val="19"/>
                <w:color w:val="auto"/>
              </w:rPr>
              <w:t>Amortization of:</w:t>
            </w: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540" w:type="dxa"/>
            <w:vAlign w:val="bottom"/>
            <w:shd w:val="clear" w:color="auto" w:fill="CFF0FC"/>
          </w:tcPr>
          <w:p>
            <w:pPr>
              <w:ind w:left="480"/>
              <w:spacing w:after="0"/>
              <w:rPr>
                <w:sz w:val="20"/>
                <w:szCs w:val="20"/>
                <w:color w:val="auto"/>
              </w:rPr>
            </w:pPr>
            <w:r>
              <w:rPr>
                <w:rFonts w:ascii="Arial" w:cs="Arial" w:eastAsia="Arial" w:hAnsi="Arial"/>
                <w:sz w:val="19"/>
                <w:szCs w:val="19"/>
                <w:color w:val="auto"/>
              </w:rPr>
              <w:t>Prior service credit</w:t>
            </w:r>
          </w:p>
        </w:tc>
        <w:tc>
          <w:tcPr>
            <w:tcW w:w="1520" w:type="dxa"/>
            <w:vAlign w:val="bottom"/>
            <w:gridSpan w:val="2"/>
            <w:shd w:val="clear" w:color="auto" w:fill="CFF0FC"/>
          </w:tcPr>
          <w:p>
            <w:pPr>
              <w:jc w:val="right"/>
              <w:ind w:right="825"/>
              <w:spacing w:after="0"/>
              <w:rPr>
                <w:sz w:val="20"/>
                <w:szCs w:val="20"/>
                <w:color w:val="auto"/>
              </w:rPr>
            </w:pPr>
            <w:r>
              <w:rPr>
                <w:rFonts w:ascii="Arial" w:cs="Arial" w:eastAsia="Arial" w:hAnsi="Arial"/>
                <w:sz w:val="19"/>
                <w:szCs w:val="19"/>
                <w:color w:val="auto"/>
              </w:rPr>
              <w:t>$</w:t>
            </w: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9"/>
                <w:szCs w:val="19"/>
                <w:color w:val="auto"/>
              </w:rPr>
              <w:t>(585)</w:t>
            </w:r>
          </w:p>
        </w:tc>
        <w:tc>
          <w:tcPr>
            <w:tcW w:w="1000" w:type="dxa"/>
            <w:vAlign w:val="bottom"/>
            <w:gridSpan w:val="2"/>
            <w:shd w:val="clear" w:color="auto" w:fill="CFF0FC"/>
          </w:tcPr>
          <w:p>
            <w:pPr>
              <w:jc w:val="right"/>
              <w:ind w:right="827"/>
              <w:spacing w:after="0"/>
              <w:rPr>
                <w:sz w:val="20"/>
                <w:szCs w:val="20"/>
                <w:color w:val="auto"/>
              </w:rPr>
            </w:pPr>
            <w:r>
              <w:rPr>
                <w:rFonts w:ascii="Arial" w:cs="Arial" w:eastAsia="Arial" w:hAnsi="Arial"/>
                <w:sz w:val="19"/>
                <w:szCs w:val="19"/>
                <w:color w:val="auto"/>
                <w:w w:val="75"/>
              </w:rPr>
              <w:t>$</w:t>
            </w: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9"/>
                <w:szCs w:val="19"/>
                <w:color w:val="auto"/>
              </w:rPr>
              <w:t>(357)</w:t>
            </w:r>
          </w:p>
        </w:tc>
        <w:tc>
          <w:tcPr>
            <w:tcW w:w="20" w:type="dxa"/>
            <w:vAlign w:val="bottom"/>
            <w:shd w:val="clear" w:color="auto" w:fill="CFF0FC"/>
          </w:tcPr>
          <w:p>
            <w:pPr>
              <w:spacing w:after="0"/>
              <w:rPr>
                <w:sz w:val="19"/>
                <w:szCs w:val="19"/>
                <w:color w:val="auto"/>
              </w:rPr>
            </w:pPr>
          </w:p>
        </w:tc>
        <w:tc>
          <w:tcPr>
            <w:tcW w:w="38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540" w:type="dxa"/>
            <w:vAlign w:val="bottom"/>
            <w:tcBorders>
              <w:bottom w:val="single" w:sz="8" w:color="CFF0FC"/>
            </w:tcBorders>
          </w:tcPr>
          <w:p>
            <w:pPr>
              <w:ind w:left="480"/>
              <w:spacing w:after="0"/>
              <w:rPr>
                <w:sz w:val="20"/>
                <w:szCs w:val="20"/>
                <w:color w:val="auto"/>
              </w:rPr>
            </w:pPr>
            <w:r>
              <w:rPr>
                <w:rFonts w:ascii="Arial" w:cs="Arial" w:eastAsia="Arial" w:hAnsi="Arial"/>
                <w:sz w:val="19"/>
                <w:szCs w:val="19"/>
                <w:color w:val="auto"/>
              </w:rPr>
              <w:t>Actuarial loss</w:t>
            </w:r>
          </w:p>
        </w:tc>
        <w:tc>
          <w:tcPr>
            <w:tcW w:w="50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3,239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3,452</w:t>
            </w:r>
          </w:p>
        </w:tc>
        <w:tc>
          <w:tcPr>
            <w:tcW w:w="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8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2,654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3,095</w:t>
            </w:r>
          </w:p>
        </w:tc>
        <w:tc>
          <w:tcPr>
            <w:tcW w:w="80" w:type="dxa"/>
            <w:vAlign w:val="bottom"/>
            <w:shd w:val="clear" w:color="auto" w:fill="CFF0FC"/>
          </w:tcPr>
          <w:p>
            <w:pPr>
              <w:spacing w:after="0"/>
              <w:rPr>
                <w:sz w:val="19"/>
                <w:szCs w:val="19"/>
                <w:color w:val="auto"/>
              </w:rPr>
            </w:pPr>
          </w:p>
        </w:tc>
        <w:tc>
          <w:tcPr>
            <w:tcW w:w="3900" w:type="dxa"/>
            <w:vAlign w:val="bottom"/>
            <w:gridSpan w:val="2"/>
            <w:shd w:val="clear" w:color="auto" w:fill="CFF0FC"/>
          </w:tcPr>
          <w:p>
            <w:pPr>
              <w:ind w:left="20"/>
              <w:spacing w:after="0"/>
              <w:rPr>
                <w:sz w:val="20"/>
                <w:szCs w:val="20"/>
                <w:color w:val="auto"/>
              </w:rPr>
            </w:pPr>
            <w:r>
              <w:rPr>
                <w:rFonts w:ascii="Arial" w:cs="Arial" w:eastAsia="Arial" w:hAnsi="Arial"/>
                <w:sz w:val="19"/>
                <w:szCs w:val="19"/>
                <w:color w:val="auto"/>
              </w:rPr>
              <w:t>Other nonoperating income, net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540" w:type="dxa"/>
            <w:vAlign w:val="bottom"/>
          </w:tcPr>
          <w:p>
            <w:pPr>
              <w:ind w:left="240"/>
              <w:spacing w:after="0"/>
              <w:rPr>
                <w:sz w:val="20"/>
                <w:szCs w:val="20"/>
                <w:color w:val="auto"/>
              </w:rPr>
            </w:pPr>
            <w:r>
              <w:rPr>
                <w:rFonts w:ascii="Arial" w:cs="Arial" w:eastAsia="Arial" w:hAnsi="Arial"/>
                <w:sz w:val="19"/>
                <w:szCs w:val="19"/>
                <w:color w:val="auto"/>
              </w:rPr>
              <w:t>Tax benefit</w:t>
            </w: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9"/>
                <w:szCs w:val="19"/>
                <w:color w:val="auto"/>
              </w:rPr>
              <w:t>(658)</w:t>
            </w: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540" w:type="dxa"/>
            <w:vAlign w:val="bottom"/>
            <w:gridSpan w:val="4"/>
          </w:tcPr>
          <w:p>
            <w:pPr>
              <w:jc w:val="right"/>
              <w:ind w:right="2306"/>
              <w:spacing w:after="0"/>
              <w:rPr>
                <w:sz w:val="20"/>
                <w:szCs w:val="20"/>
                <w:color w:val="auto"/>
              </w:rPr>
            </w:pPr>
            <w:r>
              <w:rPr>
                <w:rFonts w:ascii="Arial" w:cs="Arial" w:eastAsia="Arial" w:hAnsi="Arial"/>
                <w:sz w:val="19"/>
                <w:szCs w:val="19"/>
                <w:color w:val="auto"/>
                <w:w w:val="90"/>
              </w:rPr>
              <w:t>(1,185) Income tax expense</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4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ind w:right="825"/>
              <w:spacing w:after="0"/>
              <w:rPr>
                <w:sz w:val="20"/>
                <w:szCs w:val="20"/>
                <w:color w:val="auto"/>
              </w:rPr>
            </w:pPr>
            <w:r>
              <w:rPr>
                <w:rFonts w:ascii="Arial" w:cs="Arial" w:eastAsia="Arial" w:hAnsi="Arial"/>
                <w:sz w:val="19"/>
                <w:szCs w:val="19"/>
                <w:color w:val="auto"/>
                <w:w w:val="75"/>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1,996</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ind w:right="82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1,910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38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shd w:val="clear" w:color="auto" w:fill="CFF0FC"/>
          </w:tcPr>
          <w:p>
            <w:pPr>
              <w:spacing w:after="0" w:line="205" w:lineRule="exact"/>
              <w:rPr>
                <w:sz w:val="20"/>
                <w:szCs w:val="20"/>
                <w:color w:val="auto"/>
              </w:rPr>
            </w:pPr>
            <w:r>
              <w:rPr>
                <w:rFonts w:ascii="Arial" w:cs="Arial" w:eastAsia="Arial" w:hAnsi="Arial"/>
                <w:sz w:val="19"/>
                <w:szCs w:val="19"/>
                <w:color w:val="auto"/>
              </w:rPr>
              <w:t>Unamortized value of terminated</w:t>
            </w:r>
          </w:p>
        </w:tc>
        <w:tc>
          <w:tcPr>
            <w:tcW w:w="5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8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540" w:type="dxa"/>
            <w:vAlign w:val="bottom"/>
            <w:shd w:val="clear" w:color="auto" w:fill="CFF0FC"/>
          </w:tcPr>
          <w:p>
            <w:pPr>
              <w:ind w:left="120"/>
              <w:spacing w:after="0"/>
              <w:rPr>
                <w:sz w:val="20"/>
                <w:szCs w:val="20"/>
                <w:color w:val="auto"/>
              </w:rPr>
            </w:pPr>
            <w:r>
              <w:rPr>
                <w:rFonts w:ascii="Arial" w:cs="Arial" w:eastAsia="Arial" w:hAnsi="Arial"/>
                <w:sz w:val="19"/>
                <w:szCs w:val="19"/>
                <w:color w:val="auto"/>
              </w:rPr>
              <w:t>forward starting interest rate swap</w:t>
            </w:r>
          </w:p>
        </w:tc>
        <w:tc>
          <w:tcPr>
            <w:tcW w:w="5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8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540" w:type="dxa"/>
            <w:vAlign w:val="bottom"/>
          </w:tcPr>
          <w:p>
            <w:pPr>
              <w:ind w:left="240"/>
              <w:spacing w:after="0"/>
              <w:rPr>
                <w:sz w:val="20"/>
                <w:szCs w:val="20"/>
                <w:color w:val="auto"/>
              </w:rPr>
            </w:pPr>
            <w:r>
              <w:rPr>
                <w:rFonts w:ascii="Arial" w:cs="Arial" w:eastAsia="Arial" w:hAnsi="Arial"/>
                <w:sz w:val="19"/>
                <w:szCs w:val="19"/>
                <w:color w:val="auto"/>
              </w:rPr>
              <w:t>Additional interest expense</w:t>
            </w:r>
          </w:p>
        </w:tc>
        <w:tc>
          <w:tcPr>
            <w:tcW w:w="1520" w:type="dxa"/>
            <w:vAlign w:val="bottom"/>
            <w:gridSpan w:val="2"/>
          </w:tcPr>
          <w:p>
            <w:pPr>
              <w:jc w:val="right"/>
              <w:ind w:right="825"/>
              <w:spacing w:after="0"/>
              <w:rPr>
                <w:sz w:val="20"/>
                <w:szCs w:val="20"/>
                <w:color w:val="auto"/>
              </w:rPr>
            </w:pPr>
            <w:r>
              <w:rPr>
                <w:rFonts w:ascii="Arial" w:cs="Arial" w:eastAsia="Arial" w:hAnsi="Arial"/>
                <w:sz w:val="19"/>
                <w:szCs w:val="19"/>
                <w:color w:val="auto"/>
              </w:rPr>
              <w:t>$</w:t>
            </w:r>
          </w:p>
        </w:tc>
        <w:tc>
          <w:tcPr>
            <w:tcW w:w="520" w:type="dxa"/>
            <w:vAlign w:val="bottom"/>
          </w:tcPr>
          <w:p>
            <w:pPr>
              <w:jc w:val="right"/>
              <w:spacing w:after="0"/>
              <w:rPr>
                <w:sz w:val="20"/>
                <w:szCs w:val="20"/>
                <w:color w:val="auto"/>
              </w:rPr>
            </w:pPr>
            <w:r>
              <w:rPr>
                <w:rFonts w:ascii="Arial" w:cs="Arial" w:eastAsia="Arial" w:hAnsi="Arial"/>
                <w:sz w:val="19"/>
                <w:szCs w:val="19"/>
                <w:color w:val="auto"/>
              </w:rPr>
              <w:t>347</w:t>
            </w:r>
          </w:p>
        </w:tc>
        <w:tc>
          <w:tcPr>
            <w:tcW w:w="280" w:type="dxa"/>
            <w:vAlign w:val="bottom"/>
          </w:tcPr>
          <w:p>
            <w:pPr>
              <w:spacing w:after="0"/>
              <w:rPr>
                <w:sz w:val="19"/>
                <w:szCs w:val="19"/>
                <w:color w:val="auto"/>
              </w:rPr>
            </w:pPr>
          </w:p>
        </w:tc>
        <w:tc>
          <w:tcPr>
            <w:tcW w:w="1000" w:type="dxa"/>
            <w:vAlign w:val="bottom"/>
            <w:gridSpan w:val="2"/>
          </w:tcPr>
          <w:p>
            <w:pPr>
              <w:jc w:val="right"/>
              <w:ind w:right="827"/>
              <w:spacing w:after="0"/>
              <w:rPr>
                <w:sz w:val="20"/>
                <w:szCs w:val="20"/>
                <w:color w:val="auto"/>
              </w:rPr>
            </w:pPr>
            <w:r>
              <w:rPr>
                <w:rFonts w:ascii="Arial" w:cs="Arial" w:eastAsia="Arial" w:hAnsi="Arial"/>
                <w:sz w:val="19"/>
                <w:szCs w:val="19"/>
                <w:color w:val="auto"/>
                <w:w w:val="75"/>
              </w:rPr>
              <w:t>$</w:t>
            </w:r>
          </w:p>
        </w:tc>
        <w:tc>
          <w:tcPr>
            <w:tcW w:w="560" w:type="dxa"/>
            <w:vAlign w:val="bottom"/>
          </w:tcPr>
          <w:p>
            <w:pPr>
              <w:jc w:val="right"/>
              <w:spacing w:after="0"/>
              <w:rPr>
                <w:sz w:val="20"/>
                <w:szCs w:val="20"/>
                <w:color w:val="auto"/>
              </w:rPr>
            </w:pPr>
            <w:r>
              <w:rPr>
                <w:rFonts w:ascii="Arial" w:cs="Arial" w:eastAsia="Arial" w:hAnsi="Arial"/>
                <w:sz w:val="19"/>
                <w:szCs w:val="19"/>
                <w:color w:val="auto"/>
              </w:rPr>
              <w:t>356</w:t>
            </w:r>
          </w:p>
        </w:tc>
        <w:tc>
          <w:tcPr>
            <w:tcW w:w="80" w:type="dxa"/>
            <w:vAlign w:val="bottom"/>
          </w:tcPr>
          <w:p>
            <w:pPr>
              <w:spacing w:after="0"/>
              <w:rPr>
                <w:sz w:val="19"/>
                <w:szCs w:val="19"/>
                <w:color w:val="auto"/>
              </w:rPr>
            </w:pPr>
          </w:p>
        </w:tc>
        <w:tc>
          <w:tcPr>
            <w:tcW w:w="3900" w:type="dxa"/>
            <w:vAlign w:val="bottom"/>
            <w:gridSpan w:val="2"/>
          </w:tcPr>
          <w:p>
            <w:pPr>
              <w:ind w:left="20"/>
              <w:spacing w:after="0"/>
              <w:rPr>
                <w:sz w:val="20"/>
                <w:szCs w:val="20"/>
                <w:color w:val="auto"/>
              </w:rPr>
            </w:pPr>
            <w:r>
              <w:rPr>
                <w:rFonts w:ascii="Arial" w:cs="Arial" w:eastAsia="Arial" w:hAnsi="Arial"/>
                <w:sz w:val="19"/>
                <w:szCs w:val="19"/>
                <w:color w:val="auto"/>
              </w:rPr>
              <w:t>Interest expense</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540" w:type="dxa"/>
            <w:vAlign w:val="bottom"/>
            <w:shd w:val="clear" w:color="auto" w:fill="CFF0FC"/>
          </w:tcPr>
          <w:p>
            <w:pPr>
              <w:ind w:left="240"/>
              <w:spacing w:after="0"/>
              <w:rPr>
                <w:sz w:val="20"/>
                <w:szCs w:val="20"/>
                <w:color w:val="auto"/>
              </w:rPr>
            </w:pPr>
            <w:r>
              <w:rPr>
                <w:rFonts w:ascii="Arial" w:cs="Arial" w:eastAsia="Arial" w:hAnsi="Arial"/>
                <w:sz w:val="19"/>
                <w:szCs w:val="19"/>
                <w:color w:val="auto"/>
              </w:rPr>
              <w:t>Tax benefit</w:t>
            </w:r>
          </w:p>
        </w:tc>
        <w:tc>
          <w:tcPr>
            <w:tcW w:w="5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9"/>
                <w:szCs w:val="19"/>
                <w:color w:val="auto"/>
              </w:rPr>
              <w:t>(137)</w:t>
            </w:r>
          </w:p>
        </w:tc>
        <w:tc>
          <w:tcPr>
            <w:tcW w:w="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540" w:type="dxa"/>
            <w:vAlign w:val="bottom"/>
            <w:gridSpan w:val="4"/>
            <w:shd w:val="clear" w:color="auto" w:fill="CFF0FC"/>
          </w:tcPr>
          <w:p>
            <w:pPr>
              <w:jc w:val="right"/>
              <w:ind w:right="2306"/>
              <w:spacing w:after="0"/>
              <w:rPr>
                <w:sz w:val="20"/>
                <w:szCs w:val="20"/>
                <w:color w:val="auto"/>
              </w:rPr>
            </w:pPr>
            <w:r>
              <w:rPr>
                <w:rFonts w:ascii="Arial" w:cs="Arial" w:eastAsia="Arial" w:hAnsi="Arial"/>
                <w:sz w:val="19"/>
                <w:szCs w:val="19"/>
                <w:color w:val="auto"/>
                <w:w w:val="96"/>
              </w:rPr>
              <w:t>(141) Income tax expense</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25"/>
              <w:spacing w:after="0"/>
              <w:rPr>
                <w:sz w:val="20"/>
                <w:szCs w:val="20"/>
                <w:color w:val="auto"/>
              </w:rPr>
            </w:pPr>
            <w:r>
              <w:rPr>
                <w:rFonts w:ascii="Arial" w:cs="Arial" w:eastAsia="Arial" w:hAnsi="Arial"/>
                <w:sz w:val="19"/>
                <w:szCs w:val="19"/>
                <w:color w:val="auto"/>
                <w:w w:val="75"/>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210</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82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215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Earnings per Common Share</w:t>
      </w:r>
    </w:p>
    <w:p>
      <w:pPr>
        <w:spacing w:after="0" w:line="111" w:lineRule="exact"/>
        <w:rPr>
          <w:sz w:val="20"/>
          <w:szCs w:val="20"/>
          <w:color w:val="auto"/>
        </w:rPr>
      </w:pPr>
    </w:p>
    <w:p>
      <w:pPr>
        <w:jc w:val="both"/>
        <w:ind w:left="380"/>
        <w:spacing w:after="0" w:line="254" w:lineRule="auto"/>
        <w:rPr>
          <w:sz w:val="20"/>
          <w:szCs w:val="20"/>
          <w:color w:val="auto"/>
        </w:rPr>
      </w:pPr>
      <w:r>
        <w:rPr>
          <w:rFonts w:ascii="Arial" w:cs="Arial" w:eastAsia="Arial" w:hAnsi="Arial"/>
          <w:sz w:val="19"/>
          <w:szCs w:val="19"/>
          <w:color w:val="auto"/>
        </w:rPr>
        <w:t>The numerator for basic and diluted earnings per common share is net earnings attributable to Martin Marietta Materials, Inc. reduced by dividends and undistributed earnings attributable to certain of the Company’s stock-based compensation. If there is a net loss, no amount of the undistributed loss is attributed to unvested participating securities. The denominator for basic earnings per common share is the weighted-average number of common shares outstanding during the period. Diluted earnings per common share are computed assuming that the weighted-average number of common shares is increased by the conversion, using the treasury stock method, of awards to be issued to employees and nonemployee members of the Company’s Board of Directors under certain stock-based compensation arrangements if the conversion is dilutive. For the three-months ended March 31, 2018 and 2017, the diluted per-share computations reflect the number of common shares outstanding to include the number of additional shares that would have been outstanding if the potentially dilutive common shares had been issued.</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12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2018</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69" w:lineRule="exact"/>
        <w:rPr>
          <w:sz w:val="20"/>
          <w:szCs w:val="20"/>
          <w:color w:val="auto"/>
        </w:rPr>
      </w:pPr>
    </w:p>
    <w:p>
      <w:pPr>
        <w:ind w:left="380" w:right="7440" w:hanging="373"/>
        <w:spacing w:after="0" w:line="414" w:lineRule="auto"/>
        <w:tabs>
          <w:tab w:leader="none" w:pos="375"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Significant Accounting Policies (continued) Earnings per Common Share</w:t>
      </w:r>
    </w:p>
    <w:p>
      <w:pPr>
        <w:ind w:left="380"/>
        <w:spacing w:after="0"/>
        <w:rPr>
          <w:rFonts w:ascii="Arial" w:cs="Arial" w:eastAsia="Arial" w:hAnsi="Arial"/>
          <w:sz w:val="17"/>
          <w:szCs w:val="17"/>
          <w:b w:val="1"/>
          <w:bCs w:val="1"/>
          <w:color w:val="auto"/>
        </w:rPr>
      </w:pPr>
      <w:r>
        <w:rPr>
          <w:rFonts w:ascii="Arial" w:cs="Arial" w:eastAsia="Arial" w:hAnsi="Arial"/>
          <w:sz w:val="20"/>
          <w:szCs w:val="20"/>
          <w:color w:val="auto"/>
        </w:rPr>
        <w:t>The following table reconciles the numerator and denominator for basic and diluted earnings per common share: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80" w:type="dxa"/>
            <w:vAlign w:val="bottom"/>
            <w:gridSpan w:val="3"/>
          </w:tcPr>
          <w:p>
            <w:pPr>
              <w:jc w:val="center"/>
              <w:spacing w:after="0"/>
              <w:rPr>
                <w:sz w:val="20"/>
                <w:szCs w:val="20"/>
                <w:color w:val="auto"/>
              </w:rPr>
            </w:pPr>
            <w:r>
              <w:rPr>
                <w:rFonts w:ascii="Arial" w:cs="Arial" w:eastAsia="Arial" w:hAnsi="Arial"/>
                <w:sz w:val="20"/>
                <w:szCs w:val="20"/>
                <w:color w:val="auto"/>
                <w:w w:val="88"/>
              </w:rPr>
              <w:t>Three-Months Ended</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460" w:type="dxa"/>
            <w:vAlign w:val="bottom"/>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Arial" w:cs="Arial" w:eastAsia="Arial" w:hAnsi="Arial"/>
                <w:sz w:val="20"/>
                <w:szCs w:val="20"/>
                <w:color w:val="auto"/>
                <w:w w:val="92"/>
              </w:rPr>
              <w:t>March 31,</w:t>
            </w:r>
          </w:p>
        </w:tc>
        <w:tc>
          <w:tcPr>
            <w:tcW w:w="1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2018</w:t>
            </w:r>
          </w:p>
        </w:tc>
        <w:tc>
          <w:tcPr>
            <w:tcW w:w="7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602"/>
              <w:spacing w:after="0"/>
              <w:rPr>
                <w:sz w:val="20"/>
                <w:szCs w:val="20"/>
                <w:color w:val="auto"/>
              </w:rPr>
            </w:pPr>
            <w:r>
              <w:rPr>
                <w:rFonts w:ascii="Arial" w:cs="Arial" w:eastAsia="Arial" w:hAnsi="Arial"/>
                <w:sz w:val="20"/>
                <w:szCs w:val="20"/>
                <w:color w:val="auto"/>
                <w:w w:val="85"/>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80" w:type="dxa"/>
            <w:vAlign w:val="bottom"/>
            <w:gridSpan w:val="3"/>
          </w:tcPr>
          <w:p>
            <w:pPr>
              <w:jc w:val="center"/>
              <w:spacing w:after="0"/>
              <w:rPr>
                <w:sz w:val="20"/>
                <w:szCs w:val="20"/>
                <w:color w:val="auto"/>
              </w:rPr>
            </w:pPr>
            <w:r>
              <w:rPr>
                <w:rFonts w:ascii="Arial" w:cs="Arial" w:eastAsia="Arial" w:hAnsi="Arial"/>
                <w:sz w:val="20"/>
                <w:szCs w:val="20"/>
                <w:i w:val="1"/>
                <w:iCs w:val="1"/>
                <w:color w:val="auto"/>
                <w:w w:val="87"/>
              </w:rPr>
              <w:t>(In Thousands)</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60" w:type="dxa"/>
            <w:vAlign w:val="bottom"/>
            <w:shd w:val="clear" w:color="auto" w:fill="CFF0FC"/>
          </w:tcPr>
          <w:p>
            <w:pPr>
              <w:spacing w:after="0"/>
              <w:rPr>
                <w:sz w:val="20"/>
                <w:szCs w:val="20"/>
                <w:color w:val="auto"/>
              </w:rPr>
            </w:pPr>
            <w:r>
              <w:rPr>
                <w:rFonts w:ascii="Arial" w:cs="Arial" w:eastAsia="Arial" w:hAnsi="Arial"/>
                <w:sz w:val="20"/>
                <w:szCs w:val="20"/>
                <w:color w:val="auto"/>
              </w:rPr>
              <w:t>Net earnings attributable to Martin Marietta Materials, Inc.</w:t>
            </w:r>
          </w:p>
        </w:tc>
        <w:tc>
          <w:tcPr>
            <w:tcW w:w="1060" w:type="dxa"/>
            <w:vAlign w:val="bottom"/>
            <w:shd w:val="clear" w:color="auto" w:fill="CFF0FC"/>
          </w:tcPr>
          <w:p>
            <w:pPr>
              <w:jc w:val="right"/>
              <w:ind w:right="862"/>
              <w:spacing w:after="0"/>
              <w:rPr>
                <w:sz w:val="20"/>
                <w:szCs w:val="20"/>
                <w:color w:val="auto"/>
              </w:rPr>
            </w:pPr>
            <w:r>
              <w:rPr>
                <w:rFonts w:ascii="Arial" w:cs="Arial" w:eastAsia="Arial" w:hAnsi="Arial"/>
                <w:sz w:val="20"/>
                <w:szCs w:val="20"/>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10,023</w:t>
            </w:r>
          </w:p>
        </w:tc>
        <w:tc>
          <w:tcPr>
            <w:tcW w:w="980" w:type="dxa"/>
            <w:vAlign w:val="bottom"/>
            <w:gridSpan w:val="2"/>
            <w:shd w:val="clear" w:color="auto" w:fill="CFF0FC"/>
          </w:tcPr>
          <w:p>
            <w:pPr>
              <w:jc w:val="right"/>
              <w:ind w:right="580"/>
              <w:spacing w:after="0"/>
              <w:rPr>
                <w:sz w:val="20"/>
                <w:szCs w:val="20"/>
                <w:color w:val="auto"/>
              </w:rPr>
            </w:pPr>
            <w:r>
              <w:rPr>
                <w:rFonts w:ascii="Arial" w:cs="Arial" w:eastAsia="Arial" w:hAnsi="Arial"/>
                <w:sz w:val="20"/>
                <w:szCs w:val="20"/>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42,334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60" w:type="dxa"/>
            <w:vAlign w:val="bottom"/>
          </w:tcPr>
          <w:p>
            <w:pPr>
              <w:spacing w:after="0" w:line="224" w:lineRule="exact"/>
              <w:rPr>
                <w:sz w:val="20"/>
                <w:szCs w:val="20"/>
                <w:color w:val="auto"/>
              </w:rPr>
            </w:pPr>
            <w:r>
              <w:rPr>
                <w:rFonts w:ascii="Arial" w:cs="Arial" w:eastAsia="Arial" w:hAnsi="Arial"/>
                <w:sz w:val="20"/>
                <w:szCs w:val="20"/>
                <w:color w:val="auto"/>
              </w:rPr>
              <w:t>Less: Distributed and undistributed earnings</w:t>
            </w: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460" w:type="dxa"/>
            <w:vAlign w:val="bottom"/>
            <w:tcBorders>
              <w:bottom w:val="single" w:sz="8" w:color="CFF0FC"/>
            </w:tcBorders>
          </w:tcPr>
          <w:p>
            <w:pPr>
              <w:ind w:left="140"/>
              <w:spacing w:after="0"/>
              <w:rPr>
                <w:sz w:val="20"/>
                <w:szCs w:val="20"/>
                <w:color w:val="auto"/>
              </w:rPr>
            </w:pPr>
            <w:r>
              <w:rPr>
                <w:rFonts w:ascii="Arial" w:cs="Arial" w:eastAsia="Arial" w:hAnsi="Arial"/>
                <w:sz w:val="20"/>
                <w:szCs w:val="20"/>
                <w:color w:val="auto"/>
              </w:rPr>
              <w:t>attributable to unvested awards</w:t>
            </w:r>
          </w:p>
        </w:tc>
        <w:tc>
          <w:tcPr>
            <w:tcW w:w="10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63</w:t>
            </w:r>
          </w:p>
        </w:tc>
        <w:tc>
          <w:tcPr>
            <w:tcW w:w="300" w:type="dxa"/>
            <w:vAlign w:val="bottom"/>
            <w:tcBorders>
              <w:bottom w:val="single" w:sz="8" w:color="CFF0FC"/>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153</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60" w:type="dxa"/>
            <w:vAlign w:val="bottom"/>
            <w:shd w:val="clear" w:color="auto" w:fill="CFF0FC"/>
          </w:tcPr>
          <w:p>
            <w:pPr>
              <w:spacing w:after="0" w:line="217" w:lineRule="exact"/>
              <w:rPr>
                <w:sz w:val="20"/>
                <w:szCs w:val="20"/>
                <w:color w:val="auto"/>
              </w:rPr>
            </w:pPr>
            <w:r>
              <w:rPr>
                <w:rFonts w:ascii="Arial" w:cs="Arial" w:eastAsia="Arial" w:hAnsi="Arial"/>
                <w:sz w:val="20"/>
                <w:szCs w:val="20"/>
                <w:color w:val="auto"/>
              </w:rPr>
              <w:t>Basic and diluted net earnings available to common shareholders</w:t>
            </w:r>
          </w:p>
        </w:tc>
        <w:tc>
          <w:tcPr>
            <w:tcW w:w="10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4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attributable to Martin Marietta Materials, Inc.</w:t>
            </w:r>
          </w:p>
        </w:tc>
        <w:tc>
          <w:tcPr>
            <w:tcW w:w="1060" w:type="dxa"/>
            <w:vAlign w:val="bottom"/>
            <w:shd w:val="clear" w:color="auto" w:fill="CFF0FC"/>
          </w:tcPr>
          <w:p>
            <w:pPr>
              <w:jc w:val="right"/>
              <w:ind w:right="862"/>
              <w:spacing w:after="0"/>
              <w:rPr>
                <w:sz w:val="20"/>
                <w:szCs w:val="20"/>
                <w:color w:val="auto"/>
              </w:rPr>
            </w:pPr>
            <w:r>
              <w:rPr>
                <w:rFonts w:ascii="Arial" w:cs="Arial" w:eastAsia="Arial" w:hAnsi="Arial"/>
                <w:sz w:val="20"/>
                <w:szCs w:val="20"/>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9,960</w:t>
            </w:r>
          </w:p>
        </w:tc>
        <w:tc>
          <w:tcPr>
            <w:tcW w:w="980" w:type="dxa"/>
            <w:vAlign w:val="bottom"/>
            <w:gridSpan w:val="2"/>
            <w:shd w:val="clear" w:color="auto" w:fill="CFF0FC"/>
          </w:tcPr>
          <w:p>
            <w:pPr>
              <w:jc w:val="right"/>
              <w:ind w:right="580"/>
              <w:spacing w:after="0"/>
              <w:rPr>
                <w:sz w:val="20"/>
                <w:szCs w:val="20"/>
                <w:color w:val="auto"/>
              </w:rPr>
            </w:pPr>
            <w:r>
              <w:rPr>
                <w:rFonts w:ascii="Arial" w:cs="Arial" w:eastAsia="Arial" w:hAnsi="Arial"/>
                <w:sz w:val="20"/>
                <w:szCs w:val="20"/>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42,181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vMerge w:val="restart"/>
          </w:tcPr>
          <w:p>
            <w:pPr>
              <w:spacing w:after="0"/>
              <w:rPr>
                <w:sz w:val="19"/>
                <w:szCs w:val="19"/>
                <w:color w:val="auto"/>
              </w:rPr>
            </w:pPr>
          </w:p>
        </w:tc>
        <w:tc>
          <w:tcPr>
            <w:tcW w:w="7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vMerge w:val="continue"/>
          </w:tcPr>
          <w:p>
            <w:pPr>
              <w:spacing w:after="0"/>
              <w:rPr>
                <w:sz w:val="20"/>
                <w:szCs w:val="20"/>
                <w:color w:val="auto"/>
              </w:rPr>
            </w:pPr>
          </w:p>
        </w:tc>
        <w:tc>
          <w:tcPr>
            <w:tcW w:w="7460" w:type="dxa"/>
            <w:vAlign w:val="bottom"/>
            <w:shd w:val="clear" w:color="auto" w:fill="CFF0FC"/>
          </w:tcPr>
          <w:p>
            <w:pPr>
              <w:spacing w:after="0"/>
              <w:rPr>
                <w:sz w:val="20"/>
                <w:szCs w:val="20"/>
                <w:color w:val="auto"/>
              </w:rPr>
            </w:pPr>
            <w:r>
              <w:rPr>
                <w:rFonts w:ascii="Arial" w:cs="Arial" w:eastAsia="Arial" w:hAnsi="Arial"/>
                <w:sz w:val="20"/>
                <w:szCs w:val="20"/>
                <w:color w:val="auto"/>
              </w:rPr>
              <w:t>Basic weighted-average common shares outstanding</w:t>
            </w:r>
          </w:p>
        </w:tc>
        <w:tc>
          <w:tcPr>
            <w:tcW w:w="106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62,957</w:t>
            </w:r>
          </w:p>
        </w:tc>
        <w:tc>
          <w:tcPr>
            <w:tcW w:w="3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63,024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6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Effect of dilutive employee and director awards</w:t>
            </w:r>
          </w:p>
        </w:tc>
        <w:tc>
          <w:tcPr>
            <w:tcW w:w="10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265</w:t>
            </w:r>
          </w:p>
        </w:tc>
        <w:tc>
          <w:tcPr>
            <w:tcW w:w="300" w:type="dxa"/>
            <w:vAlign w:val="bottom"/>
            <w:tcBorders>
              <w:bottom w:val="single" w:sz="8" w:color="CFF0FC"/>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295</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Diluted weighted-average common shares outstanding</w:t>
            </w:r>
          </w:p>
        </w:tc>
        <w:tc>
          <w:tcPr>
            <w:tcW w:w="106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63,222</w:t>
            </w:r>
          </w:p>
        </w:tc>
        <w:tc>
          <w:tcPr>
            <w:tcW w:w="30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63,319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ind w:left="380" w:hanging="373"/>
        <w:spacing w:after="0"/>
        <w:tabs>
          <w:tab w:leader="none" w:pos="38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Revenue Recognition</w:t>
      </w:r>
    </w:p>
    <w:p>
      <w:pPr>
        <w:spacing w:after="0" w:line="110" w:lineRule="exact"/>
        <w:rPr>
          <w:rFonts w:ascii="Arial" w:cs="Arial" w:eastAsia="Arial" w:hAnsi="Arial"/>
          <w:sz w:val="20"/>
          <w:szCs w:val="20"/>
          <w:b w:val="1"/>
          <w:bCs w:val="1"/>
          <w:color w:val="auto"/>
        </w:rPr>
      </w:pPr>
    </w:p>
    <w:p>
      <w:pPr>
        <w:jc w:val="both"/>
        <w:ind w:left="380"/>
        <w:spacing w:after="0" w:line="285" w:lineRule="auto"/>
        <w:rPr>
          <w:rFonts w:ascii="Arial" w:cs="Arial" w:eastAsia="Arial" w:hAnsi="Arial"/>
          <w:sz w:val="20"/>
          <w:szCs w:val="20"/>
          <w:b w:val="1"/>
          <w:bCs w:val="1"/>
          <w:color w:val="auto"/>
        </w:rPr>
      </w:pPr>
      <w:r>
        <w:rPr>
          <w:rFonts w:ascii="Arial" w:cs="Arial" w:eastAsia="Arial" w:hAnsi="Arial"/>
          <w:sz w:val="17"/>
          <w:szCs w:val="17"/>
          <w:color w:val="auto"/>
        </w:rPr>
        <w:t>Total revenues include sales of products and services to customers, net of any discounts or allowances, and freight revenues. Product revenues are recognized when control of the promised good is transferred to the customer, typically when finished products are shipped. Intersegment and interproduct revenues are eliminated in consolidation. Service revenues are derived from the paving business and recognized using the percentage-of-completion method under the revenue-cost approach. Under the revenue-cost approach, recognized contract revenue is determined by multiplying the total estimated contract revenue by the estimated percentage of completion. Contract costs are recognized as incurred. The percentage of completion is determined on a contract-by-contract basis using project costs incurred to date as a percentage of total estimated project costs. The Company believes the revenue-cost approach is appropriate as the use of asphalt in a paving contract is relatively consistent with the performance of the paving service. Paving contracts, notably with governmental entities, may contain performance bonuses based on quality specifications. Given the uncertainty of meeting the criteria until the performance obligation is completed, performance bonuses are recognized as revenues when and if determined to be achieved. Performance bonuses are not material to the Company’s consolidated results of operations for the three-months ended March 31, 2018 and 2017. Freight revenues reflect delivery arranged by the Company using a third party on behalf of the customer and are recognized consistent with the timing of the product revenues.</w:t>
      </w:r>
    </w:p>
    <w:p>
      <w:pPr>
        <w:spacing w:after="0" w:line="278" w:lineRule="exact"/>
        <w:rPr>
          <w:rFonts w:ascii="Arial" w:cs="Arial" w:eastAsia="Arial" w:hAnsi="Arial"/>
          <w:sz w:val="20"/>
          <w:szCs w:val="20"/>
          <w:b w:val="1"/>
          <w:bCs w:val="1"/>
          <w:color w:val="auto"/>
        </w:rPr>
      </w:pPr>
    </w:p>
    <w:p>
      <w:pPr>
        <w:jc w:val="both"/>
        <w:ind w:left="380"/>
        <w:spacing w:after="0" w:line="258" w:lineRule="auto"/>
        <w:rPr>
          <w:rFonts w:ascii="Arial" w:cs="Arial" w:eastAsia="Arial" w:hAnsi="Arial"/>
          <w:sz w:val="20"/>
          <w:szCs w:val="20"/>
          <w:b w:val="1"/>
          <w:bCs w:val="1"/>
          <w:color w:val="auto"/>
        </w:rPr>
      </w:pPr>
      <w:r>
        <w:rPr>
          <w:rFonts w:ascii="Arial" w:cs="Arial" w:eastAsia="Arial" w:hAnsi="Arial"/>
          <w:sz w:val="19"/>
          <w:szCs w:val="19"/>
          <w:b w:val="1"/>
          <w:bCs w:val="1"/>
          <w:i w:val="1"/>
          <w:iCs w:val="1"/>
          <w:color w:val="auto"/>
        </w:rPr>
        <w:t xml:space="preserve">Performance Obligations. </w:t>
      </w:r>
      <w:r>
        <w:rPr>
          <w:rFonts w:ascii="Arial" w:cs="Arial" w:eastAsia="Arial" w:hAnsi="Arial"/>
          <w:sz w:val="19"/>
          <w:szCs w:val="19"/>
          <w:color w:val="auto"/>
        </w:rPr>
        <w:t>Performance obligations are contractual promises to transfer or provide a distinct good or service for a stated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price. The Company’s product sales agreements are single-performance obligations that are satisfied at a point in time. Performance obligations within paving service agreements are satisfied over time, primarily ranging from one day to 20 months. For product revenues and freight revenues, customer payment terms are generally 30 days from invoice date. Customer payments for the paving operations are based on a contractual billing schedule and are due 30 days from invoice date.</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13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2018</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176" w:lineRule="exact"/>
        <w:rPr>
          <w:sz w:val="20"/>
          <w:szCs w:val="20"/>
          <w:color w:val="auto"/>
        </w:rPr>
      </w:pPr>
    </w:p>
    <w:p>
      <w:pPr>
        <w:ind w:left="480" w:hanging="473"/>
        <w:spacing w:after="0"/>
        <w:tabs>
          <w:tab w:leader="none" w:pos="48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Revenue Recognition (continued)</w:t>
      </w:r>
    </w:p>
    <w:p>
      <w:pPr>
        <w:spacing w:after="0" w:line="97" w:lineRule="exact"/>
        <w:rPr>
          <w:sz w:val="20"/>
          <w:szCs w:val="20"/>
          <w:color w:val="auto"/>
        </w:rPr>
      </w:pPr>
    </w:p>
    <w:p>
      <w:pPr>
        <w:jc w:val="both"/>
        <w:ind w:left="380"/>
        <w:spacing w:after="0" w:line="336" w:lineRule="auto"/>
        <w:rPr>
          <w:sz w:val="20"/>
          <w:szCs w:val="20"/>
          <w:color w:val="auto"/>
        </w:rPr>
      </w:pPr>
      <w:r>
        <w:rPr>
          <w:rFonts w:ascii="Arial" w:cs="Arial" w:eastAsia="Arial" w:hAnsi="Arial"/>
          <w:sz w:val="17"/>
          <w:szCs w:val="17"/>
          <w:color w:val="auto"/>
        </w:rPr>
        <w:t>Future revenues from unsatisfied performance obligations at March 31, 2018 and 2017 were $88,054,000 and $145,921,000, respectively, where the remaining periods to complete these obligations ranged from one day to 20 months and one day to 11 months, respectively.</w:t>
      </w:r>
    </w:p>
    <w:p>
      <w:pPr>
        <w:spacing w:after="0" w:line="1" w:lineRule="exact"/>
        <w:rPr>
          <w:sz w:val="20"/>
          <w:szCs w:val="20"/>
          <w:color w:val="auto"/>
        </w:rPr>
      </w:pPr>
    </w:p>
    <w:p>
      <w:pPr>
        <w:jc w:val="both"/>
        <w:ind w:left="380"/>
        <w:spacing w:after="0" w:line="247" w:lineRule="auto"/>
        <w:rPr>
          <w:sz w:val="20"/>
          <w:szCs w:val="20"/>
          <w:color w:val="auto"/>
        </w:rPr>
      </w:pPr>
      <w:r>
        <w:rPr>
          <w:rFonts w:ascii="Arial" w:cs="Arial" w:eastAsia="Arial" w:hAnsi="Arial"/>
          <w:sz w:val="20"/>
          <w:szCs w:val="20"/>
          <w:b w:val="1"/>
          <w:bCs w:val="1"/>
          <w:i w:val="1"/>
          <w:iCs w:val="1"/>
          <w:color w:val="auto"/>
        </w:rPr>
        <w:t xml:space="preserve">Sales Taxes. </w:t>
      </w:r>
      <w:r>
        <w:rPr>
          <w:rFonts w:ascii="Arial" w:cs="Arial" w:eastAsia="Arial" w:hAnsi="Arial"/>
          <w:sz w:val="20"/>
          <w:szCs w:val="20"/>
          <w:color w:val="auto"/>
        </w:rPr>
        <w:t>The Company is deemed to be an agent when collecting sales taxes from customers. Sales taxes collected are initially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recorded as liabilities until remitted to taxing authorities and are not reflected in the consolidated statements of earnings as revenues and expenses.</w:t>
      </w:r>
    </w:p>
    <w:p>
      <w:pPr>
        <w:spacing w:after="0" w:line="79" w:lineRule="exact"/>
        <w:rPr>
          <w:sz w:val="20"/>
          <w:szCs w:val="20"/>
          <w:color w:val="auto"/>
        </w:rPr>
      </w:pPr>
    </w:p>
    <w:p>
      <w:pPr>
        <w:ind w:left="380"/>
        <w:spacing w:after="0"/>
        <w:rPr>
          <w:sz w:val="20"/>
          <w:szCs w:val="20"/>
          <w:color w:val="auto"/>
        </w:rPr>
      </w:pPr>
      <w:r>
        <w:rPr>
          <w:rFonts w:ascii="Arial" w:cs="Arial" w:eastAsia="Arial" w:hAnsi="Arial"/>
          <w:sz w:val="19"/>
          <w:szCs w:val="19"/>
          <w:b w:val="1"/>
          <w:bCs w:val="1"/>
          <w:i w:val="1"/>
          <w:iCs w:val="1"/>
          <w:color w:val="auto"/>
        </w:rPr>
        <w:t xml:space="preserve">Revenue by Category. </w:t>
      </w:r>
      <w:r>
        <w:rPr>
          <w:rFonts w:ascii="Arial" w:cs="Arial" w:eastAsia="Arial" w:hAnsi="Arial"/>
          <w:sz w:val="19"/>
          <w:szCs w:val="19"/>
          <w:color w:val="auto"/>
        </w:rPr>
        <w:t>The following table presents the Company’s total revenues by category for each reportable segment:</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gridSpan w:val="3"/>
          </w:tcPr>
          <w:p>
            <w:pPr>
              <w:jc w:val="center"/>
              <w:ind w:right="100"/>
              <w:spacing w:after="0"/>
              <w:rPr>
                <w:sz w:val="20"/>
                <w:szCs w:val="20"/>
                <w:color w:val="auto"/>
              </w:rPr>
            </w:pPr>
            <w:r>
              <w:rPr>
                <w:rFonts w:ascii="Arial" w:cs="Arial" w:eastAsia="Arial" w:hAnsi="Arial"/>
                <w:sz w:val="20"/>
                <w:szCs w:val="20"/>
                <w:color w:val="auto"/>
                <w:w w:val="89"/>
              </w:rPr>
              <w:t>Three-Months Ended</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4"/>
        </w:trPr>
        <w:tc>
          <w:tcPr>
            <w:tcW w:w="20" w:type="dxa"/>
            <w:vAlign w:val="bottom"/>
          </w:tcPr>
          <w:p>
            <w:pPr>
              <w:spacing w:after="0"/>
              <w:rPr>
                <w:sz w:val="21"/>
                <w:szCs w:val="21"/>
                <w:color w:val="auto"/>
              </w:rPr>
            </w:pPr>
          </w:p>
        </w:tc>
        <w:tc>
          <w:tcPr>
            <w:tcW w:w="6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20"/>
                <w:szCs w:val="20"/>
                <w:color w:val="auto"/>
                <w:w w:val="89"/>
              </w:rPr>
              <w:t>March 31, 2018</w:t>
            </w: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17"/>
        </w:trPr>
        <w:tc>
          <w:tcPr>
            <w:tcW w:w="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300"/>
              <w:spacing w:after="0" w:line="217" w:lineRule="exact"/>
              <w:rPr>
                <w:sz w:val="20"/>
                <w:szCs w:val="20"/>
                <w:color w:val="auto"/>
              </w:rPr>
            </w:pPr>
            <w:r>
              <w:rPr>
                <w:rFonts w:ascii="Arial" w:cs="Arial" w:eastAsia="Arial" w:hAnsi="Arial"/>
                <w:sz w:val="20"/>
                <w:szCs w:val="20"/>
                <w:color w:val="auto"/>
                <w:w w:val="86"/>
              </w:rPr>
              <w:t>Products and</w:t>
            </w: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4"/>
        </w:trPr>
        <w:tc>
          <w:tcPr>
            <w:tcW w:w="6220" w:type="dxa"/>
            <w:vAlign w:val="bottom"/>
            <w:gridSpan w:val="2"/>
          </w:tcPr>
          <w:p>
            <w:pPr>
              <w:spacing w:after="0"/>
              <w:rPr>
                <w:sz w:val="20"/>
                <w:szCs w:val="20"/>
                <w:color w:val="auto"/>
              </w:rPr>
            </w:pPr>
            <w:r>
              <w:rPr>
                <w:rFonts w:ascii="Arial" w:cs="Arial" w:eastAsia="Arial" w:hAnsi="Arial"/>
                <w:sz w:val="20"/>
                <w:szCs w:val="20"/>
                <w:i w:val="1"/>
                <w:iCs w:val="1"/>
                <w:color w:val="auto"/>
              </w:rPr>
              <w:t>(Dollars in Thousands)</w:t>
            </w:r>
          </w:p>
        </w:tc>
        <w:tc>
          <w:tcPr>
            <w:tcW w:w="180" w:type="dxa"/>
            <w:vAlign w:val="bottom"/>
          </w:tcPr>
          <w:p>
            <w:pPr>
              <w:spacing w:after="0"/>
              <w:rPr>
                <w:sz w:val="21"/>
                <w:szCs w:val="21"/>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20"/>
                <w:szCs w:val="20"/>
                <w:color w:val="auto"/>
                <w:w w:val="88"/>
              </w:rPr>
              <w:t>Services</w:t>
            </w:r>
          </w:p>
        </w:tc>
        <w:tc>
          <w:tcPr>
            <w:tcW w:w="180" w:type="dxa"/>
            <w:vAlign w:val="bottom"/>
          </w:tcPr>
          <w:p>
            <w:pPr>
              <w:spacing w:after="0"/>
              <w:rPr>
                <w:sz w:val="21"/>
                <w:szCs w:val="21"/>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20"/>
                <w:szCs w:val="20"/>
                <w:color w:val="auto"/>
                <w:w w:val="93"/>
              </w:rPr>
              <w:t>Freight</w:t>
            </w:r>
          </w:p>
        </w:tc>
        <w:tc>
          <w:tcPr>
            <w:tcW w:w="340" w:type="dxa"/>
            <w:vAlign w:val="bottom"/>
          </w:tcPr>
          <w:p>
            <w:pPr>
              <w:spacing w:after="0"/>
              <w:rPr>
                <w:sz w:val="21"/>
                <w:szCs w:val="21"/>
                <w:color w:val="auto"/>
              </w:rPr>
            </w:pPr>
          </w:p>
        </w:tc>
        <w:tc>
          <w:tcPr>
            <w:tcW w:w="1340" w:type="dxa"/>
            <w:vAlign w:val="bottom"/>
            <w:gridSpan w:val="2"/>
          </w:tcPr>
          <w:p>
            <w:pPr>
              <w:ind w:left="240"/>
              <w:spacing w:after="0"/>
              <w:rPr>
                <w:sz w:val="20"/>
                <w:szCs w:val="20"/>
                <w:color w:val="auto"/>
              </w:rPr>
            </w:pPr>
            <w:r>
              <w:rPr>
                <w:rFonts w:ascii="Arial" w:cs="Arial" w:eastAsia="Arial" w:hAnsi="Arial"/>
                <w:sz w:val="20"/>
                <w:szCs w:val="20"/>
                <w:color w:val="auto"/>
              </w:rPr>
              <w:t>Total</w:t>
            </w:r>
          </w:p>
        </w:tc>
      </w:tr>
      <w:tr>
        <w:trPr>
          <w:trHeight w:val="234"/>
        </w:trPr>
        <w:tc>
          <w:tcPr>
            <w:tcW w:w="20" w:type="dxa"/>
            <w:vAlign w:val="bottom"/>
          </w:tcPr>
          <w:p>
            <w:pPr>
              <w:spacing w:after="0"/>
              <w:rPr>
                <w:sz w:val="20"/>
                <w:szCs w:val="20"/>
                <w:color w:val="auto"/>
              </w:rPr>
            </w:pPr>
          </w:p>
        </w:tc>
        <w:tc>
          <w:tcPr>
            <w:tcW w:w="6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20"/>
                <w:szCs w:val="20"/>
                <w:color w:val="auto"/>
              </w:rPr>
              <w:t>Mid-America Group</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167,890</w:t>
            </w:r>
          </w:p>
        </w:tc>
        <w:tc>
          <w:tcPr>
            <w:tcW w:w="100" w:type="dxa"/>
            <w:vAlign w:val="bottom"/>
            <w:tcBorders>
              <w:top w:val="single" w:sz="8" w:color="CFF0FC"/>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10,891</w:t>
            </w:r>
          </w:p>
        </w:tc>
        <w:tc>
          <w:tcPr>
            <w:tcW w:w="120" w:type="dxa"/>
            <w:vAlign w:val="bottom"/>
            <w:tcBorders>
              <w:top w:val="single" w:sz="8" w:color="CFF0FC"/>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jc w:val="right"/>
              <w:ind w:right="142"/>
              <w:spacing w:after="0"/>
              <w:rPr>
                <w:sz w:val="20"/>
                <w:szCs w:val="20"/>
                <w:color w:val="auto"/>
              </w:rPr>
            </w:pPr>
            <w:r>
              <w:rPr>
                <w:rFonts w:ascii="Arial" w:cs="Arial" w:eastAsia="Arial" w:hAnsi="Arial"/>
                <w:sz w:val="20"/>
                <w:szCs w:val="20"/>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178,781</w:t>
            </w:r>
          </w:p>
        </w:tc>
        <w:tc>
          <w:tcPr>
            <w:tcW w:w="120" w:type="dxa"/>
            <w:vAlign w:val="bottom"/>
            <w:tcBorders>
              <w:top w:val="single" w:sz="8" w:color="CFF0FC"/>
            </w:tcBorders>
            <w:shd w:val="clear" w:color="auto" w:fill="CFF0FC"/>
          </w:tcPr>
          <w:p>
            <w:pPr>
              <w:spacing w:after="0"/>
              <w:rPr>
                <w:sz w:val="20"/>
                <w:szCs w:val="20"/>
                <w:color w:val="auto"/>
              </w:rPr>
            </w:pPr>
          </w:p>
        </w:tc>
      </w:tr>
      <w:tr>
        <w:trPr>
          <w:trHeight w:val="241"/>
        </w:trPr>
        <w:tc>
          <w:tcPr>
            <w:tcW w:w="20" w:type="dxa"/>
            <w:vAlign w:val="bottom"/>
          </w:tcPr>
          <w:p>
            <w:pPr>
              <w:spacing w:after="0"/>
              <w:rPr>
                <w:sz w:val="20"/>
                <w:szCs w:val="20"/>
                <w:color w:val="auto"/>
              </w:rPr>
            </w:pPr>
          </w:p>
        </w:tc>
        <w:tc>
          <w:tcPr>
            <w:tcW w:w="6200" w:type="dxa"/>
            <w:vAlign w:val="bottom"/>
          </w:tcPr>
          <w:p>
            <w:pPr>
              <w:spacing w:after="0"/>
              <w:rPr>
                <w:sz w:val="20"/>
                <w:szCs w:val="20"/>
                <w:color w:val="auto"/>
              </w:rPr>
            </w:pPr>
            <w:r>
              <w:rPr>
                <w:rFonts w:ascii="Arial" w:cs="Arial" w:eastAsia="Arial" w:hAnsi="Arial"/>
                <w:sz w:val="20"/>
                <w:szCs w:val="20"/>
                <w:color w:val="auto"/>
              </w:rPr>
              <w:t>Southeast Group</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77,563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2,676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80,239</w:t>
            </w:r>
          </w:p>
        </w:tc>
        <w:tc>
          <w:tcPr>
            <w:tcW w:w="120" w:type="dxa"/>
            <w:vAlign w:val="bottom"/>
          </w:tcPr>
          <w:p>
            <w:pPr>
              <w:spacing w:after="0"/>
              <w:rPr>
                <w:sz w:val="20"/>
                <w:szCs w:val="20"/>
                <w:color w:val="auto"/>
              </w:rPr>
            </w:pPr>
          </w:p>
        </w:tc>
      </w:tr>
      <w:tr>
        <w:trPr>
          <w:trHeight w:val="241"/>
        </w:trPr>
        <w:tc>
          <w:tcPr>
            <w:tcW w:w="20" w:type="dxa"/>
            <w:vAlign w:val="bottom"/>
          </w:tcPr>
          <w:p>
            <w:pPr>
              <w:spacing w:after="0"/>
              <w:rPr>
                <w:sz w:val="20"/>
                <w:szCs w:val="20"/>
                <w:color w:val="auto"/>
              </w:rPr>
            </w:pPr>
          </w:p>
        </w:tc>
        <w:tc>
          <w:tcPr>
            <w:tcW w:w="6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West Group</w:t>
            </w:r>
          </w:p>
        </w:tc>
        <w:tc>
          <w:tcPr>
            <w:tcW w:w="18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442,983</w:t>
            </w:r>
          </w:p>
        </w:tc>
        <w:tc>
          <w:tcPr>
            <w:tcW w:w="10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30,739</w:t>
            </w:r>
          </w:p>
        </w:tc>
        <w:tc>
          <w:tcPr>
            <w:tcW w:w="120" w:type="dxa"/>
            <w:vAlign w:val="bottom"/>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473,722</w:t>
            </w:r>
          </w:p>
        </w:tc>
        <w:tc>
          <w:tcPr>
            <w:tcW w:w="120" w:type="dxa"/>
            <w:vAlign w:val="bottom"/>
            <w:shd w:val="clear" w:color="auto" w:fill="CFF0FC"/>
          </w:tcPr>
          <w:p>
            <w:pPr>
              <w:spacing w:after="0"/>
              <w:rPr>
                <w:sz w:val="20"/>
                <w:szCs w:val="20"/>
                <w:color w:val="auto"/>
              </w:rPr>
            </w:pPr>
          </w:p>
        </w:tc>
      </w:tr>
      <w:tr>
        <w:trPr>
          <w:trHeight w:val="234"/>
        </w:trPr>
        <w:tc>
          <w:tcPr>
            <w:tcW w:w="20" w:type="dxa"/>
            <w:vAlign w:val="bottom"/>
          </w:tcPr>
          <w:p>
            <w:pPr>
              <w:spacing w:after="0"/>
              <w:rPr>
                <w:sz w:val="20"/>
                <w:szCs w:val="20"/>
                <w:color w:val="auto"/>
              </w:rPr>
            </w:pPr>
          </w:p>
        </w:tc>
        <w:tc>
          <w:tcPr>
            <w:tcW w:w="6200" w:type="dxa"/>
            <w:vAlign w:val="bottom"/>
          </w:tcPr>
          <w:p>
            <w:pPr>
              <w:spacing w:after="0"/>
              <w:rPr>
                <w:sz w:val="20"/>
                <w:szCs w:val="20"/>
                <w:color w:val="auto"/>
              </w:rPr>
            </w:pPr>
            <w:r>
              <w:rPr>
                <w:rFonts w:ascii="Arial" w:cs="Arial" w:eastAsia="Arial" w:hAnsi="Arial"/>
                <w:sz w:val="20"/>
                <w:szCs w:val="20"/>
                <w:color w:val="auto"/>
              </w:rPr>
              <w:t>Total Building Materials Business</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688,436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44,306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732,742</w:t>
            </w:r>
          </w:p>
        </w:tc>
        <w:tc>
          <w:tcPr>
            <w:tcW w:w="120" w:type="dxa"/>
            <w:vAlign w:val="bottom"/>
          </w:tcPr>
          <w:p>
            <w:pPr>
              <w:spacing w:after="0"/>
              <w:rPr>
                <w:sz w:val="20"/>
                <w:szCs w:val="20"/>
                <w:color w:val="auto"/>
              </w:rPr>
            </w:pPr>
          </w:p>
        </w:tc>
      </w:tr>
      <w:tr>
        <w:trPr>
          <w:trHeight w:val="241"/>
        </w:trPr>
        <w:tc>
          <w:tcPr>
            <w:tcW w:w="20" w:type="dxa"/>
            <w:vAlign w:val="bottom"/>
          </w:tcPr>
          <w:p>
            <w:pPr>
              <w:spacing w:after="0"/>
              <w:rPr>
                <w:sz w:val="20"/>
                <w:szCs w:val="20"/>
                <w:color w:val="auto"/>
              </w:rPr>
            </w:pPr>
          </w:p>
        </w:tc>
        <w:tc>
          <w:tcPr>
            <w:tcW w:w="6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18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64,869</w:t>
            </w:r>
          </w:p>
        </w:tc>
        <w:tc>
          <w:tcPr>
            <w:tcW w:w="10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4,393</w:t>
            </w:r>
          </w:p>
        </w:tc>
        <w:tc>
          <w:tcPr>
            <w:tcW w:w="120" w:type="dxa"/>
            <w:vAlign w:val="bottom"/>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69,262</w:t>
            </w:r>
          </w:p>
        </w:tc>
        <w:tc>
          <w:tcPr>
            <w:tcW w:w="120" w:type="dxa"/>
            <w:vAlign w:val="bottom"/>
            <w:shd w:val="clear" w:color="auto" w:fill="CFF0FC"/>
          </w:tcPr>
          <w:p>
            <w:pPr>
              <w:spacing w:after="0"/>
              <w:rPr>
                <w:sz w:val="20"/>
                <w:szCs w:val="20"/>
                <w:color w:val="auto"/>
              </w:rPr>
            </w:pPr>
          </w:p>
        </w:tc>
      </w:tr>
      <w:tr>
        <w:trPr>
          <w:trHeight w:val="234"/>
        </w:trPr>
        <w:tc>
          <w:tcPr>
            <w:tcW w:w="20" w:type="dxa"/>
            <w:vAlign w:val="bottom"/>
          </w:tcPr>
          <w:p>
            <w:pPr>
              <w:spacing w:after="0"/>
              <w:rPr>
                <w:sz w:val="20"/>
                <w:szCs w:val="20"/>
                <w:color w:val="auto"/>
              </w:rPr>
            </w:pPr>
          </w:p>
        </w:tc>
        <w:tc>
          <w:tcPr>
            <w:tcW w:w="62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753,305</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48,699</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42"/>
              <w:spacing w:after="0"/>
              <w:rPr>
                <w:sz w:val="20"/>
                <w:szCs w:val="20"/>
                <w:color w:val="auto"/>
              </w:rPr>
            </w:pPr>
            <w:r>
              <w:rPr>
                <w:rFonts w:ascii="Arial" w:cs="Arial" w:eastAsia="Arial" w:hAnsi="Arial"/>
                <w:sz w:val="20"/>
                <w:szCs w:val="2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802,004</w:t>
            </w:r>
          </w:p>
        </w:tc>
        <w:tc>
          <w:tcPr>
            <w:tcW w:w="1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8"/>
        </w:trPr>
        <w:tc>
          <w:tcPr>
            <w:tcW w:w="2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gridSpan w:val="3"/>
          </w:tcPr>
          <w:p>
            <w:pPr>
              <w:jc w:val="center"/>
              <w:ind w:right="100"/>
              <w:spacing w:after="0"/>
              <w:rPr>
                <w:sz w:val="20"/>
                <w:szCs w:val="20"/>
                <w:color w:val="auto"/>
              </w:rPr>
            </w:pPr>
            <w:r>
              <w:rPr>
                <w:rFonts w:ascii="Arial" w:cs="Arial" w:eastAsia="Arial" w:hAnsi="Arial"/>
                <w:sz w:val="20"/>
                <w:szCs w:val="20"/>
                <w:color w:val="auto"/>
                <w:w w:val="89"/>
              </w:rPr>
              <w:t>Three-Months Ended</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44"/>
        </w:trPr>
        <w:tc>
          <w:tcPr>
            <w:tcW w:w="20" w:type="dxa"/>
            <w:vAlign w:val="bottom"/>
          </w:tcPr>
          <w:p>
            <w:pPr>
              <w:spacing w:after="0"/>
              <w:rPr>
                <w:sz w:val="21"/>
                <w:szCs w:val="21"/>
                <w:color w:val="auto"/>
              </w:rPr>
            </w:pPr>
          </w:p>
        </w:tc>
        <w:tc>
          <w:tcPr>
            <w:tcW w:w="6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20"/>
                <w:szCs w:val="20"/>
                <w:color w:val="auto"/>
                <w:w w:val="89"/>
              </w:rPr>
              <w:t>March 31, 2017</w:t>
            </w: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17"/>
        </w:trPr>
        <w:tc>
          <w:tcPr>
            <w:tcW w:w="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300"/>
              <w:spacing w:after="0" w:line="217" w:lineRule="exact"/>
              <w:rPr>
                <w:sz w:val="20"/>
                <w:szCs w:val="20"/>
                <w:color w:val="auto"/>
              </w:rPr>
            </w:pPr>
            <w:r>
              <w:rPr>
                <w:rFonts w:ascii="Arial" w:cs="Arial" w:eastAsia="Arial" w:hAnsi="Arial"/>
                <w:sz w:val="20"/>
                <w:szCs w:val="20"/>
                <w:color w:val="auto"/>
                <w:w w:val="86"/>
              </w:rPr>
              <w:t>Products and</w:t>
            </w: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4"/>
        </w:trPr>
        <w:tc>
          <w:tcPr>
            <w:tcW w:w="6220" w:type="dxa"/>
            <w:vAlign w:val="bottom"/>
            <w:gridSpan w:val="2"/>
          </w:tcPr>
          <w:p>
            <w:pPr>
              <w:spacing w:after="0"/>
              <w:rPr>
                <w:sz w:val="20"/>
                <w:szCs w:val="20"/>
                <w:color w:val="auto"/>
              </w:rPr>
            </w:pPr>
            <w:r>
              <w:rPr>
                <w:rFonts w:ascii="Arial" w:cs="Arial" w:eastAsia="Arial" w:hAnsi="Arial"/>
                <w:sz w:val="20"/>
                <w:szCs w:val="20"/>
                <w:i w:val="1"/>
                <w:iCs w:val="1"/>
                <w:color w:val="auto"/>
              </w:rPr>
              <w:t>(Dollars in Thousands)</w:t>
            </w:r>
          </w:p>
        </w:tc>
        <w:tc>
          <w:tcPr>
            <w:tcW w:w="180" w:type="dxa"/>
            <w:vAlign w:val="bottom"/>
          </w:tcPr>
          <w:p>
            <w:pPr>
              <w:spacing w:after="0"/>
              <w:rPr>
                <w:sz w:val="21"/>
                <w:szCs w:val="21"/>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20"/>
                <w:szCs w:val="20"/>
                <w:color w:val="auto"/>
                <w:w w:val="88"/>
              </w:rPr>
              <w:t>Services</w:t>
            </w:r>
          </w:p>
        </w:tc>
        <w:tc>
          <w:tcPr>
            <w:tcW w:w="180" w:type="dxa"/>
            <w:vAlign w:val="bottom"/>
          </w:tcPr>
          <w:p>
            <w:pPr>
              <w:spacing w:after="0"/>
              <w:rPr>
                <w:sz w:val="21"/>
                <w:szCs w:val="21"/>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20"/>
                <w:szCs w:val="20"/>
                <w:color w:val="auto"/>
                <w:w w:val="93"/>
              </w:rPr>
              <w:t>Freight</w:t>
            </w:r>
          </w:p>
        </w:tc>
        <w:tc>
          <w:tcPr>
            <w:tcW w:w="340" w:type="dxa"/>
            <w:vAlign w:val="bottom"/>
          </w:tcPr>
          <w:p>
            <w:pPr>
              <w:spacing w:after="0"/>
              <w:rPr>
                <w:sz w:val="21"/>
                <w:szCs w:val="21"/>
                <w:color w:val="auto"/>
              </w:rPr>
            </w:pPr>
          </w:p>
        </w:tc>
        <w:tc>
          <w:tcPr>
            <w:tcW w:w="1340" w:type="dxa"/>
            <w:vAlign w:val="bottom"/>
            <w:gridSpan w:val="2"/>
          </w:tcPr>
          <w:p>
            <w:pPr>
              <w:ind w:left="240"/>
              <w:spacing w:after="0"/>
              <w:rPr>
                <w:sz w:val="20"/>
                <w:szCs w:val="20"/>
                <w:color w:val="auto"/>
              </w:rPr>
            </w:pPr>
            <w:r>
              <w:rPr>
                <w:rFonts w:ascii="Arial" w:cs="Arial" w:eastAsia="Arial" w:hAnsi="Arial"/>
                <w:sz w:val="20"/>
                <w:szCs w:val="20"/>
                <w:color w:val="auto"/>
              </w:rPr>
              <w:t>Total</w:t>
            </w:r>
          </w:p>
        </w:tc>
      </w:tr>
      <w:tr>
        <w:trPr>
          <w:trHeight w:val="234"/>
        </w:trPr>
        <w:tc>
          <w:tcPr>
            <w:tcW w:w="20" w:type="dxa"/>
            <w:vAlign w:val="bottom"/>
          </w:tcPr>
          <w:p>
            <w:pPr>
              <w:spacing w:after="0"/>
              <w:rPr>
                <w:sz w:val="20"/>
                <w:szCs w:val="20"/>
                <w:color w:val="auto"/>
              </w:rPr>
            </w:pPr>
          </w:p>
        </w:tc>
        <w:tc>
          <w:tcPr>
            <w:tcW w:w="6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20"/>
                <w:szCs w:val="20"/>
                <w:color w:val="auto"/>
              </w:rPr>
              <w:t>Mid-America Group</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177,407</w:t>
            </w:r>
          </w:p>
        </w:tc>
        <w:tc>
          <w:tcPr>
            <w:tcW w:w="100" w:type="dxa"/>
            <w:vAlign w:val="bottom"/>
            <w:tcBorders>
              <w:top w:val="single" w:sz="8" w:color="CFF0FC"/>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11,612</w:t>
            </w:r>
          </w:p>
        </w:tc>
        <w:tc>
          <w:tcPr>
            <w:tcW w:w="120" w:type="dxa"/>
            <w:vAlign w:val="bottom"/>
            <w:tcBorders>
              <w:top w:val="single" w:sz="8" w:color="CFF0FC"/>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jc w:val="right"/>
              <w:ind w:right="142"/>
              <w:spacing w:after="0"/>
              <w:rPr>
                <w:sz w:val="20"/>
                <w:szCs w:val="20"/>
                <w:color w:val="auto"/>
              </w:rPr>
            </w:pPr>
            <w:r>
              <w:rPr>
                <w:rFonts w:ascii="Arial" w:cs="Arial" w:eastAsia="Arial" w:hAnsi="Arial"/>
                <w:sz w:val="20"/>
                <w:szCs w:val="20"/>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189,019</w:t>
            </w:r>
          </w:p>
        </w:tc>
        <w:tc>
          <w:tcPr>
            <w:tcW w:w="120" w:type="dxa"/>
            <w:vAlign w:val="bottom"/>
            <w:tcBorders>
              <w:top w:val="single" w:sz="8" w:color="CFF0FC"/>
            </w:tcBorders>
            <w:shd w:val="clear" w:color="auto" w:fill="CFF0FC"/>
          </w:tcPr>
          <w:p>
            <w:pPr>
              <w:spacing w:after="0"/>
              <w:rPr>
                <w:sz w:val="20"/>
                <w:szCs w:val="20"/>
                <w:color w:val="auto"/>
              </w:rPr>
            </w:pPr>
          </w:p>
        </w:tc>
      </w:tr>
      <w:tr>
        <w:trPr>
          <w:trHeight w:val="241"/>
        </w:trPr>
        <w:tc>
          <w:tcPr>
            <w:tcW w:w="20" w:type="dxa"/>
            <w:vAlign w:val="bottom"/>
          </w:tcPr>
          <w:p>
            <w:pPr>
              <w:spacing w:after="0"/>
              <w:rPr>
                <w:sz w:val="20"/>
                <w:szCs w:val="20"/>
                <w:color w:val="auto"/>
              </w:rPr>
            </w:pPr>
          </w:p>
        </w:tc>
        <w:tc>
          <w:tcPr>
            <w:tcW w:w="6200" w:type="dxa"/>
            <w:vAlign w:val="bottom"/>
          </w:tcPr>
          <w:p>
            <w:pPr>
              <w:spacing w:after="0"/>
              <w:rPr>
                <w:sz w:val="20"/>
                <w:szCs w:val="20"/>
                <w:color w:val="auto"/>
              </w:rPr>
            </w:pPr>
            <w:r>
              <w:rPr>
                <w:rFonts w:ascii="Arial" w:cs="Arial" w:eastAsia="Arial" w:hAnsi="Arial"/>
                <w:sz w:val="20"/>
                <w:szCs w:val="20"/>
                <w:color w:val="auto"/>
              </w:rPr>
              <w:t>Southeast Group</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86,726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3,556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90,282</w:t>
            </w:r>
          </w:p>
        </w:tc>
        <w:tc>
          <w:tcPr>
            <w:tcW w:w="120" w:type="dxa"/>
            <w:vAlign w:val="bottom"/>
          </w:tcPr>
          <w:p>
            <w:pPr>
              <w:spacing w:after="0"/>
              <w:rPr>
                <w:sz w:val="20"/>
                <w:szCs w:val="20"/>
                <w:color w:val="auto"/>
              </w:rPr>
            </w:pPr>
          </w:p>
        </w:tc>
      </w:tr>
      <w:tr>
        <w:trPr>
          <w:trHeight w:val="241"/>
        </w:trPr>
        <w:tc>
          <w:tcPr>
            <w:tcW w:w="20" w:type="dxa"/>
            <w:vAlign w:val="bottom"/>
          </w:tcPr>
          <w:p>
            <w:pPr>
              <w:spacing w:after="0"/>
              <w:rPr>
                <w:sz w:val="20"/>
                <w:szCs w:val="20"/>
                <w:color w:val="auto"/>
              </w:rPr>
            </w:pPr>
          </w:p>
        </w:tc>
        <w:tc>
          <w:tcPr>
            <w:tcW w:w="6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West Group</w:t>
            </w:r>
          </w:p>
        </w:tc>
        <w:tc>
          <w:tcPr>
            <w:tcW w:w="18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463,881</w:t>
            </w:r>
          </w:p>
        </w:tc>
        <w:tc>
          <w:tcPr>
            <w:tcW w:w="10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32,100</w:t>
            </w:r>
          </w:p>
        </w:tc>
        <w:tc>
          <w:tcPr>
            <w:tcW w:w="120" w:type="dxa"/>
            <w:vAlign w:val="bottom"/>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495,981</w:t>
            </w:r>
          </w:p>
        </w:tc>
        <w:tc>
          <w:tcPr>
            <w:tcW w:w="120" w:type="dxa"/>
            <w:vAlign w:val="bottom"/>
            <w:shd w:val="clear" w:color="auto" w:fill="CFF0FC"/>
          </w:tcPr>
          <w:p>
            <w:pPr>
              <w:spacing w:after="0"/>
              <w:rPr>
                <w:sz w:val="20"/>
                <w:szCs w:val="20"/>
                <w:color w:val="auto"/>
              </w:rPr>
            </w:pPr>
          </w:p>
        </w:tc>
      </w:tr>
      <w:tr>
        <w:trPr>
          <w:trHeight w:val="234"/>
        </w:trPr>
        <w:tc>
          <w:tcPr>
            <w:tcW w:w="20" w:type="dxa"/>
            <w:vAlign w:val="bottom"/>
          </w:tcPr>
          <w:p>
            <w:pPr>
              <w:spacing w:after="0"/>
              <w:rPr>
                <w:sz w:val="20"/>
                <w:szCs w:val="20"/>
                <w:color w:val="auto"/>
              </w:rPr>
            </w:pPr>
          </w:p>
        </w:tc>
        <w:tc>
          <w:tcPr>
            <w:tcW w:w="6200" w:type="dxa"/>
            <w:vAlign w:val="bottom"/>
          </w:tcPr>
          <w:p>
            <w:pPr>
              <w:spacing w:after="0"/>
              <w:rPr>
                <w:sz w:val="20"/>
                <w:szCs w:val="20"/>
                <w:color w:val="auto"/>
              </w:rPr>
            </w:pPr>
            <w:r>
              <w:rPr>
                <w:rFonts w:ascii="Arial" w:cs="Arial" w:eastAsia="Arial" w:hAnsi="Arial"/>
                <w:sz w:val="20"/>
                <w:szCs w:val="20"/>
                <w:color w:val="auto"/>
              </w:rPr>
              <w:t>Total Building Materials Business</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728,014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47,268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775,282</w:t>
            </w:r>
          </w:p>
        </w:tc>
        <w:tc>
          <w:tcPr>
            <w:tcW w:w="120" w:type="dxa"/>
            <w:vAlign w:val="bottom"/>
          </w:tcPr>
          <w:p>
            <w:pPr>
              <w:spacing w:after="0"/>
              <w:rPr>
                <w:sz w:val="20"/>
                <w:szCs w:val="20"/>
                <w:color w:val="auto"/>
              </w:rPr>
            </w:pPr>
          </w:p>
        </w:tc>
      </w:tr>
      <w:tr>
        <w:trPr>
          <w:trHeight w:val="241"/>
        </w:trPr>
        <w:tc>
          <w:tcPr>
            <w:tcW w:w="20" w:type="dxa"/>
            <w:vAlign w:val="bottom"/>
          </w:tcPr>
          <w:p>
            <w:pPr>
              <w:spacing w:after="0"/>
              <w:rPr>
                <w:sz w:val="20"/>
                <w:szCs w:val="20"/>
                <w:color w:val="auto"/>
              </w:rPr>
            </w:pPr>
          </w:p>
        </w:tc>
        <w:tc>
          <w:tcPr>
            <w:tcW w:w="6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18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64,302</w:t>
            </w:r>
          </w:p>
        </w:tc>
        <w:tc>
          <w:tcPr>
            <w:tcW w:w="10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4,275</w:t>
            </w:r>
          </w:p>
        </w:tc>
        <w:tc>
          <w:tcPr>
            <w:tcW w:w="120" w:type="dxa"/>
            <w:vAlign w:val="bottom"/>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68,577</w:t>
            </w:r>
          </w:p>
        </w:tc>
        <w:tc>
          <w:tcPr>
            <w:tcW w:w="120" w:type="dxa"/>
            <w:vAlign w:val="bottom"/>
            <w:shd w:val="clear" w:color="auto" w:fill="CFF0FC"/>
          </w:tcPr>
          <w:p>
            <w:pPr>
              <w:spacing w:after="0"/>
              <w:rPr>
                <w:sz w:val="20"/>
                <w:szCs w:val="20"/>
                <w:color w:val="auto"/>
              </w:rPr>
            </w:pPr>
          </w:p>
        </w:tc>
      </w:tr>
      <w:tr>
        <w:trPr>
          <w:trHeight w:val="234"/>
        </w:trPr>
        <w:tc>
          <w:tcPr>
            <w:tcW w:w="20" w:type="dxa"/>
            <w:vAlign w:val="bottom"/>
          </w:tcPr>
          <w:p>
            <w:pPr>
              <w:spacing w:after="0"/>
              <w:rPr>
                <w:sz w:val="20"/>
                <w:szCs w:val="20"/>
                <w:color w:val="auto"/>
              </w:rPr>
            </w:pPr>
          </w:p>
        </w:tc>
        <w:tc>
          <w:tcPr>
            <w:tcW w:w="62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792,316</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51,543</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42"/>
              <w:spacing w:after="0"/>
              <w:rPr>
                <w:sz w:val="20"/>
                <w:szCs w:val="20"/>
                <w:color w:val="auto"/>
              </w:rPr>
            </w:pPr>
            <w:r>
              <w:rPr>
                <w:rFonts w:ascii="Arial" w:cs="Arial" w:eastAsia="Arial" w:hAnsi="Arial"/>
                <w:sz w:val="20"/>
                <w:szCs w:val="2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843,859</w:t>
            </w:r>
          </w:p>
        </w:tc>
        <w:tc>
          <w:tcPr>
            <w:tcW w:w="1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380"/>
        <w:spacing w:after="0" w:line="257" w:lineRule="auto"/>
        <w:rPr>
          <w:sz w:val="20"/>
          <w:szCs w:val="20"/>
          <w:color w:val="auto"/>
        </w:rPr>
      </w:pPr>
      <w:r>
        <w:rPr>
          <w:rFonts w:ascii="Arial" w:cs="Arial" w:eastAsia="Arial" w:hAnsi="Arial"/>
          <w:sz w:val="20"/>
          <w:szCs w:val="20"/>
          <w:color w:val="auto"/>
        </w:rPr>
        <w:t>Service revenues, which includes paving operations located in Colorado, were $11,143,000 and $16,000,000 for the three-months ended March 31, 2018 and 2017, respectively.</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14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2018</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176" w:lineRule="exact"/>
        <w:rPr>
          <w:sz w:val="20"/>
          <w:szCs w:val="20"/>
          <w:color w:val="auto"/>
        </w:rPr>
      </w:pPr>
    </w:p>
    <w:p>
      <w:pPr>
        <w:ind w:left="480" w:hanging="473"/>
        <w:spacing w:after="0"/>
        <w:tabs>
          <w:tab w:leader="none" w:pos="48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Revenue Recognition (continued)</w:t>
      </w:r>
    </w:p>
    <w:p>
      <w:pPr>
        <w:spacing w:after="0" w:line="111" w:lineRule="exact"/>
        <w:rPr>
          <w:sz w:val="20"/>
          <w:szCs w:val="20"/>
          <w:color w:val="auto"/>
        </w:rPr>
      </w:pPr>
    </w:p>
    <w:p>
      <w:pPr>
        <w:jc w:val="both"/>
        <w:ind w:left="380"/>
        <w:spacing w:after="0" w:line="285" w:lineRule="auto"/>
        <w:rPr>
          <w:sz w:val="20"/>
          <w:szCs w:val="20"/>
          <w:color w:val="auto"/>
        </w:rPr>
      </w:pPr>
      <w:r>
        <w:rPr>
          <w:rFonts w:ascii="Arial" w:cs="Arial" w:eastAsia="Arial" w:hAnsi="Arial"/>
          <w:sz w:val="17"/>
          <w:szCs w:val="17"/>
          <w:b w:val="1"/>
          <w:bCs w:val="1"/>
          <w:i w:val="1"/>
          <w:iCs w:val="1"/>
          <w:color w:val="auto"/>
        </w:rPr>
        <w:t xml:space="preserve">Contract Balances. </w:t>
      </w:r>
      <w:r>
        <w:rPr>
          <w:rFonts w:ascii="Arial" w:cs="Arial" w:eastAsia="Arial" w:hAnsi="Arial"/>
          <w:sz w:val="17"/>
          <w:szCs w:val="17"/>
          <w:color w:val="auto"/>
        </w:rPr>
        <w:t>Costs in excess of billings relate to the conditional right to consideration for completed contractual performance and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contract assets on the consolidated balance sheets. Costs in excess of billings are reclassified to accounts receivable when the right to consideration becomes unconditional. Billings in excess of costs relate to customers invoiced in advance of contractual performance and are contract liabilities on the consolidated balance sheets. The following table presents information about the Company’s contract balances: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20" w:type="dxa"/>
            <w:vAlign w:val="bottom"/>
          </w:tcPr>
          <w:p>
            <w:pPr>
              <w:spacing w:after="0"/>
              <w:rPr>
                <w:sz w:val="23"/>
                <w:szCs w:val="23"/>
                <w:color w:val="auto"/>
              </w:rPr>
            </w:pPr>
          </w:p>
        </w:tc>
        <w:tc>
          <w:tcPr>
            <w:tcW w:w="412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1420" w:type="dxa"/>
            <w:vAlign w:val="bottom"/>
            <w:gridSpan w:val="2"/>
          </w:tcPr>
          <w:p>
            <w:pPr>
              <w:ind w:left="140"/>
              <w:spacing w:after="0"/>
              <w:rPr>
                <w:sz w:val="20"/>
                <w:szCs w:val="20"/>
                <w:color w:val="auto"/>
              </w:rPr>
            </w:pPr>
            <w:r>
              <w:rPr>
                <w:rFonts w:ascii="Arial" w:cs="Arial" w:eastAsia="Arial" w:hAnsi="Arial"/>
                <w:sz w:val="20"/>
                <w:szCs w:val="20"/>
                <w:color w:val="auto"/>
              </w:rPr>
              <w:t>March 31,</w:t>
            </w:r>
          </w:p>
        </w:tc>
        <w:tc>
          <w:tcPr>
            <w:tcW w:w="7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gridSpan w:val="2"/>
          </w:tcPr>
          <w:p>
            <w:pPr>
              <w:ind w:left="120"/>
              <w:spacing w:after="0"/>
              <w:rPr>
                <w:sz w:val="20"/>
                <w:szCs w:val="20"/>
                <w:color w:val="auto"/>
              </w:rPr>
            </w:pPr>
            <w:r>
              <w:rPr>
                <w:rFonts w:ascii="Arial" w:cs="Arial" w:eastAsia="Arial" w:hAnsi="Arial"/>
                <w:sz w:val="20"/>
                <w:szCs w:val="20"/>
                <w:color w:val="auto"/>
              </w:rPr>
              <w:t>March 31,</w:t>
            </w:r>
          </w:p>
        </w:tc>
      </w:tr>
      <w:tr>
        <w:trPr>
          <w:trHeight w:val="244"/>
        </w:trPr>
        <w:tc>
          <w:tcPr>
            <w:tcW w:w="4140" w:type="dxa"/>
            <w:vAlign w:val="bottom"/>
            <w:gridSpan w:val="2"/>
          </w:tcPr>
          <w:p>
            <w:pPr>
              <w:spacing w:after="0"/>
              <w:rPr>
                <w:sz w:val="20"/>
                <w:szCs w:val="20"/>
                <w:color w:val="auto"/>
              </w:rPr>
            </w:pPr>
            <w:r>
              <w:rPr>
                <w:rFonts w:ascii="Arial" w:cs="Arial" w:eastAsia="Arial" w:hAnsi="Arial"/>
                <w:sz w:val="20"/>
                <w:szCs w:val="20"/>
                <w:i w:val="1"/>
                <w:iCs w:val="1"/>
                <w:color w:val="auto"/>
              </w:rPr>
              <w:t>(Dollars in Thousands)</w:t>
            </w:r>
          </w:p>
        </w:tc>
        <w:tc>
          <w:tcPr>
            <w:tcW w:w="2320" w:type="dxa"/>
            <w:vAlign w:val="bottom"/>
          </w:tcPr>
          <w:p>
            <w:pPr>
              <w:spacing w:after="0"/>
              <w:rPr>
                <w:sz w:val="21"/>
                <w:szCs w:val="21"/>
                <w:color w:val="auto"/>
              </w:rPr>
            </w:pPr>
          </w:p>
        </w:tc>
        <w:tc>
          <w:tcPr>
            <w:tcW w:w="1320" w:type="dxa"/>
            <w:vAlign w:val="bottom"/>
          </w:tcPr>
          <w:p>
            <w:pPr>
              <w:jc w:val="right"/>
              <w:ind w:right="482"/>
              <w:spacing w:after="0"/>
              <w:rPr>
                <w:sz w:val="20"/>
                <w:szCs w:val="20"/>
                <w:color w:val="auto"/>
              </w:rPr>
            </w:pPr>
            <w:r>
              <w:rPr>
                <w:rFonts w:ascii="Arial" w:cs="Arial" w:eastAsia="Arial" w:hAnsi="Arial"/>
                <w:sz w:val="20"/>
                <w:szCs w:val="20"/>
                <w:color w:val="auto"/>
              </w:rPr>
              <w:t>2018</w:t>
            </w:r>
          </w:p>
        </w:tc>
        <w:tc>
          <w:tcPr>
            <w:tcW w:w="100" w:type="dxa"/>
            <w:vAlign w:val="bottom"/>
          </w:tcPr>
          <w:p>
            <w:pPr>
              <w:spacing w:after="0"/>
              <w:rPr>
                <w:sz w:val="21"/>
                <w:szCs w:val="21"/>
                <w:color w:val="auto"/>
              </w:rPr>
            </w:pPr>
          </w:p>
        </w:tc>
        <w:tc>
          <w:tcPr>
            <w:tcW w:w="1860" w:type="dxa"/>
            <w:vAlign w:val="bottom"/>
            <w:gridSpan w:val="3"/>
          </w:tcPr>
          <w:p>
            <w:pPr>
              <w:ind w:left="100"/>
              <w:spacing w:after="0"/>
              <w:rPr>
                <w:sz w:val="20"/>
                <w:szCs w:val="20"/>
                <w:color w:val="auto"/>
              </w:rPr>
            </w:pPr>
            <w:r>
              <w:rPr>
                <w:rFonts w:ascii="Arial" w:cs="Arial" w:eastAsia="Arial" w:hAnsi="Arial"/>
                <w:sz w:val="20"/>
                <w:szCs w:val="20"/>
                <w:color w:val="auto"/>
                <w:w w:val="99"/>
              </w:rPr>
              <w:t>December 31, 2017</w:t>
            </w:r>
          </w:p>
        </w:tc>
        <w:tc>
          <w:tcPr>
            <w:tcW w:w="240" w:type="dxa"/>
            <w:vAlign w:val="bottom"/>
          </w:tcPr>
          <w:p>
            <w:pPr>
              <w:spacing w:after="0"/>
              <w:rPr>
                <w:sz w:val="21"/>
                <w:szCs w:val="21"/>
                <w:color w:val="auto"/>
              </w:rPr>
            </w:pPr>
          </w:p>
        </w:tc>
        <w:tc>
          <w:tcPr>
            <w:tcW w:w="1320" w:type="dxa"/>
            <w:vAlign w:val="bottom"/>
          </w:tcPr>
          <w:p>
            <w:pPr>
              <w:jc w:val="right"/>
              <w:ind w:right="502"/>
              <w:spacing w:after="0"/>
              <w:rPr>
                <w:sz w:val="20"/>
                <w:szCs w:val="20"/>
                <w:color w:val="auto"/>
              </w:rPr>
            </w:pPr>
            <w:r>
              <w:rPr>
                <w:rFonts w:ascii="Arial" w:cs="Arial" w:eastAsia="Arial" w:hAnsi="Arial"/>
                <w:sz w:val="20"/>
                <w:szCs w:val="20"/>
                <w:color w:val="auto"/>
              </w:rPr>
              <w:t>2017</w:t>
            </w:r>
          </w:p>
        </w:tc>
        <w:tc>
          <w:tcPr>
            <w:tcW w:w="120" w:type="dxa"/>
            <w:vAlign w:val="bottom"/>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412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Costs in excess of billings</w:t>
            </w:r>
          </w:p>
        </w:tc>
        <w:tc>
          <w:tcPr>
            <w:tcW w:w="2320" w:type="dxa"/>
            <w:vAlign w:val="bottom"/>
            <w:tcBorders>
              <w:top w:val="single" w:sz="8" w:color="auto"/>
            </w:tcBorders>
          </w:tcPr>
          <w:p>
            <w:pPr>
              <w:jc w:val="right"/>
              <w:ind w:right="42"/>
              <w:spacing w:after="0"/>
              <w:rPr>
                <w:sz w:val="20"/>
                <w:szCs w:val="20"/>
                <w:color w:val="auto"/>
              </w:rPr>
            </w:pPr>
            <w:r>
              <w:rPr>
                <w:rFonts w:ascii="Arial" w:cs="Arial" w:eastAsia="Arial" w:hAnsi="Arial"/>
                <w:sz w:val="20"/>
                <w:szCs w:val="20"/>
                <w:color w:val="auto"/>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2,827</w:t>
            </w:r>
          </w:p>
        </w:tc>
        <w:tc>
          <w:tcPr>
            <w:tcW w:w="100" w:type="dxa"/>
            <w:vAlign w:val="bottom"/>
          </w:tcPr>
          <w:p>
            <w:pPr>
              <w:spacing w:after="0"/>
              <w:rPr>
                <w:sz w:val="20"/>
                <w:szCs w:val="20"/>
                <w:color w:val="auto"/>
              </w:rPr>
            </w:pPr>
          </w:p>
        </w:tc>
        <w:tc>
          <w:tcPr>
            <w:tcW w:w="700" w:type="dxa"/>
            <w:vAlign w:val="bottom"/>
            <w:tcBorders>
              <w:top w:val="single" w:sz="8" w:color="auto"/>
            </w:tcBorders>
          </w:tcPr>
          <w:p>
            <w:pPr>
              <w:jc w:val="right"/>
              <w:ind w:right="502"/>
              <w:spacing w:after="0"/>
              <w:rPr>
                <w:sz w:val="20"/>
                <w:szCs w:val="20"/>
                <w:color w:val="auto"/>
              </w:rPr>
            </w:pPr>
            <w:r>
              <w:rPr>
                <w:rFonts w:ascii="Arial" w:cs="Arial" w:eastAsia="Arial" w:hAnsi="Arial"/>
                <w:sz w:val="20"/>
                <w:szCs w:val="20"/>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1,310</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42"/>
              <w:spacing w:after="0"/>
              <w:rPr>
                <w:sz w:val="20"/>
                <w:szCs w:val="20"/>
                <w:color w:val="auto"/>
              </w:rPr>
            </w:pPr>
            <w:r>
              <w:rPr>
                <w:rFonts w:ascii="Arial" w:cs="Arial" w:eastAsia="Arial" w:hAnsi="Arial"/>
                <w:sz w:val="20"/>
                <w:szCs w:val="20"/>
                <w:color w:val="auto"/>
                <w:w w:val="71"/>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1,815</w:t>
            </w:r>
          </w:p>
        </w:tc>
        <w:tc>
          <w:tcPr>
            <w:tcW w:w="120" w:type="dxa"/>
            <w:vAlign w:val="bottom"/>
          </w:tcPr>
          <w:p>
            <w:pPr>
              <w:spacing w:after="0"/>
              <w:rPr>
                <w:sz w:val="20"/>
                <w:szCs w:val="20"/>
                <w:color w:val="auto"/>
              </w:rPr>
            </w:pPr>
          </w:p>
        </w:tc>
      </w:tr>
      <w:tr>
        <w:trPr>
          <w:trHeight w:val="241"/>
        </w:trPr>
        <w:tc>
          <w:tcPr>
            <w:tcW w:w="20" w:type="dxa"/>
            <w:vAlign w:val="bottom"/>
          </w:tcPr>
          <w:p>
            <w:pPr>
              <w:spacing w:after="0"/>
              <w:rPr>
                <w:sz w:val="20"/>
                <w:szCs w:val="20"/>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20"/>
                <w:szCs w:val="20"/>
                <w:color w:val="auto"/>
              </w:rPr>
              <w:t>Billings in excess of costs</w:t>
            </w:r>
          </w:p>
        </w:tc>
        <w:tc>
          <w:tcPr>
            <w:tcW w:w="232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6,136</w:t>
            </w: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502"/>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7,204</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5,953</w:t>
            </w:r>
          </w:p>
        </w:tc>
        <w:tc>
          <w:tcPr>
            <w:tcW w:w="120" w:type="dxa"/>
            <w:vAlign w:val="bottom"/>
            <w:shd w:val="clear" w:color="auto" w:fill="CFF0FC"/>
          </w:tcPr>
          <w:p>
            <w:pPr>
              <w:spacing w:after="0"/>
              <w:rPr>
                <w:sz w:val="20"/>
                <w:szCs w:val="20"/>
                <w:color w:val="auto"/>
              </w:rPr>
            </w:pPr>
          </w:p>
        </w:tc>
      </w:tr>
    </w:tbl>
    <w:p>
      <w:pPr>
        <w:spacing w:after="0" w:line="358" w:lineRule="exact"/>
        <w:rPr>
          <w:sz w:val="20"/>
          <w:szCs w:val="20"/>
          <w:color w:val="auto"/>
        </w:rPr>
      </w:pPr>
    </w:p>
    <w:p>
      <w:pPr>
        <w:jc w:val="both"/>
        <w:ind w:left="380"/>
        <w:spacing w:after="0" w:line="257" w:lineRule="auto"/>
        <w:rPr>
          <w:sz w:val="20"/>
          <w:szCs w:val="20"/>
          <w:color w:val="auto"/>
        </w:rPr>
      </w:pPr>
      <w:r>
        <w:rPr>
          <w:rFonts w:ascii="Arial" w:cs="Arial" w:eastAsia="Arial" w:hAnsi="Arial"/>
          <w:sz w:val="20"/>
          <w:szCs w:val="20"/>
          <w:color w:val="auto"/>
        </w:rPr>
        <w:t>Revenue recognized from beginning balance of contract liabilities for the three-months ended March 31, 2018 and 2017 were $4,199,000 and $3,835,000, respectively.</w:t>
      </w:r>
    </w:p>
    <w:p>
      <w:pPr>
        <w:spacing w:after="0" w:line="110" w:lineRule="exact"/>
        <w:rPr>
          <w:sz w:val="20"/>
          <w:szCs w:val="20"/>
          <w:color w:val="auto"/>
        </w:rPr>
      </w:pPr>
    </w:p>
    <w:p>
      <w:pPr>
        <w:jc w:val="both"/>
        <w:ind w:left="380"/>
        <w:spacing w:after="0" w:line="247" w:lineRule="auto"/>
        <w:rPr>
          <w:sz w:val="20"/>
          <w:szCs w:val="20"/>
          <w:color w:val="auto"/>
        </w:rPr>
      </w:pPr>
      <w:r>
        <w:rPr>
          <w:rFonts w:ascii="Arial" w:cs="Arial" w:eastAsia="Arial" w:hAnsi="Arial"/>
          <w:sz w:val="20"/>
          <w:szCs w:val="20"/>
          <w:color w:val="auto"/>
        </w:rPr>
        <w:t>Retainage represents amounts that have been billed to customers but payment withheld until final acceptance of the performance obligation by the customer. Included on the Company’s consolidated balance sheets, retainage was $4,824,000, $9,029,000 and $5,759,000 at March 31, 2018, December 31, 2017 and March 31, 2017, respectively.</w:t>
      </w:r>
    </w:p>
    <w:p>
      <w:pPr>
        <w:spacing w:after="0" w:line="106" w:lineRule="exact"/>
        <w:rPr>
          <w:sz w:val="20"/>
          <w:szCs w:val="20"/>
          <w:color w:val="auto"/>
        </w:rPr>
      </w:pPr>
    </w:p>
    <w:p>
      <w:pPr>
        <w:jc w:val="both"/>
        <w:ind w:left="380"/>
        <w:spacing w:after="0" w:line="295" w:lineRule="auto"/>
        <w:rPr>
          <w:sz w:val="20"/>
          <w:szCs w:val="20"/>
          <w:color w:val="auto"/>
        </w:rPr>
      </w:pPr>
      <w:r>
        <w:rPr>
          <w:rFonts w:ascii="Arial" w:cs="Arial" w:eastAsia="Arial" w:hAnsi="Arial"/>
          <w:sz w:val="17"/>
          <w:szCs w:val="17"/>
          <w:b w:val="1"/>
          <w:bCs w:val="1"/>
          <w:i w:val="1"/>
          <w:iCs w:val="1"/>
          <w:color w:val="auto"/>
        </w:rPr>
        <w:t xml:space="preserve">Warranties. </w:t>
      </w:r>
      <w:r>
        <w:rPr>
          <w:rFonts w:ascii="Arial" w:cs="Arial" w:eastAsia="Arial" w:hAnsi="Arial"/>
          <w:sz w:val="17"/>
          <w:szCs w:val="17"/>
          <w:color w:val="auto"/>
        </w:rPr>
        <w:t>The Company’s construction contracts contain warranty provisions generally for a period of nine months to one year after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project completion and cover materials, design or workmanship defects. Historically, the Company has not experienced material costs for warranties. The ready mixed concrete product line carries longer warranty periods, for which the Company has accrued an estimate of warranty cost based on experience with the type of work and any known risks relative to the project. In total, warranty costs were not material to the Company’s consolidated results of operations for the three-months ended March 31, 2018 and 2017.</w:t>
      </w:r>
    </w:p>
    <w:p>
      <w:pPr>
        <w:spacing w:after="0" w:line="43" w:lineRule="exact"/>
        <w:rPr>
          <w:sz w:val="20"/>
          <w:szCs w:val="20"/>
          <w:color w:val="auto"/>
        </w:rPr>
      </w:pPr>
    </w:p>
    <w:p>
      <w:pPr>
        <w:jc w:val="both"/>
        <w:ind w:left="380"/>
        <w:spacing w:after="0" w:line="266" w:lineRule="auto"/>
        <w:rPr>
          <w:sz w:val="20"/>
          <w:szCs w:val="20"/>
          <w:color w:val="auto"/>
        </w:rPr>
      </w:pPr>
      <w:r>
        <w:rPr>
          <w:rFonts w:ascii="Arial" w:cs="Arial" w:eastAsia="Arial" w:hAnsi="Arial"/>
          <w:sz w:val="19"/>
          <w:szCs w:val="19"/>
          <w:b w:val="1"/>
          <w:bCs w:val="1"/>
          <w:i w:val="1"/>
          <w:iCs w:val="1"/>
          <w:color w:val="auto"/>
        </w:rPr>
        <w:t xml:space="preserve">Policy Elections. </w:t>
      </w:r>
      <w:r>
        <w:rPr>
          <w:rFonts w:ascii="Arial" w:cs="Arial" w:eastAsia="Arial" w:hAnsi="Arial"/>
          <w:sz w:val="19"/>
          <w:szCs w:val="19"/>
          <w:color w:val="auto"/>
        </w:rPr>
        <w:t>When the Company arranges third party freight to deliver products to customers, the Company has elected the delivery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be a fulfillment activity rather than a separate performance obligation. Further, the Company acts as a principal in the delivery arrangements and the related revenues and costs are included in the consolidated statements of earnings.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760" w:type="dxa"/>
            <w:vAlign w:val="bottom"/>
          </w:tcPr>
          <w:p>
            <w:pPr>
              <w:spacing w:after="0"/>
              <w:rPr>
                <w:sz w:val="20"/>
                <w:szCs w:val="20"/>
                <w:color w:val="auto"/>
              </w:rPr>
            </w:pPr>
            <w:r>
              <w:rPr>
                <w:rFonts w:ascii="Arial" w:cs="Arial" w:eastAsia="Arial" w:hAnsi="Arial"/>
                <w:sz w:val="20"/>
                <w:szCs w:val="20"/>
                <w:b w:val="1"/>
                <w:bCs w:val="1"/>
                <w:color w:val="auto"/>
              </w:rPr>
              <w:t>3.  Inventories, Net</w:t>
            </w: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327"/>
        </w:trPr>
        <w:tc>
          <w:tcPr>
            <w:tcW w:w="6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182"/>
              <w:spacing w:after="0"/>
              <w:rPr>
                <w:sz w:val="20"/>
                <w:szCs w:val="20"/>
                <w:color w:val="auto"/>
              </w:rPr>
            </w:pPr>
            <w:r>
              <w:rPr>
                <w:rFonts w:ascii="Arial" w:cs="Arial" w:eastAsia="Arial" w:hAnsi="Arial"/>
                <w:sz w:val="20"/>
                <w:szCs w:val="20"/>
                <w:color w:val="auto"/>
                <w:w w:val="96"/>
              </w:rPr>
              <w:t>March 31,</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20"/>
                <w:szCs w:val="20"/>
                <w:color w:val="auto"/>
                <w:w w:val="87"/>
              </w:rPr>
              <w:t>December 31,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20"/>
                <w:szCs w:val="20"/>
                <w:color w:val="auto"/>
                <w:w w:val="98"/>
              </w:rPr>
              <w:t>March 31,</w:t>
            </w:r>
          </w:p>
        </w:tc>
      </w:tr>
      <w:tr>
        <w:trPr>
          <w:trHeight w:val="244"/>
        </w:trPr>
        <w:tc>
          <w:tcPr>
            <w:tcW w:w="67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82"/>
              <w:spacing w:after="0"/>
              <w:rPr>
                <w:sz w:val="20"/>
                <w:szCs w:val="20"/>
                <w:color w:val="auto"/>
              </w:rPr>
            </w:pPr>
            <w:r>
              <w:rPr>
                <w:rFonts w:ascii="Arial" w:cs="Arial" w:eastAsia="Arial" w:hAnsi="Arial"/>
                <w:sz w:val="20"/>
                <w:szCs w:val="20"/>
                <w:color w:val="auto"/>
              </w:rPr>
              <w:t>2018</w:t>
            </w:r>
          </w:p>
        </w:tc>
        <w:tc>
          <w:tcPr>
            <w:tcW w:w="2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22"/>
              <w:spacing w:after="0"/>
              <w:rPr>
                <w:sz w:val="20"/>
                <w:szCs w:val="20"/>
                <w:color w:val="auto"/>
              </w:rPr>
            </w:pPr>
            <w:r>
              <w:rPr>
                <w:rFonts w:ascii="Arial" w:cs="Arial" w:eastAsia="Arial" w:hAnsi="Arial"/>
                <w:sz w:val="20"/>
                <w:szCs w:val="20"/>
                <w:color w:val="auto"/>
                <w:w w:val="89"/>
              </w:rPr>
              <w:t>2017</w:t>
            </w:r>
          </w:p>
        </w:tc>
        <w:tc>
          <w:tcPr>
            <w:tcW w:w="2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02"/>
              <w:spacing w:after="0"/>
              <w:rPr>
                <w:sz w:val="20"/>
                <w:szCs w:val="20"/>
                <w:color w:val="auto"/>
              </w:rPr>
            </w:pPr>
            <w:r>
              <w:rPr>
                <w:rFonts w:ascii="Arial" w:cs="Arial" w:eastAsia="Arial" w:hAnsi="Arial"/>
                <w:sz w:val="20"/>
                <w:szCs w:val="20"/>
                <w:color w:val="auto"/>
              </w:rPr>
              <w:t>2017</w:t>
            </w:r>
          </w:p>
        </w:tc>
        <w:tc>
          <w:tcPr>
            <w:tcW w:w="100" w:type="dxa"/>
            <w:vAlign w:val="bottom"/>
          </w:tcPr>
          <w:p>
            <w:pPr>
              <w:spacing w:after="0"/>
              <w:rPr>
                <w:sz w:val="21"/>
                <w:szCs w:val="21"/>
                <w:color w:val="auto"/>
              </w:rPr>
            </w:pPr>
          </w:p>
        </w:tc>
      </w:tr>
      <w:tr>
        <w:trPr>
          <w:trHeight w:val="234"/>
        </w:trPr>
        <w:tc>
          <w:tcPr>
            <w:tcW w:w="6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60" w:type="dxa"/>
            <w:vAlign w:val="bottom"/>
            <w:gridSpan w:val="4"/>
          </w:tcPr>
          <w:p>
            <w:pPr>
              <w:jc w:val="center"/>
              <w:spacing w:after="0"/>
              <w:rPr>
                <w:sz w:val="20"/>
                <w:szCs w:val="20"/>
                <w:color w:val="auto"/>
              </w:rPr>
            </w:pPr>
            <w:r>
              <w:rPr>
                <w:rFonts w:ascii="Arial" w:cs="Arial" w:eastAsia="Arial" w:hAnsi="Arial"/>
                <w:sz w:val="20"/>
                <w:szCs w:val="20"/>
                <w:i w:val="1"/>
                <w:iCs w:val="1"/>
                <w:color w:val="auto"/>
                <w:w w:val="90"/>
              </w:rPr>
              <w:t>(Dollars in Thousands)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6760" w:type="dxa"/>
            <w:vAlign w:val="bottom"/>
            <w:shd w:val="clear" w:color="auto" w:fill="CFF0FC"/>
          </w:tcPr>
          <w:p>
            <w:pPr>
              <w:spacing w:after="0"/>
              <w:rPr>
                <w:sz w:val="20"/>
                <w:szCs w:val="20"/>
                <w:color w:val="auto"/>
              </w:rPr>
            </w:pPr>
            <w:r>
              <w:rPr>
                <w:rFonts w:ascii="Arial" w:cs="Arial" w:eastAsia="Arial" w:hAnsi="Arial"/>
                <w:sz w:val="20"/>
                <w:szCs w:val="20"/>
                <w:color w:val="auto"/>
              </w:rPr>
              <w:t>Finished products</w:t>
            </w:r>
          </w:p>
        </w:tc>
        <w:tc>
          <w:tcPr>
            <w:tcW w:w="18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563,315</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552,999</w:t>
            </w:r>
          </w:p>
        </w:tc>
        <w:tc>
          <w:tcPr>
            <w:tcW w:w="26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ind w:right="4"/>
              <w:spacing w:after="0"/>
              <w:rPr>
                <w:sz w:val="20"/>
                <w:szCs w:val="20"/>
                <w:color w:val="auto"/>
              </w:rPr>
            </w:pPr>
            <w:r>
              <w:rPr>
                <w:rFonts w:ascii="Arial" w:cs="Arial" w:eastAsia="Arial" w:hAnsi="Arial"/>
                <w:sz w:val="20"/>
                <w:szCs w:val="20"/>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495,793</w:t>
            </w:r>
          </w:p>
        </w:tc>
        <w:tc>
          <w:tcPr>
            <w:tcW w:w="100" w:type="dxa"/>
            <w:vAlign w:val="bottom"/>
            <w:shd w:val="clear" w:color="auto" w:fill="CFF0FC"/>
          </w:tcPr>
          <w:p>
            <w:pPr>
              <w:spacing w:after="0"/>
              <w:rPr>
                <w:sz w:val="20"/>
                <w:szCs w:val="20"/>
                <w:color w:val="auto"/>
              </w:rPr>
            </w:pPr>
          </w:p>
        </w:tc>
      </w:tr>
      <w:tr>
        <w:trPr>
          <w:trHeight w:val="241"/>
        </w:trPr>
        <w:tc>
          <w:tcPr>
            <w:tcW w:w="6760" w:type="dxa"/>
            <w:vAlign w:val="bottom"/>
          </w:tcPr>
          <w:p>
            <w:pPr>
              <w:spacing w:after="0"/>
              <w:rPr>
                <w:sz w:val="20"/>
                <w:szCs w:val="20"/>
                <w:color w:val="auto"/>
              </w:rPr>
            </w:pPr>
            <w:r>
              <w:rPr>
                <w:rFonts w:ascii="Arial" w:cs="Arial" w:eastAsia="Arial" w:hAnsi="Arial"/>
                <w:sz w:val="20"/>
                <w:szCs w:val="20"/>
                <w:color w:val="auto"/>
              </w:rPr>
              <w:t>Products in process and raw materials</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62,857</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62,761</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61,815</w:t>
            </w:r>
          </w:p>
        </w:tc>
        <w:tc>
          <w:tcPr>
            <w:tcW w:w="100" w:type="dxa"/>
            <w:vAlign w:val="bottom"/>
          </w:tcPr>
          <w:p>
            <w:pPr>
              <w:spacing w:after="0"/>
              <w:rPr>
                <w:sz w:val="20"/>
                <w:szCs w:val="20"/>
                <w:color w:val="auto"/>
              </w:rPr>
            </w:pPr>
          </w:p>
        </w:tc>
      </w:tr>
      <w:tr>
        <w:trPr>
          <w:trHeight w:val="241"/>
        </w:trPr>
        <w:tc>
          <w:tcPr>
            <w:tcW w:w="6760" w:type="dxa"/>
            <w:vAlign w:val="bottom"/>
            <w:shd w:val="clear" w:color="auto" w:fill="CFF0FC"/>
          </w:tcPr>
          <w:p>
            <w:pPr>
              <w:spacing w:after="0"/>
              <w:rPr>
                <w:sz w:val="20"/>
                <w:szCs w:val="20"/>
                <w:color w:val="auto"/>
              </w:rPr>
            </w:pPr>
            <w:r>
              <w:rPr>
                <w:rFonts w:ascii="Arial" w:cs="Arial" w:eastAsia="Arial" w:hAnsi="Arial"/>
                <w:sz w:val="20"/>
                <w:szCs w:val="20"/>
                <w:color w:val="auto"/>
              </w:rPr>
              <w:t>Supplies and expendable parts</w:t>
            </w:r>
          </w:p>
        </w:tc>
        <w:tc>
          <w:tcPr>
            <w:tcW w:w="18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128,754</w:t>
            </w:r>
          </w:p>
        </w:tc>
        <w:tc>
          <w:tcPr>
            <w:tcW w:w="26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128,792</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120,054</w:t>
            </w:r>
          </w:p>
        </w:tc>
        <w:tc>
          <w:tcPr>
            <w:tcW w:w="100" w:type="dxa"/>
            <w:vAlign w:val="bottom"/>
            <w:shd w:val="clear" w:color="auto" w:fill="CFF0FC"/>
          </w:tcPr>
          <w:p>
            <w:pPr>
              <w:spacing w:after="0"/>
              <w:rPr>
                <w:sz w:val="20"/>
                <w:szCs w:val="20"/>
                <w:color w:val="auto"/>
              </w:rPr>
            </w:pPr>
          </w:p>
        </w:tc>
      </w:tr>
      <w:tr>
        <w:trPr>
          <w:trHeight w:val="234"/>
        </w:trPr>
        <w:tc>
          <w:tcPr>
            <w:tcW w:w="6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754,926</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744,552</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677,662</w:t>
            </w:r>
          </w:p>
        </w:tc>
        <w:tc>
          <w:tcPr>
            <w:tcW w:w="100" w:type="dxa"/>
            <w:vAlign w:val="bottom"/>
          </w:tcPr>
          <w:p>
            <w:pPr>
              <w:spacing w:after="0"/>
              <w:rPr>
                <w:sz w:val="20"/>
                <w:szCs w:val="20"/>
                <w:color w:val="auto"/>
              </w:rPr>
            </w:pPr>
          </w:p>
        </w:tc>
      </w:tr>
      <w:tr>
        <w:trPr>
          <w:trHeight w:val="241"/>
        </w:trPr>
        <w:tc>
          <w:tcPr>
            <w:tcW w:w="6760" w:type="dxa"/>
            <w:vAlign w:val="bottom"/>
            <w:shd w:val="clear" w:color="auto" w:fill="CFF0FC"/>
          </w:tcPr>
          <w:p>
            <w:pPr>
              <w:spacing w:after="0"/>
              <w:rPr>
                <w:sz w:val="20"/>
                <w:szCs w:val="20"/>
                <w:color w:val="auto"/>
              </w:rPr>
            </w:pPr>
            <w:r>
              <w:rPr>
                <w:rFonts w:ascii="Arial" w:cs="Arial" w:eastAsia="Arial" w:hAnsi="Arial"/>
                <w:sz w:val="20"/>
                <w:szCs w:val="20"/>
                <w:color w:val="auto"/>
              </w:rPr>
              <w:t>Less: Allowances</w:t>
            </w:r>
          </w:p>
        </w:tc>
        <w:tc>
          <w:tcPr>
            <w:tcW w:w="18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02"/>
              <w:spacing w:after="0"/>
              <w:rPr>
                <w:sz w:val="20"/>
                <w:szCs w:val="20"/>
                <w:color w:val="auto"/>
              </w:rPr>
            </w:pPr>
            <w:r>
              <w:rPr>
                <w:rFonts w:ascii="Arial" w:cs="Arial" w:eastAsia="Arial" w:hAnsi="Arial"/>
                <w:sz w:val="20"/>
                <w:szCs w:val="20"/>
                <w:color w:val="auto"/>
              </w:rPr>
              <w:t>(148,132)</w:t>
            </w:r>
          </w:p>
        </w:tc>
        <w:tc>
          <w:tcPr>
            <w:tcW w:w="10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(143,961)</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(140,662)</w:t>
            </w:r>
          </w:p>
        </w:tc>
      </w:tr>
      <w:tr>
        <w:trPr>
          <w:trHeight w:val="234"/>
        </w:trPr>
        <w:tc>
          <w:tcPr>
            <w:tcW w:w="6760" w:type="dxa"/>
            <w:vAlign w:val="bottom"/>
          </w:tcPr>
          <w:p>
            <w:pPr>
              <w:spacing w:after="0"/>
              <w:rPr>
                <w:sz w:val="20"/>
                <w:szCs w:val="20"/>
                <w:color w:val="auto"/>
              </w:rPr>
            </w:pPr>
            <w:r>
              <w:rPr>
                <w:rFonts w:ascii="Arial" w:cs="Arial" w:eastAsia="Arial" w:hAnsi="Arial"/>
                <w:sz w:val="20"/>
                <w:szCs w:val="20"/>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606,794</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600,591</w:t>
            </w:r>
          </w:p>
        </w:tc>
        <w:tc>
          <w:tcPr>
            <w:tcW w:w="2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537,000</w:t>
            </w:r>
          </w:p>
        </w:tc>
        <w:tc>
          <w:tcPr>
            <w:tcW w:w="100" w:type="dxa"/>
            <w:vAlign w:val="bottom"/>
          </w:tcPr>
          <w:p>
            <w:pPr>
              <w:spacing w:after="0"/>
              <w:rPr>
                <w:sz w:val="20"/>
                <w:szCs w:val="20"/>
                <w:color w:val="auto"/>
              </w:rPr>
            </w:pPr>
          </w:p>
        </w:tc>
      </w:tr>
      <w:tr>
        <w:trPr>
          <w:trHeight w:val="20"/>
        </w:trPr>
        <w:tc>
          <w:tcPr>
            <w:tcW w:w="6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15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2018</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69" w:lineRule="exact"/>
        <w:rPr>
          <w:sz w:val="20"/>
          <w:szCs w:val="20"/>
          <w:color w:val="auto"/>
        </w:rPr>
      </w:pPr>
    </w:p>
    <w:p>
      <w:pPr>
        <w:ind w:left="380" w:hanging="373"/>
        <w:spacing w:after="0"/>
        <w:tabs>
          <w:tab w:leader="none" w:pos="38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Long-Term Debt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20"/>
                <w:szCs w:val="20"/>
                <w:color w:val="auto"/>
              </w:rPr>
              <w:t>March 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20"/>
                <w:szCs w:val="20"/>
                <w:color w:val="auto"/>
                <w:w w:val="87"/>
              </w:rPr>
              <w:t>December 31,</w:t>
            </w:r>
          </w:p>
        </w:tc>
        <w:tc>
          <w:tcPr>
            <w:tcW w:w="180" w:type="dxa"/>
            <w:vAlign w:val="bottom"/>
          </w:tcPr>
          <w:p>
            <w:pPr>
              <w:spacing w:after="0"/>
              <w:rPr>
                <w:sz w:val="20"/>
                <w:szCs w:val="20"/>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20"/>
                <w:szCs w:val="20"/>
                <w:color w:val="auto"/>
                <w:w w:val="96"/>
              </w:rPr>
              <w:t>March 31,</w:t>
            </w:r>
          </w:p>
        </w:tc>
        <w:tc>
          <w:tcPr>
            <w:tcW w:w="0" w:type="dxa"/>
            <w:vAlign w:val="bottom"/>
          </w:tcPr>
          <w:p>
            <w:pPr>
              <w:spacing w:after="0"/>
              <w:rPr>
                <w:sz w:val="1"/>
                <w:szCs w:val="1"/>
                <w:color w:val="auto"/>
              </w:rPr>
            </w:pPr>
          </w:p>
        </w:tc>
      </w:tr>
      <w:tr>
        <w:trPr>
          <w:trHeight w:val="244"/>
        </w:trPr>
        <w:tc>
          <w:tcPr>
            <w:tcW w:w="65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62"/>
              <w:spacing w:after="0"/>
              <w:rPr>
                <w:sz w:val="20"/>
                <w:szCs w:val="20"/>
                <w:color w:val="auto"/>
              </w:rPr>
            </w:pPr>
            <w:r>
              <w:rPr>
                <w:rFonts w:ascii="Arial" w:cs="Arial" w:eastAsia="Arial" w:hAnsi="Arial"/>
                <w:sz w:val="20"/>
                <w:szCs w:val="20"/>
                <w:color w:val="auto"/>
              </w:rPr>
              <w:t>2018</w:t>
            </w: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22"/>
              <w:spacing w:after="0"/>
              <w:rPr>
                <w:sz w:val="20"/>
                <w:szCs w:val="20"/>
                <w:color w:val="auto"/>
              </w:rPr>
            </w:pPr>
            <w:r>
              <w:rPr>
                <w:rFonts w:ascii="Arial" w:cs="Arial" w:eastAsia="Arial" w:hAnsi="Arial"/>
                <w:sz w:val="20"/>
                <w:szCs w:val="20"/>
                <w:color w:val="auto"/>
              </w:rPr>
              <w:t>2017</w:t>
            </w:r>
          </w:p>
        </w:tc>
        <w:tc>
          <w:tcPr>
            <w:tcW w:w="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82"/>
              <w:spacing w:after="0"/>
              <w:rPr>
                <w:sz w:val="20"/>
                <w:szCs w:val="20"/>
                <w:color w:val="auto"/>
              </w:rPr>
            </w:pPr>
            <w:r>
              <w:rPr>
                <w:rFonts w:ascii="Arial" w:cs="Arial" w:eastAsia="Arial" w:hAnsi="Arial"/>
                <w:sz w:val="20"/>
                <w:szCs w:val="20"/>
                <w:color w:val="auto"/>
              </w:rPr>
              <w:t>2017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40" w:type="dxa"/>
            <w:vAlign w:val="bottom"/>
            <w:gridSpan w:val="6"/>
          </w:tcPr>
          <w:p>
            <w:pPr>
              <w:jc w:val="right"/>
              <w:ind w:right="160"/>
              <w:spacing w:after="0"/>
              <w:rPr>
                <w:sz w:val="20"/>
                <w:szCs w:val="20"/>
                <w:color w:val="auto"/>
              </w:rPr>
            </w:pPr>
            <w:r>
              <w:rPr>
                <w:rFonts w:ascii="Arial" w:cs="Arial" w:eastAsia="Arial" w:hAnsi="Arial"/>
                <w:sz w:val="20"/>
                <w:szCs w:val="20"/>
                <w:i w:val="1"/>
                <w:iCs w:val="1"/>
                <w:color w:val="auto"/>
              </w:rPr>
              <w:t>(Dollars in Thousands)</w:t>
            </w: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520" w:type="dxa"/>
            <w:vAlign w:val="bottom"/>
            <w:shd w:val="clear" w:color="auto" w:fill="CFF0FC"/>
          </w:tcPr>
          <w:p>
            <w:pPr>
              <w:spacing w:after="0"/>
              <w:rPr>
                <w:sz w:val="20"/>
                <w:szCs w:val="20"/>
                <w:color w:val="auto"/>
              </w:rPr>
            </w:pPr>
            <w:r>
              <w:rPr>
                <w:rFonts w:ascii="Arial" w:cs="Arial" w:eastAsia="Arial" w:hAnsi="Arial"/>
                <w:sz w:val="20"/>
                <w:szCs w:val="20"/>
                <w:color w:val="auto"/>
              </w:rPr>
              <w:t>6.60% Senior Notes, due 2018</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299,967</w:t>
            </w:r>
          </w:p>
        </w:tc>
        <w:tc>
          <w:tcPr>
            <w:tcW w:w="16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299,871</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299,579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520" w:type="dxa"/>
            <w:vAlign w:val="bottom"/>
          </w:tcPr>
          <w:p>
            <w:pPr>
              <w:spacing w:after="0"/>
              <w:rPr>
                <w:sz w:val="20"/>
                <w:szCs w:val="20"/>
                <w:color w:val="auto"/>
              </w:rPr>
            </w:pPr>
            <w:r>
              <w:rPr>
                <w:rFonts w:ascii="Arial" w:cs="Arial" w:eastAsia="Arial" w:hAnsi="Arial"/>
                <w:sz w:val="20"/>
                <w:szCs w:val="20"/>
                <w:color w:val="auto"/>
              </w:rPr>
              <w:t>7% Debentures, due 2025</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124,203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124,180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124,112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520" w:type="dxa"/>
            <w:vAlign w:val="bottom"/>
            <w:shd w:val="clear" w:color="auto" w:fill="CFF0FC"/>
          </w:tcPr>
          <w:p>
            <w:pPr>
              <w:spacing w:after="0"/>
              <w:rPr>
                <w:sz w:val="20"/>
                <w:szCs w:val="20"/>
                <w:color w:val="auto"/>
              </w:rPr>
            </w:pPr>
            <w:r>
              <w:rPr>
                <w:rFonts w:ascii="Arial" w:cs="Arial" w:eastAsia="Arial" w:hAnsi="Arial"/>
                <w:sz w:val="20"/>
                <w:szCs w:val="20"/>
                <w:color w:val="auto"/>
              </w:rPr>
              <w:t>6.25% Senior Notes, due 2037</w:t>
            </w:r>
          </w:p>
        </w:tc>
        <w:tc>
          <w:tcPr>
            <w:tcW w:w="22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228,048</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228,033</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227,989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520" w:type="dxa"/>
            <w:vAlign w:val="bottom"/>
          </w:tcPr>
          <w:p>
            <w:pPr>
              <w:spacing w:after="0"/>
              <w:rPr>
                <w:sz w:val="20"/>
                <w:szCs w:val="20"/>
                <w:color w:val="auto"/>
              </w:rPr>
            </w:pPr>
            <w:r>
              <w:rPr>
                <w:rFonts w:ascii="Arial" w:cs="Arial" w:eastAsia="Arial" w:hAnsi="Arial"/>
                <w:sz w:val="20"/>
                <w:szCs w:val="20"/>
                <w:color w:val="auto"/>
              </w:rPr>
              <w:t>4.25% Senior Notes, due 2024</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395,959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395,814</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395,392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520" w:type="dxa"/>
            <w:vAlign w:val="bottom"/>
            <w:shd w:val="clear" w:color="auto" w:fill="CFF0FC"/>
          </w:tcPr>
          <w:p>
            <w:pPr>
              <w:spacing w:after="0"/>
              <w:rPr>
                <w:sz w:val="20"/>
                <w:szCs w:val="20"/>
                <w:color w:val="auto"/>
              </w:rPr>
            </w:pPr>
            <w:r>
              <w:rPr>
                <w:rFonts w:ascii="Arial" w:cs="Arial" w:eastAsia="Arial" w:hAnsi="Arial"/>
                <w:sz w:val="20"/>
                <w:szCs w:val="20"/>
                <w:color w:val="auto"/>
              </w:rPr>
              <w:t>4.250% Senior Notes, due 2047</w:t>
            </w:r>
          </w:p>
        </w:tc>
        <w:tc>
          <w:tcPr>
            <w:tcW w:w="22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591,416</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591,688</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1"/>
        </w:trPr>
        <w:tc>
          <w:tcPr>
            <w:tcW w:w="6520" w:type="dxa"/>
            <w:vAlign w:val="bottom"/>
          </w:tcPr>
          <w:p>
            <w:pPr>
              <w:spacing w:after="0"/>
              <w:rPr>
                <w:sz w:val="20"/>
                <w:szCs w:val="20"/>
                <w:color w:val="auto"/>
              </w:rPr>
            </w:pPr>
            <w:r>
              <w:rPr>
                <w:rFonts w:ascii="Arial" w:cs="Arial" w:eastAsia="Arial" w:hAnsi="Arial"/>
                <w:sz w:val="20"/>
                <w:szCs w:val="20"/>
                <w:color w:val="auto"/>
              </w:rPr>
              <w:t>3.500% Senior Notes, due 2027</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494,402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494,352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1"/>
        </w:trPr>
        <w:tc>
          <w:tcPr>
            <w:tcW w:w="6520" w:type="dxa"/>
            <w:vAlign w:val="bottom"/>
            <w:shd w:val="clear" w:color="auto" w:fill="CFF0FC"/>
          </w:tcPr>
          <w:p>
            <w:pPr>
              <w:spacing w:after="0"/>
              <w:rPr>
                <w:sz w:val="20"/>
                <w:szCs w:val="20"/>
                <w:color w:val="auto"/>
              </w:rPr>
            </w:pPr>
            <w:r>
              <w:rPr>
                <w:rFonts w:ascii="Arial" w:cs="Arial" w:eastAsia="Arial" w:hAnsi="Arial"/>
                <w:sz w:val="20"/>
                <w:szCs w:val="20"/>
                <w:color w:val="auto"/>
              </w:rPr>
              <w:t>3.450% Senior Notes, due 2027</w:t>
            </w:r>
          </w:p>
        </w:tc>
        <w:tc>
          <w:tcPr>
            <w:tcW w:w="22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296,705</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296,628</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5"/>
        </w:trPr>
        <w:tc>
          <w:tcPr>
            <w:tcW w:w="6520" w:type="dxa"/>
            <w:vAlign w:val="bottom"/>
          </w:tcPr>
          <w:p>
            <w:pPr>
              <w:spacing w:after="0" w:line="205" w:lineRule="exact"/>
              <w:rPr>
                <w:sz w:val="20"/>
                <w:szCs w:val="20"/>
                <w:color w:val="auto"/>
              </w:rPr>
            </w:pPr>
            <w:r>
              <w:rPr>
                <w:rFonts w:ascii="Arial" w:cs="Arial" w:eastAsia="Arial" w:hAnsi="Arial"/>
                <w:sz w:val="19"/>
                <w:szCs w:val="19"/>
                <w:color w:val="auto"/>
              </w:rPr>
              <w:t>Floating Rate Senior Notes, due 2019, interest rate of 2.70%</w:t>
            </w: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520" w:type="dxa"/>
            <w:vAlign w:val="bottom"/>
          </w:tcPr>
          <w:p>
            <w:pPr>
              <w:ind w:left="140"/>
              <w:spacing w:after="0" w:line="214" w:lineRule="exact"/>
              <w:rPr>
                <w:sz w:val="20"/>
                <w:szCs w:val="20"/>
                <w:color w:val="auto"/>
              </w:rPr>
            </w:pPr>
            <w:r>
              <w:rPr>
                <w:rFonts w:ascii="Arial" w:cs="Arial" w:eastAsia="Arial" w:hAnsi="Arial"/>
                <w:sz w:val="19"/>
                <w:szCs w:val="19"/>
                <w:color w:val="auto"/>
              </w:rPr>
              <w:t>and 2.13% at March 31, 2018 and December 31, 2017,</w:t>
            </w:r>
          </w:p>
        </w:tc>
        <w:tc>
          <w:tcPr>
            <w:tcW w:w="220" w:type="dxa"/>
            <w:vAlign w:val="bottom"/>
          </w:tcPr>
          <w:p>
            <w:pPr>
              <w:spacing w:after="0"/>
              <w:rPr>
                <w:sz w:val="18"/>
                <w:szCs w:val="18"/>
                <w:color w:val="auto"/>
              </w:rPr>
            </w:pPr>
          </w:p>
        </w:tc>
        <w:tc>
          <w:tcPr>
            <w:tcW w:w="1280" w:type="dxa"/>
            <w:vAlign w:val="bottom"/>
            <w:vMerge w:val="restart"/>
          </w:tcPr>
          <w:p>
            <w:pPr>
              <w:jc w:val="right"/>
              <w:spacing w:after="0"/>
              <w:rPr>
                <w:sz w:val="20"/>
                <w:szCs w:val="20"/>
                <w:color w:val="auto"/>
              </w:rPr>
            </w:pPr>
            <w:r>
              <w:rPr>
                <w:rFonts w:ascii="Arial" w:cs="Arial" w:eastAsia="Arial" w:hAnsi="Arial"/>
                <w:sz w:val="20"/>
                <w:szCs w:val="20"/>
                <w:color w:val="auto"/>
              </w:rPr>
              <w:t>298,704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vMerge w:val="restart"/>
          </w:tcPr>
          <w:p>
            <w:pPr>
              <w:jc w:val="right"/>
              <w:spacing w:after="0"/>
              <w:rPr>
                <w:sz w:val="20"/>
                <w:szCs w:val="20"/>
                <w:color w:val="auto"/>
              </w:rPr>
            </w:pPr>
            <w:r>
              <w:rPr>
                <w:rFonts w:ascii="Arial" w:cs="Arial" w:eastAsia="Arial" w:hAnsi="Arial"/>
                <w:sz w:val="20"/>
                <w:szCs w:val="20"/>
                <w:color w:val="auto"/>
              </w:rPr>
              <w:t>298,102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vMerge w:val="restart"/>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6"/>
        </w:trPr>
        <w:tc>
          <w:tcPr>
            <w:tcW w:w="6520" w:type="dxa"/>
            <w:vAlign w:val="bottom"/>
          </w:tcPr>
          <w:p>
            <w:pPr>
              <w:ind w:left="140"/>
              <w:spacing w:after="0"/>
              <w:rPr>
                <w:sz w:val="20"/>
                <w:szCs w:val="20"/>
                <w:color w:val="auto"/>
              </w:rPr>
            </w:pPr>
            <w:r>
              <w:rPr>
                <w:rFonts w:ascii="Arial" w:cs="Arial" w:eastAsia="Arial" w:hAnsi="Arial"/>
                <w:sz w:val="19"/>
                <w:szCs w:val="19"/>
                <w:color w:val="auto"/>
              </w:rPr>
              <w:t>respectively</w:t>
            </w:r>
          </w:p>
        </w:tc>
        <w:tc>
          <w:tcPr>
            <w:tcW w:w="22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652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Floating Rate Notes, due 2020, interest rate of 2.55% and 2.10%</w:t>
            </w: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520" w:type="dxa"/>
            <w:vAlign w:val="bottom"/>
            <w:shd w:val="clear" w:color="auto" w:fill="CFF0FC"/>
          </w:tcPr>
          <w:p>
            <w:pPr>
              <w:ind w:left="160"/>
              <w:spacing w:after="0"/>
              <w:rPr>
                <w:sz w:val="20"/>
                <w:szCs w:val="20"/>
                <w:color w:val="auto"/>
              </w:rPr>
            </w:pPr>
            <w:r>
              <w:rPr>
                <w:rFonts w:ascii="Arial" w:cs="Arial" w:eastAsia="Arial" w:hAnsi="Arial"/>
                <w:sz w:val="20"/>
                <w:szCs w:val="20"/>
                <w:color w:val="auto"/>
              </w:rPr>
              <w:t>at March 31, 2018 and December 31, 2017, respectively</w:t>
            </w: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298,408</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298,227</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4"/>
        </w:trPr>
        <w:tc>
          <w:tcPr>
            <w:tcW w:w="6520" w:type="dxa"/>
            <w:vAlign w:val="bottom"/>
          </w:tcPr>
          <w:p>
            <w:pPr>
              <w:spacing w:after="0" w:line="224" w:lineRule="exact"/>
              <w:rPr>
                <w:sz w:val="20"/>
                <w:szCs w:val="20"/>
                <w:color w:val="auto"/>
              </w:rPr>
            </w:pPr>
            <w:r>
              <w:rPr>
                <w:rFonts w:ascii="Arial" w:cs="Arial" w:eastAsia="Arial" w:hAnsi="Arial"/>
                <w:sz w:val="20"/>
                <w:szCs w:val="20"/>
                <w:color w:val="auto"/>
              </w:rPr>
              <w:t>Floating Rate Notes, due 2017, interest rate of 2.10% at</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520" w:type="dxa"/>
            <w:vAlign w:val="bottom"/>
          </w:tcPr>
          <w:p>
            <w:pPr>
              <w:ind w:left="160"/>
              <w:spacing w:after="0"/>
              <w:rPr>
                <w:sz w:val="20"/>
                <w:szCs w:val="20"/>
                <w:color w:val="auto"/>
              </w:rPr>
            </w:pPr>
            <w:r>
              <w:rPr>
                <w:rFonts w:ascii="Arial" w:cs="Arial" w:eastAsia="Arial" w:hAnsi="Arial"/>
                <w:sz w:val="20"/>
                <w:szCs w:val="20"/>
                <w:color w:val="auto"/>
              </w:rPr>
              <w:t>March 31, 2017</w:t>
            </w:r>
          </w:p>
        </w:tc>
        <w:tc>
          <w:tcPr>
            <w:tcW w:w="22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298,878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6520" w:type="dxa"/>
            <w:vAlign w:val="bottom"/>
            <w:shd w:val="clear" w:color="auto" w:fill="CFF0FC"/>
          </w:tcPr>
          <w:p>
            <w:pPr>
              <w:spacing w:after="0" w:line="205" w:lineRule="exact"/>
              <w:rPr>
                <w:sz w:val="20"/>
                <w:szCs w:val="20"/>
                <w:color w:val="auto"/>
              </w:rPr>
            </w:pPr>
            <w:r>
              <w:rPr>
                <w:rFonts w:ascii="Arial" w:cs="Arial" w:eastAsia="Arial" w:hAnsi="Arial"/>
                <w:sz w:val="19"/>
                <w:szCs w:val="19"/>
                <w:color w:val="auto"/>
              </w:rPr>
              <w:t>Revolving Facility, due 2022, interest rate of 1.89% at March 31,</w:t>
            </w:r>
          </w:p>
        </w:tc>
        <w:tc>
          <w:tcPr>
            <w:tcW w:w="220" w:type="dxa"/>
            <w:vAlign w:val="bottom"/>
            <w:shd w:val="clear" w:color="auto" w:fill="CFF0FC"/>
          </w:tcPr>
          <w:p>
            <w:pPr>
              <w:spacing w:after="0"/>
              <w:rPr>
                <w:sz w:val="17"/>
                <w:szCs w:val="17"/>
                <w:color w:val="auto"/>
              </w:rPr>
            </w:pPr>
          </w:p>
        </w:tc>
        <w:tc>
          <w:tcPr>
            <w:tcW w:w="144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20"/>
                <w:szCs w:val="20"/>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60" w:type="dxa"/>
            <w:vAlign w:val="bottom"/>
            <w:gridSpan w:val="2"/>
            <w:vMerge w:val="restart"/>
            <w:shd w:val="clear" w:color="auto" w:fill="CFF0FC"/>
          </w:tcPr>
          <w:p>
            <w:pPr>
              <w:jc w:val="right"/>
              <w:ind w:right="280"/>
              <w:spacing w:after="0"/>
              <w:rPr>
                <w:sz w:val="20"/>
                <w:szCs w:val="20"/>
                <w:color w:val="auto"/>
              </w:rPr>
            </w:pPr>
            <w:r>
              <w:rPr>
                <w:rFonts w:ascii="Arial" w:cs="Arial" w:eastAsia="Arial" w:hAnsi="Arial"/>
                <w:sz w:val="20"/>
                <w:szCs w:val="20"/>
                <w:color w:val="auto"/>
              </w:rPr>
              <w:t>—</w:t>
            </w:r>
          </w:p>
        </w:tc>
        <w:tc>
          <w:tcPr>
            <w:tcW w:w="180" w:type="dxa"/>
            <w:vAlign w:val="bottom"/>
            <w:shd w:val="clear" w:color="auto" w:fill="CFF0FC"/>
          </w:tcPr>
          <w:p>
            <w:pPr>
              <w:spacing w:after="0"/>
              <w:rPr>
                <w:sz w:val="17"/>
                <w:szCs w:val="17"/>
                <w:color w:val="auto"/>
              </w:rPr>
            </w:pP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20"/>
                <w:szCs w:val="20"/>
                <w:color w:val="auto"/>
              </w:rPr>
              <w:t>210,000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520" w:type="dxa"/>
            <w:vAlign w:val="bottom"/>
            <w:shd w:val="clear" w:color="auto" w:fill="CFF0FC"/>
          </w:tcPr>
          <w:p>
            <w:pPr>
              <w:ind w:left="140"/>
              <w:spacing w:after="0"/>
              <w:rPr>
                <w:sz w:val="20"/>
                <w:szCs w:val="20"/>
                <w:color w:val="auto"/>
              </w:rPr>
            </w:pPr>
            <w:r>
              <w:rPr>
                <w:rFonts w:ascii="Arial" w:cs="Arial" w:eastAsia="Arial" w:hAnsi="Arial"/>
                <w:sz w:val="19"/>
                <w:szCs w:val="19"/>
                <w:color w:val="auto"/>
              </w:rPr>
              <w:t>2017</w:t>
            </w:r>
          </w:p>
        </w:tc>
        <w:tc>
          <w:tcPr>
            <w:tcW w:w="220" w:type="dxa"/>
            <w:vAlign w:val="bottom"/>
            <w:shd w:val="clear" w:color="auto" w:fill="CFF0FC"/>
          </w:tcPr>
          <w:p>
            <w:pPr>
              <w:spacing w:after="0"/>
              <w:rPr>
                <w:sz w:val="20"/>
                <w:szCs w:val="20"/>
                <w:color w:val="auto"/>
              </w:rPr>
            </w:pPr>
          </w:p>
        </w:tc>
        <w:tc>
          <w:tcPr>
            <w:tcW w:w="1440" w:type="dxa"/>
            <w:vAlign w:val="bottom"/>
            <w:gridSpan w:val="2"/>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60" w:type="dxa"/>
            <w:vAlign w:val="bottom"/>
            <w:gridSpan w:val="2"/>
            <w:vMerge w:val="continue"/>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6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520" w:type="dxa"/>
            <w:vAlign w:val="bottom"/>
          </w:tcPr>
          <w:p>
            <w:pPr>
              <w:spacing w:after="0" w:line="205" w:lineRule="exact"/>
              <w:rPr>
                <w:sz w:val="20"/>
                <w:szCs w:val="20"/>
                <w:color w:val="auto"/>
              </w:rPr>
            </w:pPr>
            <w:r>
              <w:rPr>
                <w:rFonts w:ascii="Arial" w:cs="Arial" w:eastAsia="Arial" w:hAnsi="Arial"/>
                <w:sz w:val="19"/>
                <w:szCs w:val="19"/>
                <w:color w:val="auto"/>
              </w:rPr>
              <w:t>Trade Receivable Facility, interest rate of 1.51% at March 31,</w:t>
            </w:r>
          </w:p>
        </w:tc>
        <w:tc>
          <w:tcPr>
            <w:tcW w:w="220" w:type="dxa"/>
            <w:vAlign w:val="bottom"/>
          </w:tcPr>
          <w:p>
            <w:pPr>
              <w:spacing w:after="0"/>
              <w:rPr>
                <w:sz w:val="17"/>
                <w:szCs w:val="17"/>
                <w:color w:val="auto"/>
              </w:rPr>
            </w:pPr>
          </w:p>
        </w:tc>
        <w:tc>
          <w:tcPr>
            <w:tcW w:w="1440" w:type="dxa"/>
            <w:vAlign w:val="bottom"/>
            <w:gridSpan w:val="2"/>
            <w:vMerge w:val="restart"/>
          </w:tcPr>
          <w:p>
            <w:pPr>
              <w:jc w:val="right"/>
              <w:ind w:right="18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vMerge w:val="restart"/>
          </w:tcPr>
          <w:p>
            <w:pPr>
              <w:jc w:val="right"/>
              <w:ind w:right="28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Arial" w:cs="Arial" w:eastAsia="Arial" w:hAnsi="Arial"/>
                <w:sz w:val="20"/>
                <w:szCs w:val="20"/>
                <w:color w:val="auto"/>
              </w:rPr>
              <w:t>290,000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520" w:type="dxa"/>
            <w:vAlign w:val="bottom"/>
          </w:tcPr>
          <w:p>
            <w:pPr>
              <w:ind w:left="140"/>
              <w:spacing w:after="0"/>
              <w:rPr>
                <w:sz w:val="20"/>
                <w:szCs w:val="20"/>
                <w:color w:val="auto"/>
              </w:rPr>
            </w:pPr>
            <w:r>
              <w:rPr>
                <w:rFonts w:ascii="Arial" w:cs="Arial" w:eastAsia="Arial" w:hAnsi="Arial"/>
                <w:sz w:val="19"/>
                <w:szCs w:val="19"/>
                <w:color w:val="auto"/>
              </w:rPr>
              <w:t>2017</w:t>
            </w:r>
          </w:p>
        </w:tc>
        <w:tc>
          <w:tcPr>
            <w:tcW w:w="220" w:type="dxa"/>
            <w:vAlign w:val="bottom"/>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520" w:type="dxa"/>
            <w:vAlign w:val="bottom"/>
            <w:shd w:val="clear" w:color="auto" w:fill="CFF0FC"/>
          </w:tcPr>
          <w:p>
            <w:pPr>
              <w:spacing w:after="0"/>
              <w:rPr>
                <w:sz w:val="20"/>
                <w:szCs w:val="20"/>
                <w:color w:val="auto"/>
              </w:rPr>
            </w:pPr>
            <w:r>
              <w:rPr>
                <w:rFonts w:ascii="Arial" w:cs="Arial" w:eastAsia="Arial" w:hAnsi="Arial"/>
                <w:sz w:val="20"/>
                <w:szCs w:val="20"/>
                <w:color w:val="auto"/>
              </w:rPr>
              <w:t>Other notes</w:t>
            </w:r>
          </w:p>
        </w:tc>
        <w:tc>
          <w:tcPr>
            <w:tcW w:w="22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296</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308</w:t>
            </w:r>
          </w:p>
        </w:tc>
        <w:tc>
          <w:tcPr>
            <w:tcW w:w="26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344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520" w:type="dxa"/>
            <w:vAlign w:val="bottom"/>
          </w:tcPr>
          <w:p>
            <w:pPr>
              <w:spacing w:after="0"/>
              <w:rPr>
                <w:sz w:val="20"/>
                <w:szCs w:val="20"/>
                <w:color w:val="auto"/>
              </w:rPr>
            </w:pPr>
            <w:r>
              <w:rPr>
                <w:rFonts w:ascii="Arial" w:cs="Arial" w:eastAsia="Arial" w:hAnsi="Arial"/>
                <w:sz w:val="20"/>
                <w:szCs w:val="20"/>
                <w:color w:val="auto"/>
              </w:rPr>
              <w:t>Total debt</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3,028,108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3,027,203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1,846,294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520" w:type="dxa"/>
            <w:vAlign w:val="bottom"/>
            <w:shd w:val="clear" w:color="auto" w:fill="CFF0FC"/>
          </w:tcPr>
          <w:p>
            <w:pPr>
              <w:spacing w:after="0" w:line="205" w:lineRule="exact"/>
              <w:rPr>
                <w:sz w:val="20"/>
                <w:szCs w:val="20"/>
                <w:color w:val="auto"/>
              </w:rPr>
            </w:pPr>
            <w:r>
              <w:rPr>
                <w:rFonts w:ascii="Arial" w:cs="Arial" w:eastAsia="Arial" w:hAnsi="Arial"/>
                <w:sz w:val="19"/>
                <w:szCs w:val="19"/>
                <w:color w:val="auto"/>
              </w:rPr>
              <w:t>Less: Current maturities of long-term debt and short-term</w:t>
            </w:r>
          </w:p>
        </w:tc>
        <w:tc>
          <w:tcPr>
            <w:tcW w:w="220" w:type="dxa"/>
            <w:vAlign w:val="bottom"/>
            <w:shd w:val="clear" w:color="auto" w:fill="CFF0FC"/>
          </w:tcPr>
          <w:p>
            <w:pPr>
              <w:spacing w:after="0"/>
              <w:rPr>
                <w:sz w:val="17"/>
                <w:szCs w:val="17"/>
                <w:color w:val="auto"/>
              </w:rPr>
            </w:pPr>
          </w:p>
        </w:tc>
        <w:tc>
          <w:tcPr>
            <w:tcW w:w="144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20"/>
                <w:szCs w:val="20"/>
                <w:color w:val="auto"/>
              </w:rPr>
              <w:t>(300,006)</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20"/>
                <w:szCs w:val="20"/>
                <w:color w:val="auto"/>
              </w:rPr>
              <w:t>(299,909)</w:t>
            </w:r>
          </w:p>
        </w:tc>
        <w:tc>
          <w:tcPr>
            <w:tcW w:w="180" w:type="dxa"/>
            <w:vAlign w:val="bottom"/>
            <w:shd w:val="clear" w:color="auto" w:fill="CFF0FC"/>
          </w:tcPr>
          <w:p>
            <w:pPr>
              <w:spacing w:after="0"/>
              <w:rPr>
                <w:sz w:val="17"/>
                <w:szCs w:val="17"/>
                <w:color w:val="auto"/>
              </w:rPr>
            </w:pPr>
          </w:p>
        </w:tc>
        <w:tc>
          <w:tcPr>
            <w:tcW w:w="126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20"/>
                <w:szCs w:val="20"/>
                <w:color w:val="auto"/>
              </w:rPr>
              <w:t>(290,048)</w:t>
            </w:r>
          </w:p>
        </w:tc>
        <w:tc>
          <w:tcPr>
            <w:tcW w:w="0" w:type="dxa"/>
            <w:vAlign w:val="bottom"/>
          </w:tcPr>
          <w:p>
            <w:pPr>
              <w:spacing w:after="0"/>
              <w:rPr>
                <w:sz w:val="1"/>
                <w:szCs w:val="1"/>
                <w:color w:val="auto"/>
              </w:rPr>
            </w:pPr>
          </w:p>
        </w:tc>
      </w:tr>
      <w:tr>
        <w:trPr>
          <w:trHeight w:val="236"/>
        </w:trPr>
        <w:tc>
          <w:tcPr>
            <w:tcW w:w="6520" w:type="dxa"/>
            <w:vAlign w:val="bottom"/>
            <w:shd w:val="clear" w:color="auto" w:fill="CFF0FC"/>
          </w:tcPr>
          <w:p>
            <w:pPr>
              <w:ind w:left="140"/>
              <w:spacing w:after="0"/>
              <w:rPr>
                <w:sz w:val="20"/>
                <w:szCs w:val="20"/>
                <w:color w:val="auto"/>
              </w:rPr>
            </w:pPr>
            <w:r>
              <w:rPr>
                <w:rFonts w:ascii="Arial" w:cs="Arial" w:eastAsia="Arial" w:hAnsi="Arial"/>
                <w:sz w:val="19"/>
                <w:szCs w:val="19"/>
                <w:color w:val="auto"/>
              </w:rPr>
              <w:t>facilities</w:t>
            </w:r>
          </w:p>
        </w:tc>
        <w:tc>
          <w:tcPr>
            <w:tcW w:w="220" w:type="dxa"/>
            <w:vAlign w:val="bottom"/>
            <w:shd w:val="clear" w:color="auto" w:fill="CFF0FC"/>
          </w:tcPr>
          <w:p>
            <w:pPr>
              <w:spacing w:after="0"/>
              <w:rPr>
                <w:sz w:val="20"/>
                <w:szCs w:val="20"/>
                <w:color w:val="auto"/>
              </w:rPr>
            </w:pPr>
          </w:p>
        </w:tc>
        <w:tc>
          <w:tcPr>
            <w:tcW w:w="1440" w:type="dxa"/>
            <w:vAlign w:val="bottom"/>
            <w:gridSpan w:val="2"/>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60" w:type="dxa"/>
            <w:vAlign w:val="bottom"/>
            <w:gridSpan w:val="2"/>
            <w:vMerge w:val="continue"/>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6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520" w:type="dxa"/>
            <w:vAlign w:val="bottom"/>
          </w:tcPr>
          <w:p>
            <w:pPr>
              <w:spacing w:after="0"/>
              <w:rPr>
                <w:sz w:val="20"/>
                <w:szCs w:val="20"/>
                <w:color w:val="auto"/>
              </w:rPr>
            </w:pPr>
            <w:r>
              <w:rPr>
                <w:rFonts w:ascii="Arial" w:cs="Arial" w:eastAsia="Arial" w:hAnsi="Arial"/>
                <w:sz w:val="20"/>
                <w:szCs w:val="20"/>
                <w:color w:val="auto"/>
              </w:rPr>
              <w:t>Long-term debt</w:t>
            </w: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2,728,102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2,727,294</w:t>
            </w:r>
          </w:p>
        </w:tc>
        <w:tc>
          <w:tcPr>
            <w:tcW w:w="26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1,556,246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both"/>
        <w:ind w:left="380"/>
        <w:spacing w:after="0" w:line="286" w:lineRule="auto"/>
        <w:rPr>
          <w:sz w:val="20"/>
          <w:szCs w:val="20"/>
          <w:color w:val="auto"/>
        </w:rPr>
      </w:pPr>
      <w:r>
        <w:rPr>
          <w:rFonts w:ascii="Arial" w:cs="Arial" w:eastAsia="Arial" w:hAnsi="Arial"/>
          <w:sz w:val="17"/>
          <w:szCs w:val="17"/>
          <w:color w:val="auto"/>
        </w:rPr>
        <w:t>The Company, through a wholly-owned special-purpose subsidiary, has a $300,000,000 trade receivable securitization facility (the Trade Receivable Facility) that is scheduled to mature September 26, 2018. The Trade Receivable Facility, with SunTrust Bank, Regions Bank, PNC Bank, N.A., The Bank of Tokyo-Mitsubishi UFJ, LTD., New York Branch, and certain other lenders that may become a party to the facility from time to time, is backed by eligible trade receivables, as defined, and is limited to the lesser of the facility limit or the borrowing base, as defined, of $349,283,000, $338,784,000 and $362,693,000 at March 31, 2018, December 31, 2017 and March 31, 2017, respectively. These receivables are originated by the Company and then sold to the wholly-owned special-purpose subsidiary by the Company. The Company continues to be responsible for the servicing and administration of the receivables purchased by the wholly-owned special-purpose subsidiary. Borrowings under the Trade Receivable Facility bear interest at a rate equal to one-month London Inter-bank Offered Rate, or LIBOR, plus 0.725%, subject to change in the event that this rate no longer reflects the lender’s cost of lending. The Trade Receivable Facility contains a cross-default provision to the Company’s other debt agreements.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16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2018</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69" w:lineRule="exact"/>
        <w:rPr>
          <w:sz w:val="20"/>
          <w:szCs w:val="20"/>
          <w:color w:val="auto"/>
        </w:rPr>
      </w:pPr>
    </w:p>
    <w:p>
      <w:pPr>
        <w:ind w:left="380" w:hanging="373"/>
        <w:spacing w:after="0"/>
        <w:tabs>
          <w:tab w:leader="none" w:pos="38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Long-Term Debt (continued)</w:t>
      </w:r>
    </w:p>
    <w:p>
      <w:pPr>
        <w:spacing w:after="0" w:line="110" w:lineRule="exact"/>
        <w:rPr>
          <w:rFonts w:ascii="Arial" w:cs="Arial" w:eastAsia="Arial" w:hAnsi="Arial"/>
          <w:sz w:val="20"/>
          <w:szCs w:val="20"/>
          <w:b w:val="1"/>
          <w:bCs w:val="1"/>
          <w:color w:val="auto"/>
        </w:rPr>
      </w:pPr>
    </w:p>
    <w:p>
      <w:pPr>
        <w:jc w:val="both"/>
        <w:ind w:left="380"/>
        <w:spacing w:after="0" w:line="286" w:lineRule="auto"/>
        <w:rPr>
          <w:rFonts w:ascii="Arial" w:cs="Arial" w:eastAsia="Arial" w:hAnsi="Arial"/>
          <w:sz w:val="20"/>
          <w:szCs w:val="20"/>
          <w:b w:val="1"/>
          <w:bCs w:val="1"/>
          <w:color w:val="auto"/>
        </w:rPr>
      </w:pPr>
      <w:r>
        <w:rPr>
          <w:rFonts w:ascii="Arial" w:cs="Arial" w:eastAsia="Arial" w:hAnsi="Arial"/>
          <w:sz w:val="17"/>
          <w:szCs w:val="17"/>
          <w:color w:val="auto"/>
        </w:rPr>
        <w:t>The Company has a $700,000,000 five-year senior unsecured revolving facility (the Revolving Facility) with JPMorgan Chase Bank, N.A., as Administrative Agent, Branch Banking and Trust Company (BB&amp;T), Deutsche Bank Securities, Inc., SunTrust Bank and Wells Fargo Bank, N.A., as Co-Syndication Agents, and the lenders party thereto. The Revolving Facility requires the Company’s ratio of consolidated debt-to-consolidated earnings before interest, taxes, depreciation and amortization (EBITDA), as defined by the Revolving Facility, for the trailing-twelve months (the Ratio) to not exceed 3.50x as of the end of any fiscal quarter, provided that the Company may exclude from the Ratio debt incurred in connection with certain acquisitions during such quarter or the three preceding quarters so long as the Ratio calculated without such exclusion does not exceed 3.75x. Additionally, if no amounts are outstanding under both the Revolving Facility and the Trade Receivable Facility, consolidated debt, including debt for which the Company is a co-borrower, may be reduced by the Company’s unrestricted cash and cash equivalents in excess of $50,000,000, such reduction not to exceed $200,000,000, for purposes of the covenant calculation. The Company was in compliance with this Ratio at March 31, 2018.</w:t>
      </w:r>
    </w:p>
    <w:p>
      <w:pPr>
        <w:spacing w:after="0" w:line="52" w:lineRule="exact"/>
        <w:rPr>
          <w:rFonts w:ascii="Arial" w:cs="Arial" w:eastAsia="Arial" w:hAnsi="Arial"/>
          <w:sz w:val="20"/>
          <w:szCs w:val="20"/>
          <w:b w:val="1"/>
          <w:bCs w:val="1"/>
          <w:color w:val="auto"/>
        </w:rPr>
      </w:pPr>
    </w:p>
    <w:p>
      <w:pPr>
        <w:jc w:val="both"/>
        <w:ind w:left="380" w:right="20"/>
        <w:spacing w:after="0" w:line="247" w:lineRule="auto"/>
        <w:rPr>
          <w:rFonts w:ascii="Arial" w:cs="Arial" w:eastAsia="Arial" w:hAnsi="Arial"/>
          <w:sz w:val="20"/>
          <w:szCs w:val="20"/>
          <w:b w:val="1"/>
          <w:bCs w:val="1"/>
          <w:color w:val="auto"/>
        </w:rPr>
      </w:pPr>
      <w:r>
        <w:rPr>
          <w:rFonts w:ascii="Arial" w:cs="Arial" w:eastAsia="Arial" w:hAnsi="Arial"/>
          <w:sz w:val="20"/>
          <w:szCs w:val="20"/>
          <w:color w:val="auto"/>
        </w:rPr>
        <w:t>Available borrowings under the Revolving Facility are reduced by any outstanding letters of credit issued by the Company under the Revolving Facility. The Company had $2,301,000 of outstanding letters of credit issued under the Revolving Facility at March 31, 2018 and December 31, 2017 and $2,507,000 at March 31, 2017.</w:t>
      </w:r>
    </w:p>
    <w:p>
      <w:pPr>
        <w:spacing w:after="0" w:line="79" w:lineRule="exact"/>
        <w:rPr>
          <w:rFonts w:ascii="Arial" w:cs="Arial" w:eastAsia="Arial" w:hAnsi="Arial"/>
          <w:sz w:val="20"/>
          <w:szCs w:val="20"/>
          <w:b w:val="1"/>
          <w:bCs w:val="1"/>
          <w:color w:val="auto"/>
        </w:rPr>
      </w:pPr>
    </w:p>
    <w:p>
      <w:pPr>
        <w:jc w:val="both"/>
        <w:ind w:left="380"/>
        <w:spacing w:after="0" w:line="243" w:lineRule="auto"/>
        <w:rPr>
          <w:rFonts w:ascii="Arial" w:cs="Arial" w:eastAsia="Arial" w:hAnsi="Arial"/>
          <w:sz w:val="20"/>
          <w:szCs w:val="20"/>
          <w:b w:val="1"/>
          <w:bCs w:val="1"/>
          <w:color w:val="auto"/>
        </w:rPr>
      </w:pPr>
      <w:r>
        <w:rPr>
          <w:rFonts w:ascii="Arial" w:cs="Arial" w:eastAsia="Arial" w:hAnsi="Arial"/>
          <w:sz w:val="20"/>
          <w:szCs w:val="20"/>
          <w:color w:val="auto"/>
        </w:rPr>
        <w:t>Accumulated other comprehensive loss includes the unamortized value of terminated forward starting interest rate swap agreements. For the three-months ended March 31, 2018 and 2017, the Company recognized $347,000 and $356,000, respectively, as additional interest expense. The amortization of the terminated value of the forward starting interest rate swap agreements will be complete with the maturity of the related debt in April 2018.</w:t>
      </w:r>
    </w:p>
    <w:p>
      <w:pPr>
        <w:spacing w:after="0" w:line="186" w:lineRule="exact"/>
        <w:rPr>
          <w:rFonts w:ascii="Arial" w:cs="Arial" w:eastAsia="Arial" w:hAnsi="Arial"/>
          <w:sz w:val="20"/>
          <w:szCs w:val="20"/>
          <w:b w:val="1"/>
          <w:bCs w:val="1"/>
          <w:color w:val="auto"/>
        </w:rPr>
      </w:pPr>
    </w:p>
    <w:p>
      <w:pPr>
        <w:ind w:left="380" w:hanging="373"/>
        <w:spacing w:after="0"/>
        <w:tabs>
          <w:tab w:leader="none" w:pos="38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Financial Instruments</w:t>
      </w:r>
    </w:p>
    <w:p>
      <w:pPr>
        <w:spacing w:after="0" w:line="110" w:lineRule="exact"/>
        <w:rPr>
          <w:rFonts w:ascii="Arial" w:cs="Arial" w:eastAsia="Arial" w:hAnsi="Arial"/>
          <w:sz w:val="20"/>
          <w:szCs w:val="20"/>
          <w:b w:val="1"/>
          <w:bCs w:val="1"/>
          <w:color w:val="auto"/>
        </w:rPr>
      </w:pPr>
    </w:p>
    <w:p>
      <w:pPr>
        <w:ind w:left="380"/>
        <w:spacing w:after="0" w:line="257" w:lineRule="auto"/>
        <w:rPr>
          <w:rFonts w:ascii="Arial" w:cs="Arial" w:eastAsia="Arial" w:hAnsi="Arial"/>
          <w:sz w:val="20"/>
          <w:szCs w:val="20"/>
          <w:b w:val="1"/>
          <w:bCs w:val="1"/>
          <w:color w:val="auto"/>
        </w:rPr>
      </w:pPr>
      <w:r>
        <w:rPr>
          <w:rFonts w:ascii="Arial" w:cs="Arial" w:eastAsia="Arial" w:hAnsi="Arial"/>
          <w:sz w:val="20"/>
          <w:szCs w:val="20"/>
          <w:color w:val="auto"/>
        </w:rPr>
        <w:t>The Company’s financial instruments include cash equivalents, accounts receivable, notes receivable, bank overdrafts, accounts payable, publicly-registered long-term notes, debentures and other long-term debt.</w:t>
      </w:r>
    </w:p>
    <w:p>
      <w:pPr>
        <w:spacing w:after="0" w:line="69" w:lineRule="exact"/>
        <w:rPr>
          <w:rFonts w:ascii="Arial" w:cs="Arial" w:eastAsia="Arial" w:hAnsi="Arial"/>
          <w:sz w:val="20"/>
          <w:szCs w:val="20"/>
          <w:b w:val="1"/>
          <w:bCs w:val="1"/>
          <w:color w:val="auto"/>
        </w:rPr>
      </w:pPr>
    </w:p>
    <w:p>
      <w:pPr>
        <w:jc w:val="both"/>
        <w:ind w:left="380"/>
        <w:spacing w:after="0" w:line="247" w:lineRule="auto"/>
        <w:rPr>
          <w:rFonts w:ascii="Arial" w:cs="Arial" w:eastAsia="Arial" w:hAnsi="Arial"/>
          <w:sz w:val="20"/>
          <w:szCs w:val="20"/>
          <w:b w:val="1"/>
          <w:bCs w:val="1"/>
          <w:color w:val="auto"/>
        </w:rPr>
      </w:pPr>
      <w:r>
        <w:rPr>
          <w:rFonts w:ascii="Arial" w:cs="Arial" w:eastAsia="Arial" w:hAnsi="Arial"/>
          <w:sz w:val="20"/>
          <w:szCs w:val="20"/>
          <w:color w:val="auto"/>
        </w:rPr>
        <w:t>Cash equivalents are placed primarily in money market funds, money market demand deposit accounts and Eurodollar time deposits. The Company’s cash equivalents have original maturities of less than three months. Due to the short maturity of these investments, they are carried on the consolidated balance sheets at cost, which approximates fair value.</w:t>
      </w:r>
    </w:p>
    <w:p>
      <w:pPr>
        <w:spacing w:after="0" w:line="79" w:lineRule="exact"/>
        <w:rPr>
          <w:rFonts w:ascii="Arial" w:cs="Arial" w:eastAsia="Arial" w:hAnsi="Arial"/>
          <w:sz w:val="20"/>
          <w:szCs w:val="20"/>
          <w:b w:val="1"/>
          <w:bCs w:val="1"/>
          <w:color w:val="auto"/>
        </w:rPr>
      </w:pPr>
    </w:p>
    <w:p>
      <w:pPr>
        <w:jc w:val="both"/>
        <w:ind w:left="380"/>
        <w:spacing w:after="0" w:line="243" w:lineRule="auto"/>
        <w:rPr>
          <w:rFonts w:ascii="Arial" w:cs="Arial" w:eastAsia="Arial" w:hAnsi="Arial"/>
          <w:sz w:val="20"/>
          <w:szCs w:val="20"/>
          <w:b w:val="1"/>
          <w:bCs w:val="1"/>
          <w:color w:val="auto"/>
        </w:rPr>
      </w:pPr>
      <w:r>
        <w:rPr>
          <w:rFonts w:ascii="Arial" w:cs="Arial" w:eastAsia="Arial" w:hAnsi="Arial"/>
          <w:sz w:val="20"/>
          <w:szCs w:val="20"/>
          <w:color w:val="auto"/>
        </w:rPr>
        <w:t>Accounts receivable are due from a large number of customers, primarily in the construction industry, and are dispersed across wide geographic and economic regions. However, accounts receivable are more heavily concentrated in certain states (namely, Texas, Colorado, North Carolina, Iowa and Georgia). The estimated fair values of accounts receivable approximate their carrying amounts due to the short-term nature of the receivables.</w:t>
      </w:r>
    </w:p>
    <w:p>
      <w:pPr>
        <w:spacing w:after="0" w:line="85" w:lineRule="exact"/>
        <w:rPr>
          <w:rFonts w:ascii="Arial" w:cs="Arial" w:eastAsia="Arial" w:hAnsi="Arial"/>
          <w:sz w:val="20"/>
          <w:szCs w:val="20"/>
          <w:b w:val="1"/>
          <w:bCs w:val="1"/>
          <w:color w:val="auto"/>
        </w:rPr>
      </w:pPr>
    </w:p>
    <w:p>
      <w:pPr>
        <w:ind w:left="380"/>
        <w:spacing w:after="0" w:line="257" w:lineRule="auto"/>
        <w:rPr>
          <w:rFonts w:ascii="Arial" w:cs="Arial" w:eastAsia="Arial" w:hAnsi="Arial"/>
          <w:sz w:val="20"/>
          <w:szCs w:val="20"/>
          <w:b w:val="1"/>
          <w:bCs w:val="1"/>
          <w:color w:val="auto"/>
        </w:rPr>
      </w:pPr>
      <w:r>
        <w:rPr>
          <w:rFonts w:ascii="Arial" w:cs="Arial" w:eastAsia="Arial" w:hAnsi="Arial"/>
          <w:sz w:val="20"/>
          <w:szCs w:val="20"/>
          <w:color w:val="auto"/>
        </w:rPr>
        <w:t>Notes receivable are not publicly traded. Management estimates that the fair value of notes receivable approximates the carrying amount due to the short-term nature of the receivables.</w:t>
      </w:r>
    </w:p>
    <w:p>
      <w:pPr>
        <w:spacing w:after="0" w:line="69" w:lineRule="exact"/>
        <w:rPr>
          <w:rFonts w:ascii="Arial" w:cs="Arial" w:eastAsia="Arial" w:hAnsi="Arial"/>
          <w:sz w:val="20"/>
          <w:szCs w:val="20"/>
          <w:b w:val="1"/>
          <w:bCs w:val="1"/>
          <w:color w:val="auto"/>
        </w:rPr>
      </w:pPr>
    </w:p>
    <w:p>
      <w:pPr>
        <w:ind w:left="380"/>
        <w:spacing w:after="0" w:line="283" w:lineRule="auto"/>
        <w:rPr>
          <w:rFonts w:ascii="Arial" w:cs="Arial" w:eastAsia="Arial" w:hAnsi="Arial"/>
          <w:sz w:val="20"/>
          <w:szCs w:val="20"/>
          <w:b w:val="1"/>
          <w:bCs w:val="1"/>
          <w:color w:val="auto"/>
        </w:rPr>
      </w:pPr>
      <w:r>
        <w:rPr>
          <w:rFonts w:ascii="Arial" w:cs="Arial" w:eastAsia="Arial" w:hAnsi="Arial"/>
          <w:sz w:val="19"/>
          <w:szCs w:val="19"/>
          <w:color w:val="auto"/>
        </w:rPr>
        <w:t>Bank overdrafts, when applicable, represent amounts to be funded to financial institutions for checks that have cleared the bank. The estimated fair value of bank overdrafts approximates its carrying value due to the short-term nature of the overdraft.</w:t>
      </w:r>
    </w:p>
    <w:p>
      <w:pPr>
        <w:spacing w:after="0" w:line="46" w:lineRule="exact"/>
        <w:rPr>
          <w:rFonts w:ascii="Arial" w:cs="Arial" w:eastAsia="Arial" w:hAnsi="Arial"/>
          <w:sz w:val="20"/>
          <w:szCs w:val="20"/>
          <w:b w:val="1"/>
          <w:bCs w:val="1"/>
          <w:color w:val="auto"/>
        </w:rPr>
      </w:pPr>
    </w:p>
    <w:p>
      <w:pPr>
        <w:ind w:left="380"/>
        <w:spacing w:after="0" w:line="257" w:lineRule="auto"/>
        <w:rPr>
          <w:rFonts w:ascii="Arial" w:cs="Arial" w:eastAsia="Arial" w:hAnsi="Arial"/>
          <w:sz w:val="20"/>
          <w:szCs w:val="20"/>
          <w:b w:val="1"/>
          <w:bCs w:val="1"/>
          <w:color w:val="auto"/>
        </w:rPr>
      </w:pPr>
      <w:r>
        <w:rPr>
          <w:rFonts w:ascii="Arial" w:cs="Arial" w:eastAsia="Arial" w:hAnsi="Arial"/>
          <w:sz w:val="20"/>
          <w:szCs w:val="20"/>
          <w:color w:val="auto"/>
        </w:rPr>
        <w:t>Accounts payable represent amounts owed to suppliers and vendors. The estimated fair value of accounts payable approximates its carrying amount due to the short-term nature of the payables.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17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2018</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83" w:lineRule="exact"/>
        <w:rPr>
          <w:sz w:val="20"/>
          <w:szCs w:val="20"/>
          <w:color w:val="auto"/>
        </w:rPr>
      </w:pPr>
    </w:p>
    <w:p>
      <w:pPr>
        <w:ind w:left="380" w:hanging="373"/>
        <w:spacing w:after="0"/>
        <w:tabs>
          <w:tab w:leader="none" w:pos="38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Financial Instruments (continued)</w:t>
      </w:r>
    </w:p>
    <w:p>
      <w:pPr>
        <w:spacing w:after="0" w:line="110" w:lineRule="exact"/>
        <w:rPr>
          <w:rFonts w:ascii="Arial" w:cs="Arial" w:eastAsia="Arial" w:hAnsi="Arial"/>
          <w:sz w:val="20"/>
          <w:szCs w:val="20"/>
          <w:b w:val="1"/>
          <w:bCs w:val="1"/>
          <w:color w:val="auto"/>
        </w:rPr>
      </w:pPr>
    </w:p>
    <w:p>
      <w:pPr>
        <w:jc w:val="both"/>
        <w:ind w:left="380"/>
        <w:spacing w:after="0" w:line="256" w:lineRule="auto"/>
        <w:rPr>
          <w:rFonts w:ascii="Arial" w:cs="Arial" w:eastAsia="Arial" w:hAnsi="Arial"/>
          <w:sz w:val="20"/>
          <w:szCs w:val="20"/>
          <w:b w:val="1"/>
          <w:bCs w:val="1"/>
          <w:color w:val="auto"/>
        </w:rPr>
      </w:pPr>
      <w:r>
        <w:rPr>
          <w:rFonts w:ascii="Arial" w:cs="Arial" w:eastAsia="Arial" w:hAnsi="Arial"/>
          <w:sz w:val="19"/>
          <w:szCs w:val="19"/>
          <w:color w:val="auto"/>
        </w:rPr>
        <w:t>The carrying values and fair values of the Company’s long-term debt were $3,028,108,000 and $3,037,069,000, respectively, at March 31, 2018; $3,027,203,000 and $3,144,902,000, respectively, at December 31, 2017; and $1,846,294,000 and $1,937,310,000, respectively, at March 31, 2017. The estimated fair value of the publicly-registered long-term notes was estimated based on Level 1 of the fair value hierarchy using quoted market prices. The estimated fair value of other borrowings, which primarily represents variable-rate debt, was based on Level 2 of the fair value hierarchy using quoted market prices for similar debt instruments, and approximates their carrying amounts as the interest rates reset periodically.</w:t>
      </w:r>
    </w:p>
    <w:p>
      <w:pPr>
        <w:spacing w:after="0" w:line="174" w:lineRule="exact"/>
        <w:rPr>
          <w:rFonts w:ascii="Arial" w:cs="Arial" w:eastAsia="Arial" w:hAnsi="Arial"/>
          <w:sz w:val="20"/>
          <w:szCs w:val="20"/>
          <w:b w:val="1"/>
          <w:bCs w:val="1"/>
          <w:color w:val="auto"/>
        </w:rPr>
      </w:pPr>
    </w:p>
    <w:p>
      <w:pPr>
        <w:ind w:left="380" w:hanging="373"/>
        <w:spacing w:after="0"/>
        <w:tabs>
          <w:tab w:leader="none" w:pos="38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Income Taxes</w:t>
      </w:r>
    </w:p>
    <w:p>
      <w:pPr>
        <w:spacing w:after="0" w:line="110" w:lineRule="exact"/>
        <w:rPr>
          <w:rFonts w:ascii="Arial" w:cs="Arial" w:eastAsia="Arial" w:hAnsi="Arial"/>
          <w:sz w:val="20"/>
          <w:szCs w:val="20"/>
          <w:b w:val="1"/>
          <w:bCs w:val="1"/>
          <w:color w:val="auto"/>
        </w:rPr>
      </w:pPr>
    </w:p>
    <w:p>
      <w:pPr>
        <w:jc w:val="both"/>
        <w:ind w:left="380"/>
        <w:spacing w:after="0" w:line="254" w:lineRule="auto"/>
        <w:rPr>
          <w:rFonts w:ascii="Arial" w:cs="Arial" w:eastAsia="Arial" w:hAnsi="Arial"/>
          <w:sz w:val="20"/>
          <w:szCs w:val="20"/>
          <w:b w:val="1"/>
          <w:bCs w:val="1"/>
          <w:color w:val="auto"/>
        </w:rPr>
      </w:pPr>
      <w:r>
        <w:rPr>
          <w:rFonts w:ascii="Arial" w:cs="Arial" w:eastAsia="Arial" w:hAnsi="Arial"/>
          <w:sz w:val="19"/>
          <w:szCs w:val="19"/>
          <w:color w:val="auto"/>
        </w:rPr>
        <w:t>The Company’s effective income tax rate for the three-months ended March 31, 2018 was 19.7%. The effective income tax rate reflects the effect of federal and state income taxes and the impact of differences in book and tax accounting arising from the net permanent benefits associated with the statutory depletion deduction for mineral reserves. For the three-months ended March 31, 2018, the effective income tax rate also reflects two discrete events: a favorable impact of $1,325,000, or 1,060 basis points, related to the vesting and exercise of stock-based compensation awards and an unfavorable impact of $1,097,000, or 880 basis points, related to an estimate of the transition tax on undistributed foreign earnings, a provision of the Tax Cuts and Jobs Act of 2017 (2017 Tax Act). The enactment of the 2017 Tax Act reduced the federal statutory corporate income tax rate from 35% to 21% beginning in 2018. Therefore, the effective income tax rate of 25.6% for the three-months ended March 31, 2017 is not comparable.</w:t>
      </w:r>
    </w:p>
    <w:p>
      <w:pPr>
        <w:spacing w:after="0" w:line="76" w:lineRule="exact"/>
        <w:rPr>
          <w:rFonts w:ascii="Arial" w:cs="Arial" w:eastAsia="Arial" w:hAnsi="Arial"/>
          <w:sz w:val="20"/>
          <w:szCs w:val="20"/>
          <w:b w:val="1"/>
          <w:bCs w:val="1"/>
          <w:color w:val="auto"/>
        </w:rPr>
      </w:pPr>
    </w:p>
    <w:p>
      <w:pPr>
        <w:jc w:val="both"/>
        <w:ind w:left="380"/>
        <w:spacing w:after="0" w:line="288" w:lineRule="auto"/>
        <w:rPr>
          <w:rFonts w:ascii="Arial" w:cs="Arial" w:eastAsia="Arial" w:hAnsi="Arial"/>
          <w:sz w:val="20"/>
          <w:szCs w:val="20"/>
          <w:b w:val="1"/>
          <w:bCs w:val="1"/>
          <w:color w:val="auto"/>
        </w:rPr>
      </w:pPr>
      <w:r>
        <w:rPr>
          <w:rFonts w:ascii="Arial" w:cs="Arial" w:eastAsia="Arial" w:hAnsi="Arial"/>
          <w:sz w:val="17"/>
          <w:szCs w:val="17"/>
          <w:color w:val="auto"/>
        </w:rPr>
        <w:t>The Securities and Exchange Commission issued Staff Accounting Bulletin No. 118 (SAB 118) to address situations when a registrant does not have the necessary information available, prepared or analyzed (including computations) in reasonable detail to complete the accounting for certain income tax effects of the 2017 Tax Act. As such, due to the timing of the enactment date and the Company’s reporting periods, the Company recognized provisional amounts for the remeasurement of deferred tax assets and liabilities as of December 31, 2017 and transition tax on undistributed foreign earnings as of March 31, 2018, and continues to analyze and assess other provisions of the 2017 Tax Act. In accordance with SAB 118, the Company may record additional provisional amounts during the measurement period not to extend beyond one year of the enactment date and expects the accounting to be complete when the Company’s 2017 U.S. corporate income tax return is filed in 2018. Any future measurement period adjustments will be recognized as income tax expense or benefit in 2018.</w:t>
      </w:r>
    </w:p>
    <w:p>
      <w:pPr>
        <w:spacing w:after="0" w:line="50" w:lineRule="exact"/>
        <w:rPr>
          <w:rFonts w:ascii="Arial" w:cs="Arial" w:eastAsia="Arial" w:hAnsi="Arial"/>
          <w:sz w:val="20"/>
          <w:szCs w:val="20"/>
          <w:b w:val="1"/>
          <w:bCs w:val="1"/>
          <w:color w:val="auto"/>
        </w:rPr>
      </w:pPr>
    </w:p>
    <w:p>
      <w:pPr>
        <w:ind w:left="380"/>
        <w:spacing w:after="0" w:line="257" w:lineRule="auto"/>
        <w:rPr>
          <w:rFonts w:ascii="Arial" w:cs="Arial" w:eastAsia="Arial" w:hAnsi="Arial"/>
          <w:sz w:val="20"/>
          <w:szCs w:val="20"/>
          <w:b w:val="1"/>
          <w:bCs w:val="1"/>
          <w:color w:val="auto"/>
        </w:rPr>
      </w:pPr>
      <w:r>
        <w:rPr>
          <w:rFonts w:ascii="Arial" w:cs="Arial" w:eastAsia="Arial" w:hAnsi="Arial"/>
          <w:sz w:val="20"/>
          <w:szCs w:val="20"/>
          <w:color w:val="auto"/>
        </w:rPr>
        <w:t>The Company records interest accrued in relation to unrecognized tax benefits as income tax expense. Penalties, if incurred, are recorded as operating expenses in the consolidated statements of earnings and comprehensive earnings.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18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2018</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83" w:lineRule="exact"/>
        <w:rPr>
          <w:sz w:val="20"/>
          <w:szCs w:val="20"/>
          <w:color w:val="auto"/>
        </w:rPr>
      </w:pPr>
    </w:p>
    <w:p>
      <w:pPr>
        <w:ind w:left="380" w:hanging="373"/>
        <w:spacing w:after="0"/>
        <w:tabs>
          <w:tab w:leader="none" w:pos="38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Pension and Postretirement Benefits</w:t>
      </w:r>
    </w:p>
    <w:p>
      <w:pPr>
        <w:spacing w:after="0" w:line="110"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19"/>
          <w:szCs w:val="19"/>
          <w:color w:val="auto"/>
        </w:rPr>
        <w:t>The estimated components of the recorded net periodic benefit cost (credit) for pension and postretirement benefits are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9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360" w:type="dxa"/>
            <w:vAlign w:val="bottom"/>
            <w:tcBorders>
              <w:bottom w:val="single" w:sz="8" w:color="auto"/>
            </w:tcBorders>
            <w:gridSpan w:val="5"/>
          </w:tcPr>
          <w:p>
            <w:pPr>
              <w:jc w:val="right"/>
              <w:ind w:right="680"/>
              <w:spacing w:after="0"/>
              <w:rPr>
                <w:sz w:val="20"/>
                <w:szCs w:val="20"/>
                <w:color w:val="auto"/>
              </w:rPr>
            </w:pPr>
            <w:r>
              <w:rPr>
                <w:rFonts w:ascii="Arial" w:cs="Arial" w:eastAsia="Arial" w:hAnsi="Arial"/>
                <w:sz w:val="20"/>
                <w:szCs w:val="20"/>
                <w:color w:val="auto"/>
                <w:w w:val="94"/>
              </w:rPr>
              <w:t>Three-Months Ended March 31,</w:t>
            </w: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4"/>
        </w:trPr>
        <w:tc>
          <w:tcPr>
            <w:tcW w:w="3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82"/>
              <w:spacing w:after="0"/>
              <w:rPr>
                <w:sz w:val="20"/>
                <w:szCs w:val="20"/>
                <w:color w:val="auto"/>
              </w:rPr>
            </w:pPr>
            <w:r>
              <w:rPr>
                <w:rFonts w:ascii="Arial" w:cs="Arial" w:eastAsia="Arial" w:hAnsi="Arial"/>
                <w:sz w:val="20"/>
                <w:szCs w:val="20"/>
                <w:color w:val="auto"/>
              </w:rPr>
              <w:t>Pension</w:t>
            </w:r>
          </w:p>
        </w:tc>
        <w:tc>
          <w:tcPr>
            <w:tcW w:w="12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5"/>
          </w:tcPr>
          <w:p>
            <w:pPr>
              <w:jc w:val="right"/>
              <w:ind w:right="762"/>
              <w:spacing w:after="0"/>
              <w:rPr>
                <w:sz w:val="20"/>
                <w:szCs w:val="20"/>
                <w:color w:val="auto"/>
              </w:rPr>
            </w:pPr>
            <w:r>
              <w:rPr>
                <w:rFonts w:ascii="Arial" w:cs="Arial" w:eastAsia="Arial" w:hAnsi="Arial"/>
                <w:sz w:val="20"/>
                <w:szCs w:val="20"/>
                <w:color w:val="auto"/>
              </w:rPr>
              <w:t>Postretirement Benefits</w:t>
            </w:r>
          </w:p>
        </w:tc>
        <w:tc>
          <w:tcPr>
            <w:tcW w:w="100" w:type="dxa"/>
            <w:vAlign w:val="bottom"/>
          </w:tcPr>
          <w:p>
            <w:pPr>
              <w:spacing w:after="0"/>
              <w:rPr>
                <w:sz w:val="20"/>
                <w:szCs w:val="20"/>
                <w:color w:val="auto"/>
              </w:rPr>
            </w:pPr>
          </w:p>
        </w:tc>
      </w:tr>
      <w:tr>
        <w:trPr>
          <w:trHeight w:val="234"/>
        </w:trPr>
        <w:tc>
          <w:tcPr>
            <w:tcW w:w="3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22"/>
              <w:spacing w:after="0"/>
              <w:rPr>
                <w:sz w:val="20"/>
                <w:szCs w:val="20"/>
                <w:color w:val="auto"/>
              </w:rPr>
            </w:pPr>
            <w:r>
              <w:rPr>
                <w:rFonts w:ascii="Arial" w:cs="Arial" w:eastAsia="Arial" w:hAnsi="Arial"/>
                <w:sz w:val="20"/>
                <w:szCs w:val="20"/>
                <w:color w:val="auto"/>
              </w:rPr>
              <w:t>2018</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22"/>
              <w:spacing w:after="0"/>
              <w:rPr>
                <w:sz w:val="20"/>
                <w:szCs w:val="20"/>
                <w:color w:val="auto"/>
              </w:rPr>
            </w:pPr>
            <w:r>
              <w:rPr>
                <w:rFonts w:ascii="Arial" w:cs="Arial" w:eastAsia="Arial" w:hAnsi="Arial"/>
                <w:sz w:val="20"/>
                <w:szCs w:val="20"/>
                <w:color w:val="auto"/>
              </w:rPr>
              <w:t>2017</w:t>
            </w:r>
          </w:p>
        </w:tc>
        <w:tc>
          <w:tcPr>
            <w:tcW w:w="2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22"/>
              <w:spacing w:after="0"/>
              <w:rPr>
                <w:sz w:val="20"/>
                <w:szCs w:val="20"/>
                <w:color w:val="auto"/>
              </w:rPr>
            </w:pPr>
            <w:r>
              <w:rPr>
                <w:rFonts w:ascii="Arial" w:cs="Arial" w:eastAsia="Arial" w:hAnsi="Arial"/>
                <w:sz w:val="20"/>
                <w:szCs w:val="20"/>
                <w:color w:val="auto"/>
              </w:rPr>
              <w:t>2018</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42"/>
              <w:spacing w:after="0"/>
              <w:rPr>
                <w:sz w:val="20"/>
                <w:szCs w:val="20"/>
                <w:color w:val="auto"/>
              </w:rPr>
            </w:pPr>
            <w:r>
              <w:rPr>
                <w:rFonts w:ascii="Arial" w:cs="Arial" w:eastAsia="Arial" w:hAnsi="Arial"/>
                <w:sz w:val="20"/>
                <w:szCs w:val="20"/>
                <w:color w:val="auto"/>
              </w:rPr>
              <w:t>2017</w:t>
            </w:r>
          </w:p>
        </w:tc>
        <w:tc>
          <w:tcPr>
            <w:tcW w:w="100" w:type="dxa"/>
            <w:vAlign w:val="bottom"/>
          </w:tcPr>
          <w:p>
            <w:pPr>
              <w:spacing w:after="0"/>
              <w:rPr>
                <w:sz w:val="20"/>
                <w:szCs w:val="20"/>
                <w:color w:val="auto"/>
              </w:rPr>
            </w:pPr>
          </w:p>
        </w:tc>
      </w:tr>
      <w:tr>
        <w:trPr>
          <w:trHeight w:val="234"/>
        </w:trPr>
        <w:tc>
          <w:tcPr>
            <w:tcW w:w="3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60" w:type="dxa"/>
            <w:vAlign w:val="bottom"/>
            <w:gridSpan w:val="5"/>
          </w:tcPr>
          <w:p>
            <w:pPr>
              <w:jc w:val="right"/>
              <w:ind w:right="1020"/>
              <w:spacing w:after="0"/>
              <w:rPr>
                <w:sz w:val="20"/>
                <w:szCs w:val="20"/>
                <w:color w:val="auto"/>
              </w:rPr>
            </w:pPr>
            <w:r>
              <w:rPr>
                <w:rFonts w:ascii="Arial" w:cs="Arial" w:eastAsia="Arial" w:hAnsi="Arial"/>
                <w:sz w:val="20"/>
                <w:szCs w:val="20"/>
                <w:i w:val="1"/>
                <w:iCs w:val="1"/>
                <w:color w:val="auto"/>
              </w:rPr>
              <w:t>(Dollars in Thousands)</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3980" w:type="dxa"/>
            <w:vAlign w:val="bottom"/>
            <w:shd w:val="clear" w:color="auto" w:fill="CFF0FC"/>
          </w:tcPr>
          <w:p>
            <w:pPr>
              <w:spacing w:after="0"/>
              <w:rPr>
                <w:sz w:val="20"/>
                <w:szCs w:val="20"/>
                <w:color w:val="auto"/>
              </w:rPr>
            </w:pPr>
            <w:r>
              <w:rPr>
                <w:rFonts w:ascii="Arial" w:cs="Arial" w:eastAsia="Arial" w:hAnsi="Arial"/>
                <w:sz w:val="20"/>
                <w:szCs w:val="20"/>
                <w:color w:val="auto"/>
              </w:rPr>
              <w:t>Service cost</w:t>
            </w:r>
          </w:p>
        </w:tc>
        <w:tc>
          <w:tcPr>
            <w:tcW w:w="36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8,148</w:t>
            </w:r>
          </w:p>
        </w:tc>
        <w:tc>
          <w:tcPr>
            <w:tcW w:w="18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142"/>
              <w:spacing w:after="0"/>
              <w:rPr>
                <w:sz w:val="20"/>
                <w:szCs w:val="20"/>
                <w:color w:val="auto"/>
              </w:rPr>
            </w:pPr>
            <w:r>
              <w:rPr>
                <w:rFonts w:ascii="Arial" w:cs="Arial" w:eastAsia="Arial" w:hAnsi="Arial"/>
                <w:sz w:val="20"/>
                <w:szCs w:val="20"/>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6,572</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w:t>
            </w:r>
          </w:p>
        </w:tc>
        <w:tc>
          <w:tcPr>
            <w:tcW w:w="18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162"/>
              <w:spacing w:after="0"/>
              <w:rPr>
                <w:sz w:val="20"/>
                <w:szCs w:val="20"/>
                <w:color w:val="auto"/>
              </w:rPr>
            </w:pPr>
            <w:r>
              <w:rPr>
                <w:rFonts w:ascii="Arial" w:cs="Arial" w:eastAsia="Arial" w:hAnsi="Arial"/>
                <w:sz w:val="20"/>
                <w:szCs w:val="20"/>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w:t>
            </w:r>
          </w:p>
        </w:tc>
        <w:tc>
          <w:tcPr>
            <w:tcW w:w="100" w:type="dxa"/>
            <w:vAlign w:val="bottom"/>
            <w:shd w:val="clear" w:color="auto" w:fill="CFF0FC"/>
          </w:tcPr>
          <w:p>
            <w:pPr>
              <w:spacing w:after="0"/>
              <w:rPr>
                <w:sz w:val="20"/>
                <w:szCs w:val="20"/>
                <w:color w:val="auto"/>
              </w:rPr>
            </w:pPr>
          </w:p>
        </w:tc>
      </w:tr>
      <w:tr>
        <w:trPr>
          <w:trHeight w:val="241"/>
        </w:trPr>
        <w:tc>
          <w:tcPr>
            <w:tcW w:w="3980" w:type="dxa"/>
            <w:vAlign w:val="bottom"/>
          </w:tcPr>
          <w:p>
            <w:pPr>
              <w:spacing w:after="0"/>
              <w:rPr>
                <w:sz w:val="20"/>
                <w:szCs w:val="20"/>
                <w:color w:val="auto"/>
              </w:rPr>
            </w:pPr>
            <w:r>
              <w:rPr>
                <w:rFonts w:ascii="Arial" w:cs="Arial" w:eastAsia="Arial" w:hAnsi="Arial"/>
                <w:sz w:val="20"/>
                <w:szCs w:val="20"/>
                <w:color w:val="auto"/>
              </w:rPr>
              <w:t>Interest cost</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8,361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9,008</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125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185</w:t>
            </w:r>
          </w:p>
        </w:tc>
        <w:tc>
          <w:tcPr>
            <w:tcW w:w="100" w:type="dxa"/>
            <w:vAlign w:val="bottom"/>
          </w:tcPr>
          <w:p>
            <w:pPr>
              <w:spacing w:after="0"/>
              <w:rPr>
                <w:sz w:val="20"/>
                <w:szCs w:val="20"/>
                <w:color w:val="auto"/>
              </w:rPr>
            </w:pPr>
          </w:p>
        </w:tc>
      </w:tr>
      <w:tr>
        <w:trPr>
          <w:trHeight w:val="241"/>
        </w:trPr>
        <w:tc>
          <w:tcPr>
            <w:tcW w:w="3980" w:type="dxa"/>
            <w:vAlign w:val="bottom"/>
            <w:shd w:val="clear" w:color="auto" w:fill="CFF0FC"/>
          </w:tcPr>
          <w:p>
            <w:pPr>
              <w:spacing w:after="0"/>
              <w:rPr>
                <w:sz w:val="20"/>
                <w:szCs w:val="20"/>
                <w:color w:val="auto"/>
              </w:rPr>
            </w:pPr>
            <w:r>
              <w:rPr>
                <w:rFonts w:ascii="Arial" w:cs="Arial" w:eastAsia="Arial" w:hAnsi="Arial"/>
                <w:sz w:val="20"/>
                <w:szCs w:val="20"/>
                <w:color w:val="auto"/>
              </w:rPr>
              <w:t>Expected return on assets</w:t>
            </w:r>
          </w:p>
        </w:tc>
        <w:tc>
          <w:tcPr>
            <w:tcW w:w="36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(10,629)</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20"/>
                <w:szCs w:val="20"/>
                <w:color w:val="auto"/>
              </w:rPr>
              <w:t>(9,936)</w:t>
            </w:r>
          </w:p>
        </w:tc>
        <w:tc>
          <w:tcPr>
            <w:tcW w:w="36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w:t>
            </w: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r>
      <w:tr>
        <w:trPr>
          <w:trHeight w:val="241"/>
        </w:trPr>
        <w:tc>
          <w:tcPr>
            <w:tcW w:w="3980" w:type="dxa"/>
            <w:vAlign w:val="bottom"/>
          </w:tcPr>
          <w:p>
            <w:pPr>
              <w:spacing w:after="0"/>
              <w:rPr>
                <w:sz w:val="20"/>
                <w:szCs w:val="20"/>
                <w:color w:val="auto"/>
              </w:rPr>
            </w:pPr>
            <w:r>
              <w:rPr>
                <w:rFonts w:ascii="Arial" w:cs="Arial" w:eastAsia="Arial" w:hAnsi="Arial"/>
                <w:sz w:val="20"/>
                <w:szCs w:val="20"/>
                <w:color w:val="auto"/>
              </w:rPr>
              <w:t>Amortization of:</w:t>
            </w: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39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Prior service cost (credit)</w:t>
            </w:r>
          </w:p>
        </w:tc>
        <w:tc>
          <w:tcPr>
            <w:tcW w:w="36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26</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78</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(611)</w:t>
            </w: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(435)</w:t>
            </w:r>
          </w:p>
        </w:tc>
      </w:tr>
      <w:tr>
        <w:trPr>
          <w:trHeight w:val="241"/>
        </w:trPr>
        <w:tc>
          <w:tcPr>
            <w:tcW w:w="3980" w:type="dxa"/>
            <w:vAlign w:val="bottom"/>
          </w:tcPr>
          <w:p>
            <w:pPr>
              <w:ind w:left="260"/>
              <w:spacing w:after="0"/>
              <w:rPr>
                <w:sz w:val="20"/>
                <w:szCs w:val="20"/>
                <w:color w:val="auto"/>
              </w:rPr>
            </w:pPr>
            <w:r>
              <w:rPr>
                <w:rFonts w:ascii="Arial" w:cs="Arial" w:eastAsia="Arial" w:hAnsi="Arial"/>
                <w:sz w:val="20"/>
                <w:szCs w:val="20"/>
                <w:color w:val="auto"/>
              </w:rPr>
              <w:t>Actuarial loss (gain)</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3,296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3,524</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20"/>
                <w:szCs w:val="20"/>
                <w:color w:val="auto"/>
              </w:rPr>
              <w:t>(57)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20"/>
                <w:szCs w:val="20"/>
                <w:color w:val="auto"/>
              </w:rPr>
              <w:t>(72)</w:t>
            </w:r>
          </w:p>
        </w:tc>
      </w:tr>
      <w:tr>
        <w:trPr>
          <w:trHeight w:val="234"/>
        </w:trPr>
        <w:tc>
          <w:tcPr>
            <w:tcW w:w="39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Net periodic benefit cost (credit)</w:t>
            </w:r>
          </w:p>
        </w:tc>
        <w:tc>
          <w:tcPr>
            <w:tcW w:w="360" w:type="dxa"/>
            <w:vAlign w:val="bottom"/>
            <w:tcBorders>
              <w:top w:val="single" w:sz="8" w:color="auto"/>
              <w:bottom w:val="single" w:sz="8" w:color="auto"/>
            </w:tcBorders>
            <w:shd w:val="clear" w:color="auto" w:fill="CFF0FC"/>
          </w:tcPr>
          <w:p>
            <w:pPr>
              <w:jc w:val="right"/>
              <w:ind w:right="162"/>
              <w:spacing w:after="0"/>
              <w:rPr>
                <w:sz w:val="20"/>
                <w:szCs w:val="20"/>
                <w:color w:val="auto"/>
              </w:rPr>
            </w:pPr>
            <w:r>
              <w:rPr>
                <w:rFonts w:ascii="Arial" w:cs="Arial" w:eastAsia="Arial" w:hAnsi="Arial"/>
                <w:sz w:val="20"/>
                <w:szCs w:val="20"/>
                <w:color w:val="auto"/>
                <w:w w:val="71"/>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9,202</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jc w:val="right"/>
              <w:ind w:right="142"/>
              <w:spacing w:after="0"/>
              <w:rPr>
                <w:sz w:val="20"/>
                <w:szCs w:val="20"/>
                <w:color w:val="auto"/>
              </w:rPr>
            </w:pPr>
            <w:r>
              <w:rPr>
                <w:rFonts w:ascii="Arial" w:cs="Arial" w:eastAsia="Arial" w:hAnsi="Arial"/>
                <w:sz w:val="20"/>
                <w:szCs w:val="20"/>
                <w:color w:val="auto"/>
                <w:w w:val="71"/>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9,246</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ind w:right="162"/>
              <w:spacing w:after="0"/>
              <w:rPr>
                <w:sz w:val="20"/>
                <w:szCs w:val="20"/>
                <w:color w:val="auto"/>
              </w:rPr>
            </w:pPr>
            <w:r>
              <w:rPr>
                <w:rFonts w:ascii="Arial" w:cs="Arial" w:eastAsia="Arial" w:hAnsi="Arial"/>
                <w:sz w:val="20"/>
                <w:szCs w:val="20"/>
                <w:color w:val="auto"/>
                <w:w w:val="71"/>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(521)</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ind w:right="162"/>
              <w:spacing w:after="0"/>
              <w:rPr>
                <w:sz w:val="20"/>
                <w:szCs w:val="20"/>
                <w:color w:val="auto"/>
              </w:rPr>
            </w:pPr>
            <w:r>
              <w:rPr>
                <w:rFonts w:ascii="Arial" w:cs="Arial" w:eastAsia="Arial" w:hAnsi="Arial"/>
                <w:sz w:val="20"/>
                <w:szCs w:val="20"/>
                <w:color w:val="auto"/>
                <w:w w:val="71"/>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(298)</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3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4" w:lineRule="exact"/>
        <w:rPr>
          <w:sz w:val="20"/>
          <w:szCs w:val="20"/>
          <w:color w:val="auto"/>
        </w:rPr>
      </w:pPr>
    </w:p>
    <w:p>
      <w:pPr>
        <w:jc w:val="both"/>
        <w:ind w:left="380"/>
        <w:spacing w:after="0" w:line="247" w:lineRule="auto"/>
        <w:rPr>
          <w:sz w:val="20"/>
          <w:szCs w:val="20"/>
          <w:color w:val="auto"/>
        </w:rPr>
      </w:pPr>
      <w:r>
        <w:rPr>
          <w:rFonts w:ascii="Arial" w:cs="Arial" w:eastAsia="Arial" w:hAnsi="Arial"/>
          <w:sz w:val="20"/>
          <w:szCs w:val="20"/>
          <w:color w:val="auto"/>
        </w:rPr>
        <w:t>The service cost component of net periodic benefit cost (credit) is included in cost of revenues – products and services and selling, general and administrative expenses while all other components are included in other nonoperating income, net, in the consolidated statements of earnings and comprehensive earnings.</w:t>
      </w:r>
    </w:p>
    <w:p>
      <w:pPr>
        <w:spacing w:after="0" w:line="180" w:lineRule="exact"/>
        <w:rPr>
          <w:sz w:val="20"/>
          <w:szCs w:val="20"/>
          <w:color w:val="auto"/>
        </w:rPr>
      </w:pPr>
    </w:p>
    <w:p>
      <w:pPr>
        <w:ind w:left="380" w:right="8020" w:hanging="373"/>
        <w:spacing w:after="0" w:line="414" w:lineRule="auto"/>
        <w:tabs>
          <w:tab w:leader="none" w:pos="375"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u w:val="single" w:color="auto"/>
          <w:color w:val="auto"/>
        </w:rPr>
        <w:t>Legal and Administrative Proceedings</w:t>
      </w:r>
    </w:p>
    <w:p>
      <w:pPr>
        <w:jc w:val="both"/>
        <w:ind w:left="380"/>
        <w:spacing w:after="0" w:line="260" w:lineRule="auto"/>
        <w:rPr>
          <w:rFonts w:ascii="Arial" w:cs="Arial" w:eastAsia="Arial" w:hAnsi="Arial"/>
          <w:sz w:val="17"/>
          <w:szCs w:val="17"/>
          <w:b w:val="1"/>
          <w:bCs w:val="1"/>
          <w:color w:val="auto"/>
        </w:rPr>
      </w:pPr>
      <w:r>
        <w:rPr>
          <w:rFonts w:ascii="Arial" w:cs="Arial" w:eastAsia="Arial" w:hAnsi="Arial"/>
          <w:sz w:val="19"/>
          <w:szCs w:val="19"/>
          <w:color w:val="auto"/>
        </w:rPr>
        <w:t>The Company is engaged in certain legal and administrative proceedings incidental to its normal business activities. In the opinion of management and counsel, based upon currently-available facts, it is remote that the ultimate outcome of any litigation and other proceedings, including those pertaining to environmental matters, relating to the Company and its subsidiaries, will have a material adverse effect on the overall results of the Company’s operations, its cash flows or its financial position.</w:t>
      </w:r>
    </w:p>
    <w:p>
      <w:pPr>
        <w:spacing w:after="0" w:line="177" w:lineRule="exact"/>
        <w:rPr>
          <w:rFonts w:ascii="Arial" w:cs="Arial" w:eastAsia="Arial" w:hAnsi="Arial"/>
          <w:sz w:val="17"/>
          <w:szCs w:val="17"/>
          <w:b w:val="1"/>
          <w:bCs w:val="1"/>
          <w:color w:val="auto"/>
        </w:rPr>
      </w:pPr>
    </w:p>
    <w:p>
      <w:pPr>
        <w:ind w:left="380"/>
        <w:spacing w:after="0"/>
        <w:rPr>
          <w:rFonts w:ascii="Arial" w:cs="Arial" w:eastAsia="Arial" w:hAnsi="Arial"/>
          <w:sz w:val="17"/>
          <w:szCs w:val="17"/>
          <w:b w:val="1"/>
          <w:bCs w:val="1"/>
          <w:color w:val="auto"/>
        </w:rPr>
      </w:pPr>
      <w:r>
        <w:rPr>
          <w:rFonts w:ascii="Arial" w:cs="Arial" w:eastAsia="Arial" w:hAnsi="Arial"/>
          <w:sz w:val="20"/>
          <w:szCs w:val="20"/>
          <w:u w:val="single" w:color="auto"/>
          <w:color w:val="auto"/>
        </w:rPr>
        <w:t>Borrowing Arrangements with Affiliate</w:t>
      </w:r>
    </w:p>
    <w:p>
      <w:pPr>
        <w:spacing w:after="0" w:line="104" w:lineRule="exact"/>
        <w:rPr>
          <w:rFonts w:ascii="Arial" w:cs="Arial" w:eastAsia="Arial" w:hAnsi="Arial"/>
          <w:sz w:val="17"/>
          <w:szCs w:val="17"/>
          <w:b w:val="1"/>
          <w:bCs w:val="1"/>
          <w:color w:val="auto"/>
        </w:rPr>
      </w:pPr>
    </w:p>
    <w:p>
      <w:pPr>
        <w:jc w:val="both"/>
        <w:ind w:left="380"/>
        <w:spacing w:after="0" w:line="243" w:lineRule="auto"/>
        <w:rPr>
          <w:rFonts w:ascii="Arial" w:cs="Arial" w:eastAsia="Arial" w:hAnsi="Arial"/>
          <w:sz w:val="17"/>
          <w:szCs w:val="17"/>
          <w:b w:val="1"/>
          <w:bCs w:val="1"/>
          <w:color w:val="auto"/>
        </w:rPr>
      </w:pPr>
      <w:r>
        <w:rPr>
          <w:rFonts w:ascii="Arial" w:cs="Arial" w:eastAsia="Arial" w:hAnsi="Arial"/>
          <w:sz w:val="20"/>
          <w:szCs w:val="20"/>
          <w:color w:val="auto"/>
        </w:rPr>
        <w:t>The Company is a co-borrower with an unconsolidated affiliate for a $15,500,000 revolving line of credit agreement with BB&amp;T with a maturity date of March 2020. The affiliate has agreed to reimburse and indemnify the Company for any payments and expenses the Company may incur from this agreement. The Company holds a lien on the affiliate’s membership interest in a joint venture as collateral for payment under the revolving line of credit.</w:t>
      </w:r>
    </w:p>
    <w:p>
      <w:pPr>
        <w:spacing w:after="0" w:line="85" w:lineRule="exact"/>
        <w:rPr>
          <w:rFonts w:ascii="Arial" w:cs="Arial" w:eastAsia="Arial" w:hAnsi="Arial"/>
          <w:sz w:val="17"/>
          <w:szCs w:val="17"/>
          <w:b w:val="1"/>
          <w:bCs w:val="1"/>
          <w:color w:val="auto"/>
        </w:rPr>
      </w:pPr>
    </w:p>
    <w:p>
      <w:pPr>
        <w:ind w:left="380"/>
        <w:spacing w:after="0" w:line="257" w:lineRule="auto"/>
        <w:rPr>
          <w:rFonts w:ascii="Arial" w:cs="Arial" w:eastAsia="Arial" w:hAnsi="Arial"/>
          <w:sz w:val="17"/>
          <w:szCs w:val="17"/>
          <w:b w:val="1"/>
          <w:bCs w:val="1"/>
          <w:color w:val="auto"/>
        </w:rPr>
      </w:pPr>
      <w:r>
        <w:rPr>
          <w:rFonts w:ascii="Arial" w:cs="Arial" w:eastAsia="Arial" w:hAnsi="Arial"/>
          <w:sz w:val="20"/>
          <w:szCs w:val="20"/>
          <w:color w:val="auto"/>
        </w:rPr>
        <w:t>In addition, the Company has a $6,000,000 interest-only loan, due December 31, 2019, outstanding from this unconsolidated affiliate as of March 31, 2018, December 31, 2017 and March 31, 2017. The interest rate is one-month LIBOR plus 1.75%.</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19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2018</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69" w:lineRule="exact"/>
        <w:rPr>
          <w:sz w:val="20"/>
          <w:szCs w:val="20"/>
          <w:color w:val="auto"/>
        </w:rPr>
      </w:pPr>
    </w:p>
    <w:p>
      <w:pPr>
        <w:ind w:left="380" w:hanging="373"/>
        <w:spacing w:after="0"/>
        <w:tabs>
          <w:tab w:leader="none" w:pos="380"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Business Segments</w:t>
      </w:r>
    </w:p>
    <w:p>
      <w:pPr>
        <w:spacing w:after="0" w:line="57" w:lineRule="exact"/>
        <w:rPr>
          <w:rFonts w:ascii="Arial" w:cs="Arial" w:eastAsia="Arial" w:hAnsi="Arial"/>
          <w:sz w:val="20"/>
          <w:szCs w:val="20"/>
          <w:b w:val="1"/>
          <w:bCs w:val="1"/>
          <w:color w:val="auto"/>
        </w:rPr>
      </w:pPr>
    </w:p>
    <w:p>
      <w:pPr>
        <w:jc w:val="both"/>
        <w:ind w:left="380"/>
        <w:spacing w:after="0" w:line="254" w:lineRule="auto"/>
        <w:rPr>
          <w:rFonts w:ascii="Arial" w:cs="Arial" w:eastAsia="Arial" w:hAnsi="Arial"/>
          <w:sz w:val="20"/>
          <w:szCs w:val="20"/>
          <w:b w:val="1"/>
          <w:bCs w:val="1"/>
          <w:color w:val="auto"/>
        </w:rPr>
      </w:pPr>
      <w:r>
        <w:rPr>
          <w:rFonts w:ascii="Arial" w:cs="Arial" w:eastAsia="Arial" w:hAnsi="Arial"/>
          <w:sz w:val="19"/>
          <w:szCs w:val="19"/>
          <w:color w:val="auto"/>
        </w:rPr>
        <w:t>The Building Materials business contains three reportable business segments: Mid-America Group, Southeast Group and West Group. The Company also has a Magnesia Specialties segment. The Company’s evaluation of performance and allocation of resources are based primarily on earnings from operations. Consolidated earnings from operations include total revenues less cost of revenues, selling, general and administrative expenses, acquisition-related expenses, other operating income and expenses, net, and exclude interest expense, other nonoperating income and expenses, net, and taxes on income. Corporate loss from operations primarily includes depreciation on capitalized interest, unallocated expenses for corporate administrative functions, acquisition-related expenses, and other nonrecurring income and expenses excluded from the Company’s evaluation of business segment performance and resource allocation. All debt and related interest expense is held at Corporate.</w:t>
      </w:r>
    </w:p>
    <w:p>
      <w:pPr>
        <w:spacing w:after="0" w:line="76" w:lineRule="exact"/>
        <w:rPr>
          <w:rFonts w:ascii="Arial" w:cs="Arial" w:eastAsia="Arial" w:hAnsi="Arial"/>
          <w:sz w:val="20"/>
          <w:szCs w:val="20"/>
          <w:b w:val="1"/>
          <w:bCs w:val="1"/>
          <w:color w:val="auto"/>
        </w:rPr>
      </w:pPr>
    </w:p>
    <w:p>
      <w:pPr>
        <w:jc w:val="both"/>
        <w:ind w:left="380"/>
        <w:spacing w:after="0" w:line="309" w:lineRule="auto"/>
        <w:rPr>
          <w:rFonts w:ascii="Arial" w:cs="Arial" w:eastAsia="Arial" w:hAnsi="Arial"/>
          <w:sz w:val="20"/>
          <w:szCs w:val="20"/>
          <w:b w:val="1"/>
          <w:bCs w:val="1"/>
          <w:color w:val="auto"/>
        </w:rPr>
      </w:pPr>
      <w:r>
        <w:rPr>
          <w:rFonts w:ascii="Arial" w:cs="Arial" w:eastAsia="Arial" w:hAnsi="Arial"/>
          <w:sz w:val="17"/>
          <w:szCs w:val="17"/>
          <w:color w:val="auto"/>
        </w:rPr>
        <w:t>The following table displays selected financial data for the Company’s reportable business segments. Total revenues, as well as the consolidated statements of earnings and comprehensive earnings, exclude intersegment revenues which represent sales from one segment to another segment, which are eliminated. Prior-year information has been reclassified to conform to current year revenue presentation.</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260" w:type="dxa"/>
            <w:vAlign w:val="bottom"/>
            <w:gridSpan w:val="4"/>
          </w:tcPr>
          <w:p>
            <w:pPr>
              <w:jc w:val="center"/>
              <w:spacing w:after="0"/>
              <w:rPr>
                <w:sz w:val="20"/>
                <w:szCs w:val="20"/>
                <w:color w:val="auto"/>
              </w:rPr>
            </w:pPr>
            <w:r>
              <w:rPr>
                <w:rFonts w:ascii="Arial" w:cs="Arial" w:eastAsia="Arial" w:hAnsi="Arial"/>
                <w:sz w:val="19"/>
                <w:szCs w:val="19"/>
                <w:color w:val="auto"/>
                <w:w w:val="89"/>
              </w:rPr>
              <w:t>Three-Months Ended</w:t>
            </w: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center"/>
              <w:spacing w:after="0"/>
              <w:rPr>
                <w:sz w:val="20"/>
                <w:szCs w:val="20"/>
                <w:color w:val="auto"/>
              </w:rPr>
            </w:pPr>
            <w:r>
              <w:rPr>
                <w:rFonts w:ascii="Arial" w:cs="Arial" w:eastAsia="Arial" w:hAnsi="Arial"/>
                <w:sz w:val="19"/>
                <w:szCs w:val="19"/>
                <w:color w:val="auto"/>
                <w:w w:val="89"/>
              </w:rPr>
              <w:t>March 31,</w:t>
            </w:r>
          </w:p>
        </w:tc>
        <w:tc>
          <w:tcPr>
            <w:tcW w:w="1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800" w:type="dxa"/>
            <w:vAlign w:val="bottom"/>
            <w:tcBorders>
              <w:bottom w:val="single" w:sz="8" w:color="auto"/>
            </w:tcBorders>
          </w:tcPr>
          <w:p>
            <w:pPr>
              <w:jc w:val="right"/>
              <w:ind w:right="146"/>
              <w:spacing w:after="0"/>
              <w:rPr>
                <w:sz w:val="20"/>
                <w:szCs w:val="20"/>
                <w:color w:val="auto"/>
              </w:rPr>
            </w:pPr>
            <w:r>
              <w:rPr>
                <w:rFonts w:ascii="Arial" w:cs="Arial" w:eastAsia="Arial" w:hAnsi="Arial"/>
                <w:sz w:val="19"/>
                <w:szCs w:val="19"/>
                <w:color w:val="auto"/>
              </w:rPr>
              <w:t>2018</w:t>
            </w:r>
          </w:p>
        </w:tc>
        <w:tc>
          <w:tcPr>
            <w:tcW w:w="9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1086"/>
              <w:spacing w:after="0"/>
              <w:rPr>
                <w:sz w:val="20"/>
                <w:szCs w:val="20"/>
                <w:color w:val="auto"/>
              </w:rPr>
            </w:pPr>
            <w:r>
              <w:rPr>
                <w:rFonts w:ascii="Arial" w:cs="Arial" w:eastAsia="Arial" w:hAnsi="Arial"/>
                <w:sz w:val="19"/>
                <w:szCs w:val="19"/>
                <w:color w:val="auto"/>
              </w:rPr>
              <w:t>2017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260" w:type="dxa"/>
            <w:vAlign w:val="bottom"/>
            <w:gridSpan w:val="4"/>
          </w:tcPr>
          <w:p>
            <w:pPr>
              <w:jc w:val="center"/>
              <w:spacing w:after="0"/>
              <w:rPr>
                <w:sz w:val="20"/>
                <w:szCs w:val="20"/>
                <w:color w:val="auto"/>
              </w:rPr>
            </w:pPr>
            <w:r>
              <w:rPr>
                <w:rFonts w:ascii="Arial" w:cs="Arial" w:eastAsia="Arial" w:hAnsi="Arial"/>
                <w:sz w:val="19"/>
                <w:szCs w:val="19"/>
                <w:i w:val="1"/>
                <w:iCs w:val="1"/>
                <w:color w:val="auto"/>
                <w:w w:val="92"/>
              </w:rPr>
              <w:t>(Dollars in Thousands)</w:t>
            </w: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400" w:type="dxa"/>
            <w:vAlign w:val="bottom"/>
            <w:gridSpan w:val="4"/>
            <w:shd w:val="clear" w:color="auto" w:fill="CFF0FC"/>
          </w:tcPr>
          <w:p>
            <w:pPr>
              <w:spacing w:after="0" w:line="187" w:lineRule="exact"/>
              <w:rPr>
                <w:sz w:val="20"/>
                <w:szCs w:val="20"/>
                <w:color w:val="auto"/>
              </w:rPr>
            </w:pPr>
            <w:r>
              <w:rPr>
                <w:rFonts w:ascii="Arial" w:cs="Arial" w:eastAsia="Arial" w:hAnsi="Arial"/>
                <w:sz w:val="19"/>
                <w:szCs w:val="19"/>
                <w:color w:val="auto"/>
              </w:rPr>
              <w:t>Total revenues:</w:t>
            </w:r>
          </w:p>
        </w:tc>
        <w:tc>
          <w:tcPr>
            <w:tcW w:w="18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8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80" w:type="dxa"/>
            <w:vAlign w:val="bottom"/>
            <w:tcBorders>
              <w:top w:val="single" w:sz="8" w:color="auto"/>
            </w:tcBorders>
            <w:shd w:val="clear" w:color="auto" w:fill="CFF0FC"/>
          </w:tcPr>
          <w:p>
            <w:pPr>
              <w:spacing w:after="0" w:line="20" w:lineRule="exact"/>
              <w:rPr>
                <w:sz w:val="1"/>
                <w:szCs w:val="1"/>
                <w:color w:val="auto"/>
              </w:rPr>
            </w:pPr>
          </w:p>
        </w:tc>
        <w:tc>
          <w:tcPr>
            <w:tcW w:w="130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980" w:type="dxa"/>
            <w:vAlign w:val="bottom"/>
            <w:tcBorders>
              <w:top w:val="single" w:sz="8" w:color="CFF0FC"/>
            </w:tcBorders>
            <w:shd w:val="clear" w:color="auto" w:fill="CFF0FC"/>
          </w:tcPr>
          <w:p>
            <w:pPr>
              <w:spacing w:after="0" w:line="20" w:lineRule="exact"/>
              <w:rPr>
                <w:sz w:val="1"/>
                <w:szCs w:val="1"/>
                <w:color w:val="auto"/>
              </w:rPr>
            </w:pPr>
          </w:p>
        </w:tc>
        <w:tc>
          <w:tcPr>
            <w:tcW w:w="18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18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vMerge w:val="continue"/>
          </w:tcPr>
          <w:p>
            <w:pPr>
              <w:spacing w:after="0"/>
              <w:rPr>
                <w:sz w:val="19"/>
                <w:szCs w:val="19"/>
                <w:color w:val="auto"/>
              </w:rPr>
            </w:pPr>
          </w:p>
        </w:tc>
        <w:tc>
          <w:tcPr>
            <w:tcW w:w="5400" w:type="dxa"/>
            <w:vAlign w:val="bottom"/>
            <w:gridSpan w:val="4"/>
          </w:tcPr>
          <w:p>
            <w:pPr>
              <w:spacing w:after="0"/>
              <w:rPr>
                <w:sz w:val="20"/>
                <w:szCs w:val="20"/>
                <w:color w:val="auto"/>
              </w:rPr>
            </w:pPr>
            <w:r>
              <w:rPr>
                <w:rFonts w:ascii="Arial" w:cs="Arial" w:eastAsia="Arial" w:hAnsi="Arial"/>
                <w:sz w:val="19"/>
                <w:szCs w:val="19"/>
                <w:color w:val="auto"/>
              </w:rPr>
              <w:t>Mid-America Group</w:t>
            </w:r>
          </w:p>
        </w:tc>
        <w:tc>
          <w:tcPr>
            <w:tcW w:w="1800" w:type="dxa"/>
            <w:vAlign w:val="bottom"/>
          </w:tcPr>
          <w:p>
            <w:pPr>
              <w:jc w:val="right"/>
              <w:ind w:right="1606"/>
              <w:spacing w:after="0"/>
              <w:rPr>
                <w:sz w:val="20"/>
                <w:szCs w:val="20"/>
                <w:color w:val="auto"/>
              </w:rPr>
            </w:pPr>
            <w:r>
              <w:rPr>
                <w:rFonts w:ascii="Arial" w:cs="Arial" w:eastAsia="Arial" w:hAnsi="Arial"/>
                <w:sz w:val="19"/>
                <w:szCs w:val="19"/>
                <w:color w:val="auto"/>
                <w:w w:val="75"/>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178,781</w:t>
            </w:r>
          </w:p>
        </w:tc>
        <w:tc>
          <w:tcPr>
            <w:tcW w:w="420" w:type="dxa"/>
            <w:vAlign w:val="bottom"/>
          </w:tcPr>
          <w:p>
            <w:pPr>
              <w:spacing w:after="0"/>
              <w:rPr>
                <w:sz w:val="19"/>
                <w:szCs w:val="19"/>
                <w:color w:val="auto"/>
              </w:rPr>
            </w:pPr>
          </w:p>
        </w:tc>
        <w:tc>
          <w:tcPr>
            <w:tcW w:w="900" w:type="dxa"/>
            <w:vAlign w:val="bottom"/>
            <w:gridSpan w:val="2"/>
          </w:tcPr>
          <w:p>
            <w:pPr>
              <w:jc w:val="right"/>
              <w:ind w:right="768"/>
              <w:spacing w:after="0"/>
              <w:rPr>
                <w:sz w:val="20"/>
                <w:szCs w:val="20"/>
                <w:color w:val="auto"/>
              </w:rPr>
            </w:pPr>
            <w:r>
              <w:rPr>
                <w:rFonts w:ascii="Arial" w:cs="Arial" w:eastAsia="Arial" w:hAnsi="Arial"/>
                <w:sz w:val="15"/>
                <w:szCs w:val="15"/>
                <w:color w:val="auto"/>
                <w:w w:val="71"/>
              </w:rPr>
              <w:t>$</w:t>
            </w:r>
          </w:p>
        </w:tc>
        <w:tc>
          <w:tcPr>
            <w:tcW w:w="1820" w:type="dxa"/>
            <w:vAlign w:val="bottom"/>
          </w:tcPr>
          <w:p>
            <w:pPr>
              <w:jc w:val="right"/>
              <w:spacing w:after="0"/>
              <w:rPr>
                <w:sz w:val="20"/>
                <w:szCs w:val="20"/>
                <w:color w:val="auto"/>
              </w:rPr>
            </w:pPr>
            <w:r>
              <w:rPr>
                <w:rFonts w:ascii="Arial" w:cs="Arial" w:eastAsia="Arial" w:hAnsi="Arial"/>
                <w:sz w:val="19"/>
                <w:szCs w:val="19"/>
                <w:color w:val="auto"/>
              </w:rPr>
              <w:t>189,019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400" w:type="dxa"/>
            <w:vAlign w:val="bottom"/>
            <w:gridSpan w:val="4"/>
            <w:shd w:val="clear" w:color="auto" w:fill="CFF0FC"/>
          </w:tcPr>
          <w:p>
            <w:pPr>
              <w:spacing w:after="0"/>
              <w:rPr>
                <w:sz w:val="20"/>
                <w:szCs w:val="20"/>
                <w:color w:val="auto"/>
              </w:rPr>
            </w:pPr>
            <w:r>
              <w:rPr>
                <w:rFonts w:ascii="Arial" w:cs="Arial" w:eastAsia="Arial" w:hAnsi="Arial"/>
                <w:sz w:val="19"/>
                <w:szCs w:val="19"/>
                <w:color w:val="auto"/>
              </w:rPr>
              <w:t>Southeast Group</w:t>
            </w:r>
          </w:p>
        </w:tc>
        <w:tc>
          <w:tcPr>
            <w:tcW w:w="18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80,239</w:t>
            </w: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90,282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400" w:type="dxa"/>
            <w:vAlign w:val="bottom"/>
            <w:tcBorders>
              <w:bottom w:val="single" w:sz="8" w:color="CFF0FC"/>
            </w:tcBorders>
            <w:gridSpan w:val="4"/>
          </w:tcPr>
          <w:p>
            <w:pPr>
              <w:spacing w:after="0"/>
              <w:rPr>
                <w:sz w:val="20"/>
                <w:szCs w:val="20"/>
                <w:color w:val="auto"/>
              </w:rPr>
            </w:pPr>
            <w:r>
              <w:rPr>
                <w:rFonts w:ascii="Arial" w:cs="Arial" w:eastAsia="Arial" w:hAnsi="Arial"/>
                <w:sz w:val="19"/>
                <w:szCs w:val="19"/>
                <w:color w:val="auto"/>
              </w:rPr>
              <w:t>West Group</w:t>
            </w:r>
          </w:p>
        </w:tc>
        <w:tc>
          <w:tcPr>
            <w:tcW w:w="18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473,722</w:t>
            </w:r>
          </w:p>
        </w:tc>
        <w:tc>
          <w:tcPr>
            <w:tcW w:w="4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495,981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400" w:type="dxa"/>
            <w:vAlign w:val="bottom"/>
            <w:gridSpan w:val="4"/>
            <w:shd w:val="clear" w:color="auto" w:fill="CFF0FC"/>
          </w:tcPr>
          <w:p>
            <w:pPr>
              <w:spacing w:after="0"/>
              <w:rPr>
                <w:sz w:val="20"/>
                <w:szCs w:val="20"/>
                <w:color w:val="auto"/>
              </w:rPr>
            </w:pPr>
            <w:r>
              <w:rPr>
                <w:rFonts w:ascii="Arial" w:cs="Arial" w:eastAsia="Arial" w:hAnsi="Arial"/>
                <w:sz w:val="19"/>
                <w:szCs w:val="19"/>
                <w:color w:val="auto"/>
              </w:rPr>
              <w:t>Total Building Materials Business</w:t>
            </w:r>
          </w:p>
        </w:tc>
        <w:tc>
          <w:tcPr>
            <w:tcW w:w="18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732,742</w:t>
            </w: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775,282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400" w:type="dxa"/>
            <w:vAlign w:val="bottom"/>
            <w:tcBorders>
              <w:bottom w:val="single" w:sz="8" w:color="CFF0FC"/>
            </w:tcBorders>
            <w:gridSpan w:val="4"/>
          </w:tcPr>
          <w:p>
            <w:pPr>
              <w:spacing w:after="0"/>
              <w:rPr>
                <w:sz w:val="20"/>
                <w:szCs w:val="20"/>
                <w:color w:val="auto"/>
              </w:rPr>
            </w:pPr>
            <w:r>
              <w:rPr>
                <w:rFonts w:ascii="Arial" w:cs="Arial" w:eastAsia="Arial" w:hAnsi="Arial"/>
                <w:sz w:val="19"/>
                <w:szCs w:val="19"/>
                <w:color w:val="auto"/>
              </w:rPr>
              <w:t>Magnesia Specialties</w:t>
            </w:r>
          </w:p>
        </w:tc>
        <w:tc>
          <w:tcPr>
            <w:tcW w:w="18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69,262</w:t>
            </w:r>
          </w:p>
        </w:tc>
        <w:tc>
          <w:tcPr>
            <w:tcW w:w="4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68,577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400" w:type="dxa"/>
            <w:vAlign w:val="bottom"/>
            <w:tcBorders>
              <w:bottom w:val="single" w:sz="8" w:color="CFF0FC"/>
            </w:tcBorders>
            <w:gridSpan w:val="4"/>
            <w:shd w:val="clear" w:color="auto" w:fill="CFF0FC"/>
          </w:tcPr>
          <w:p>
            <w:pPr>
              <w:spacing w:after="0"/>
              <w:rPr>
                <w:sz w:val="20"/>
                <w:szCs w:val="20"/>
                <w:color w:val="auto"/>
              </w:rPr>
            </w:pPr>
            <w:r>
              <w:rPr>
                <w:rFonts w:ascii="Arial" w:cs="Arial" w:eastAsia="Arial" w:hAnsi="Arial"/>
                <w:sz w:val="19"/>
                <w:szCs w:val="19"/>
                <w:color w:val="auto"/>
              </w:rPr>
              <w:t>Total</w:t>
            </w:r>
          </w:p>
        </w:tc>
        <w:tc>
          <w:tcPr>
            <w:tcW w:w="1800" w:type="dxa"/>
            <w:vAlign w:val="bottom"/>
            <w:tcBorders>
              <w:bottom w:val="single" w:sz="8" w:color="auto"/>
            </w:tcBorders>
            <w:shd w:val="clear" w:color="auto" w:fill="CFF0FC"/>
          </w:tcPr>
          <w:p>
            <w:pPr>
              <w:jc w:val="right"/>
              <w:ind w:right="1606"/>
              <w:spacing w:after="0"/>
              <w:rPr>
                <w:sz w:val="20"/>
                <w:szCs w:val="20"/>
                <w:color w:val="auto"/>
              </w:rPr>
            </w:pPr>
            <w:r>
              <w:rPr>
                <w:rFonts w:ascii="Arial" w:cs="Arial" w:eastAsia="Arial" w:hAnsi="Arial"/>
                <w:sz w:val="19"/>
                <w:szCs w:val="19"/>
                <w:color w:val="auto"/>
                <w:w w:val="75"/>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802,004</w:t>
            </w:r>
          </w:p>
        </w:tc>
        <w:tc>
          <w:tcPr>
            <w:tcW w:w="4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768"/>
              <w:spacing w:after="0"/>
              <w:rPr>
                <w:sz w:val="20"/>
                <w:szCs w:val="20"/>
                <w:color w:val="auto"/>
              </w:rPr>
            </w:pPr>
            <w:r>
              <w:rPr>
                <w:rFonts w:ascii="Arial" w:cs="Arial" w:eastAsia="Arial" w:hAnsi="Arial"/>
                <w:sz w:val="10"/>
                <w:szCs w:val="10"/>
                <w:color w:val="auto"/>
                <w:w w:val="71"/>
              </w:rPr>
              <w:t>$</w:t>
            </w: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843,859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restart"/>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2380" w:type="dxa"/>
            <w:vAlign w:val="bottom"/>
            <w:tcBorders>
              <w:bottom w:val="single" w:sz="8" w:color="auto"/>
            </w:tcBorders>
            <w:gridSpan w:val="2"/>
            <w:shd w:val="clear" w:color="auto" w:fill="CFF0FC"/>
          </w:tcPr>
          <w:p>
            <w:pPr>
              <w:spacing w:after="0" w:line="187" w:lineRule="exact"/>
              <w:rPr>
                <w:sz w:val="20"/>
                <w:szCs w:val="20"/>
                <w:color w:val="auto"/>
              </w:rPr>
            </w:pPr>
            <w:r>
              <w:rPr>
                <w:rFonts w:ascii="Arial" w:cs="Arial" w:eastAsia="Arial" w:hAnsi="Arial"/>
                <w:sz w:val="19"/>
                <w:szCs w:val="19"/>
                <w:color w:val="auto"/>
                <w:w w:val="85"/>
              </w:rPr>
              <w:t>Products and services revenues:</w:t>
            </w:r>
          </w:p>
        </w:tc>
        <w:tc>
          <w:tcPr>
            <w:tcW w:w="3020" w:type="dxa"/>
            <w:vAlign w:val="bottom"/>
            <w:tcBorders>
              <w:bottom w:val="single" w:sz="8" w:color="CFF0FC"/>
            </w:tcBorders>
            <w:gridSpan w:val="2"/>
            <w:shd w:val="clear" w:color="auto" w:fill="CFF0FC"/>
          </w:tcPr>
          <w:p>
            <w:pPr>
              <w:spacing w:after="0"/>
              <w:rPr>
                <w:sz w:val="18"/>
                <w:szCs w:val="18"/>
                <w:color w:val="auto"/>
              </w:rPr>
            </w:pPr>
          </w:p>
        </w:tc>
        <w:tc>
          <w:tcPr>
            <w:tcW w:w="180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18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400" w:type="dxa"/>
            <w:vAlign w:val="bottom"/>
            <w:gridSpan w:val="4"/>
          </w:tcPr>
          <w:p>
            <w:pPr>
              <w:spacing w:after="0"/>
              <w:rPr>
                <w:sz w:val="20"/>
                <w:szCs w:val="20"/>
                <w:color w:val="auto"/>
              </w:rPr>
            </w:pPr>
            <w:r>
              <w:rPr>
                <w:rFonts w:ascii="Arial" w:cs="Arial" w:eastAsia="Arial" w:hAnsi="Arial"/>
                <w:sz w:val="19"/>
                <w:szCs w:val="19"/>
                <w:color w:val="auto"/>
              </w:rPr>
              <w:t>Mid-America Group</w:t>
            </w:r>
          </w:p>
        </w:tc>
        <w:tc>
          <w:tcPr>
            <w:tcW w:w="1800" w:type="dxa"/>
            <w:vAlign w:val="bottom"/>
          </w:tcPr>
          <w:p>
            <w:pPr>
              <w:jc w:val="right"/>
              <w:ind w:right="1606"/>
              <w:spacing w:after="0"/>
              <w:rPr>
                <w:sz w:val="20"/>
                <w:szCs w:val="20"/>
                <w:color w:val="auto"/>
              </w:rPr>
            </w:pPr>
            <w:r>
              <w:rPr>
                <w:rFonts w:ascii="Arial" w:cs="Arial" w:eastAsia="Arial" w:hAnsi="Arial"/>
                <w:sz w:val="19"/>
                <w:szCs w:val="19"/>
                <w:color w:val="auto"/>
                <w:w w:val="75"/>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167,890</w:t>
            </w:r>
          </w:p>
        </w:tc>
        <w:tc>
          <w:tcPr>
            <w:tcW w:w="420" w:type="dxa"/>
            <w:vAlign w:val="bottom"/>
          </w:tcPr>
          <w:p>
            <w:pPr>
              <w:spacing w:after="0"/>
              <w:rPr>
                <w:sz w:val="19"/>
                <w:szCs w:val="19"/>
                <w:color w:val="auto"/>
              </w:rPr>
            </w:pPr>
          </w:p>
        </w:tc>
        <w:tc>
          <w:tcPr>
            <w:tcW w:w="900" w:type="dxa"/>
            <w:vAlign w:val="bottom"/>
            <w:gridSpan w:val="2"/>
          </w:tcPr>
          <w:p>
            <w:pPr>
              <w:jc w:val="right"/>
              <w:ind w:right="768"/>
              <w:spacing w:after="0"/>
              <w:rPr>
                <w:sz w:val="20"/>
                <w:szCs w:val="20"/>
                <w:color w:val="auto"/>
              </w:rPr>
            </w:pPr>
            <w:r>
              <w:rPr>
                <w:rFonts w:ascii="Arial" w:cs="Arial" w:eastAsia="Arial" w:hAnsi="Arial"/>
                <w:sz w:val="15"/>
                <w:szCs w:val="15"/>
                <w:color w:val="auto"/>
                <w:w w:val="71"/>
              </w:rPr>
              <w:t>$</w:t>
            </w:r>
          </w:p>
        </w:tc>
        <w:tc>
          <w:tcPr>
            <w:tcW w:w="1820" w:type="dxa"/>
            <w:vAlign w:val="bottom"/>
          </w:tcPr>
          <w:p>
            <w:pPr>
              <w:jc w:val="right"/>
              <w:spacing w:after="0"/>
              <w:rPr>
                <w:sz w:val="20"/>
                <w:szCs w:val="20"/>
                <w:color w:val="auto"/>
              </w:rPr>
            </w:pPr>
            <w:r>
              <w:rPr>
                <w:rFonts w:ascii="Arial" w:cs="Arial" w:eastAsia="Arial" w:hAnsi="Arial"/>
                <w:sz w:val="19"/>
                <w:szCs w:val="19"/>
                <w:color w:val="auto"/>
              </w:rPr>
              <w:t>177,407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400" w:type="dxa"/>
            <w:vAlign w:val="bottom"/>
            <w:gridSpan w:val="4"/>
            <w:shd w:val="clear" w:color="auto" w:fill="CFF0FC"/>
          </w:tcPr>
          <w:p>
            <w:pPr>
              <w:spacing w:after="0"/>
              <w:rPr>
                <w:sz w:val="20"/>
                <w:szCs w:val="20"/>
                <w:color w:val="auto"/>
              </w:rPr>
            </w:pPr>
            <w:r>
              <w:rPr>
                <w:rFonts w:ascii="Arial" w:cs="Arial" w:eastAsia="Arial" w:hAnsi="Arial"/>
                <w:sz w:val="19"/>
                <w:szCs w:val="19"/>
                <w:color w:val="auto"/>
              </w:rPr>
              <w:t>Southeast Group</w:t>
            </w:r>
          </w:p>
        </w:tc>
        <w:tc>
          <w:tcPr>
            <w:tcW w:w="18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77,563</w:t>
            </w: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86,726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400" w:type="dxa"/>
            <w:vAlign w:val="bottom"/>
            <w:tcBorders>
              <w:bottom w:val="single" w:sz="8" w:color="CFF0FC"/>
            </w:tcBorders>
            <w:gridSpan w:val="4"/>
          </w:tcPr>
          <w:p>
            <w:pPr>
              <w:spacing w:after="0"/>
              <w:rPr>
                <w:sz w:val="20"/>
                <w:szCs w:val="20"/>
                <w:color w:val="auto"/>
              </w:rPr>
            </w:pPr>
            <w:r>
              <w:rPr>
                <w:rFonts w:ascii="Arial" w:cs="Arial" w:eastAsia="Arial" w:hAnsi="Arial"/>
                <w:sz w:val="19"/>
                <w:szCs w:val="19"/>
                <w:color w:val="auto"/>
              </w:rPr>
              <w:t>West Group</w:t>
            </w:r>
          </w:p>
        </w:tc>
        <w:tc>
          <w:tcPr>
            <w:tcW w:w="18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442,983</w:t>
            </w:r>
          </w:p>
        </w:tc>
        <w:tc>
          <w:tcPr>
            <w:tcW w:w="4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463,881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400" w:type="dxa"/>
            <w:vAlign w:val="bottom"/>
            <w:gridSpan w:val="4"/>
            <w:shd w:val="clear" w:color="auto" w:fill="CFF0FC"/>
          </w:tcPr>
          <w:p>
            <w:pPr>
              <w:spacing w:after="0"/>
              <w:rPr>
                <w:sz w:val="20"/>
                <w:szCs w:val="20"/>
                <w:color w:val="auto"/>
              </w:rPr>
            </w:pPr>
            <w:r>
              <w:rPr>
                <w:rFonts w:ascii="Arial" w:cs="Arial" w:eastAsia="Arial" w:hAnsi="Arial"/>
                <w:sz w:val="19"/>
                <w:szCs w:val="19"/>
                <w:color w:val="auto"/>
              </w:rPr>
              <w:t>Total Building Materials Business</w:t>
            </w:r>
          </w:p>
        </w:tc>
        <w:tc>
          <w:tcPr>
            <w:tcW w:w="18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688,436</w:t>
            </w: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728,014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400" w:type="dxa"/>
            <w:vAlign w:val="bottom"/>
            <w:tcBorders>
              <w:bottom w:val="single" w:sz="8" w:color="CFF0FC"/>
            </w:tcBorders>
            <w:gridSpan w:val="4"/>
          </w:tcPr>
          <w:p>
            <w:pPr>
              <w:spacing w:after="0"/>
              <w:rPr>
                <w:sz w:val="20"/>
                <w:szCs w:val="20"/>
                <w:color w:val="auto"/>
              </w:rPr>
            </w:pPr>
            <w:r>
              <w:rPr>
                <w:rFonts w:ascii="Arial" w:cs="Arial" w:eastAsia="Arial" w:hAnsi="Arial"/>
                <w:sz w:val="19"/>
                <w:szCs w:val="19"/>
                <w:color w:val="auto"/>
              </w:rPr>
              <w:t>Magnesia Specialties</w:t>
            </w:r>
          </w:p>
        </w:tc>
        <w:tc>
          <w:tcPr>
            <w:tcW w:w="18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64,869</w:t>
            </w:r>
          </w:p>
        </w:tc>
        <w:tc>
          <w:tcPr>
            <w:tcW w:w="4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64,302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400" w:type="dxa"/>
            <w:vAlign w:val="bottom"/>
            <w:tcBorders>
              <w:bottom w:val="single" w:sz="8" w:color="CFF0FC"/>
            </w:tcBorders>
            <w:gridSpan w:val="4"/>
            <w:shd w:val="clear" w:color="auto" w:fill="CFF0FC"/>
          </w:tcPr>
          <w:p>
            <w:pPr>
              <w:spacing w:after="0"/>
              <w:rPr>
                <w:sz w:val="20"/>
                <w:szCs w:val="20"/>
                <w:color w:val="auto"/>
              </w:rPr>
            </w:pPr>
            <w:r>
              <w:rPr>
                <w:rFonts w:ascii="Arial" w:cs="Arial" w:eastAsia="Arial" w:hAnsi="Arial"/>
                <w:sz w:val="19"/>
                <w:szCs w:val="19"/>
                <w:color w:val="auto"/>
              </w:rPr>
              <w:t>Total</w:t>
            </w:r>
          </w:p>
        </w:tc>
        <w:tc>
          <w:tcPr>
            <w:tcW w:w="1800" w:type="dxa"/>
            <w:vAlign w:val="bottom"/>
            <w:tcBorders>
              <w:bottom w:val="single" w:sz="8" w:color="auto"/>
            </w:tcBorders>
            <w:shd w:val="clear" w:color="auto" w:fill="CFF0FC"/>
          </w:tcPr>
          <w:p>
            <w:pPr>
              <w:jc w:val="right"/>
              <w:ind w:right="1606"/>
              <w:spacing w:after="0"/>
              <w:rPr>
                <w:sz w:val="20"/>
                <w:szCs w:val="20"/>
                <w:color w:val="auto"/>
              </w:rPr>
            </w:pPr>
            <w:r>
              <w:rPr>
                <w:rFonts w:ascii="Arial" w:cs="Arial" w:eastAsia="Arial" w:hAnsi="Arial"/>
                <w:sz w:val="19"/>
                <w:szCs w:val="19"/>
                <w:color w:val="auto"/>
                <w:w w:val="75"/>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753,305</w:t>
            </w:r>
          </w:p>
        </w:tc>
        <w:tc>
          <w:tcPr>
            <w:tcW w:w="4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768"/>
              <w:spacing w:after="0"/>
              <w:rPr>
                <w:sz w:val="20"/>
                <w:szCs w:val="20"/>
                <w:color w:val="auto"/>
              </w:rPr>
            </w:pPr>
            <w:r>
              <w:rPr>
                <w:rFonts w:ascii="Arial" w:cs="Arial" w:eastAsia="Arial" w:hAnsi="Arial"/>
                <w:sz w:val="10"/>
                <w:szCs w:val="10"/>
                <w:color w:val="auto"/>
                <w:w w:val="71"/>
              </w:rPr>
              <w:t>$</w:t>
            </w: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792,316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restart"/>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5400" w:type="dxa"/>
            <w:vAlign w:val="bottom"/>
            <w:gridSpan w:val="4"/>
            <w:shd w:val="clear" w:color="auto" w:fill="CFF0FC"/>
          </w:tcPr>
          <w:p>
            <w:pPr>
              <w:spacing w:after="0" w:line="187" w:lineRule="exact"/>
              <w:rPr>
                <w:sz w:val="20"/>
                <w:szCs w:val="20"/>
                <w:color w:val="auto"/>
              </w:rPr>
            </w:pPr>
            <w:r>
              <w:rPr>
                <w:rFonts w:ascii="Arial" w:cs="Arial" w:eastAsia="Arial" w:hAnsi="Arial"/>
                <w:sz w:val="19"/>
                <w:szCs w:val="19"/>
                <w:color w:val="auto"/>
              </w:rPr>
              <w:t>Earnings (Loss) from operations:</w:t>
            </w:r>
          </w:p>
        </w:tc>
        <w:tc>
          <w:tcPr>
            <w:tcW w:w="18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420" w:type="dxa"/>
            <w:vAlign w:val="bottom"/>
            <w:tcBorders>
              <w:top w:val="single" w:sz="8" w:color="auto"/>
            </w:tcBorders>
            <w:gridSpan w:val="3"/>
          </w:tcPr>
          <w:p>
            <w:pPr>
              <w:spacing w:after="0"/>
              <w:rPr>
                <w:sz w:val="20"/>
                <w:szCs w:val="20"/>
                <w:color w:val="auto"/>
              </w:rPr>
            </w:pPr>
            <w:r>
              <w:rPr>
                <w:rFonts w:ascii="Arial" w:cs="Arial" w:eastAsia="Arial" w:hAnsi="Arial"/>
                <w:sz w:val="19"/>
                <w:szCs w:val="19"/>
                <w:color w:val="auto"/>
              </w:rPr>
              <w:t>Mid-America Group</w:t>
            </w:r>
          </w:p>
        </w:tc>
        <w:tc>
          <w:tcPr>
            <w:tcW w:w="2980" w:type="dxa"/>
            <w:vAlign w:val="bottom"/>
            <w:tcBorders>
              <w:top w:val="single" w:sz="8" w:color="CFF0FC"/>
            </w:tcBorders>
          </w:tcPr>
          <w:p>
            <w:pPr>
              <w:spacing w:after="0"/>
              <w:rPr>
                <w:sz w:val="19"/>
                <w:szCs w:val="19"/>
                <w:color w:val="auto"/>
              </w:rPr>
            </w:pPr>
          </w:p>
        </w:tc>
        <w:tc>
          <w:tcPr>
            <w:tcW w:w="1800" w:type="dxa"/>
            <w:vAlign w:val="bottom"/>
            <w:tcBorders>
              <w:top w:val="single" w:sz="8" w:color="CFF0FC"/>
            </w:tcBorders>
          </w:tcPr>
          <w:p>
            <w:pPr>
              <w:jc w:val="right"/>
              <w:ind w:right="1606"/>
              <w:spacing w:after="0"/>
              <w:rPr>
                <w:sz w:val="20"/>
                <w:szCs w:val="20"/>
                <w:color w:val="auto"/>
              </w:rPr>
            </w:pPr>
            <w:r>
              <w:rPr>
                <w:rFonts w:ascii="Arial" w:cs="Arial" w:eastAsia="Arial" w:hAnsi="Arial"/>
                <w:sz w:val="19"/>
                <w:szCs w:val="19"/>
                <w:color w:val="auto"/>
                <w:w w:val="75"/>
              </w:rPr>
              <w:t>$</w:t>
            </w:r>
          </w:p>
        </w:tc>
        <w:tc>
          <w:tcPr>
            <w:tcW w:w="940" w:type="dxa"/>
            <w:vAlign w:val="bottom"/>
            <w:tcBorders>
              <w:top w:val="single" w:sz="8" w:color="CFF0FC"/>
            </w:tcBorders>
          </w:tcPr>
          <w:p>
            <w:pPr>
              <w:jc w:val="right"/>
              <w:spacing w:after="0"/>
              <w:rPr>
                <w:sz w:val="20"/>
                <w:szCs w:val="20"/>
                <w:color w:val="auto"/>
              </w:rPr>
            </w:pPr>
            <w:r>
              <w:rPr>
                <w:rFonts w:ascii="Arial" w:cs="Arial" w:eastAsia="Arial" w:hAnsi="Arial"/>
                <w:sz w:val="19"/>
                <w:szCs w:val="19"/>
                <w:color w:val="auto"/>
              </w:rPr>
              <w:t>6,167</w:t>
            </w:r>
          </w:p>
        </w:tc>
        <w:tc>
          <w:tcPr>
            <w:tcW w:w="420" w:type="dxa"/>
            <w:vAlign w:val="bottom"/>
            <w:tcBorders>
              <w:top w:val="single" w:sz="8" w:color="CFF0FC"/>
            </w:tcBorders>
          </w:tcPr>
          <w:p>
            <w:pPr>
              <w:spacing w:after="0"/>
              <w:rPr>
                <w:sz w:val="19"/>
                <w:szCs w:val="19"/>
                <w:color w:val="auto"/>
              </w:rPr>
            </w:pPr>
          </w:p>
        </w:tc>
        <w:tc>
          <w:tcPr>
            <w:tcW w:w="900" w:type="dxa"/>
            <w:vAlign w:val="bottom"/>
            <w:tcBorders>
              <w:top w:val="single" w:sz="8" w:color="CFF0FC"/>
            </w:tcBorders>
            <w:gridSpan w:val="2"/>
          </w:tcPr>
          <w:p>
            <w:pPr>
              <w:jc w:val="right"/>
              <w:ind w:right="768"/>
              <w:spacing w:after="0"/>
              <w:rPr>
                <w:sz w:val="20"/>
                <w:szCs w:val="20"/>
                <w:color w:val="auto"/>
              </w:rPr>
            </w:pPr>
            <w:r>
              <w:rPr>
                <w:rFonts w:ascii="Arial" w:cs="Arial" w:eastAsia="Arial" w:hAnsi="Arial"/>
                <w:sz w:val="15"/>
                <w:szCs w:val="15"/>
                <w:color w:val="auto"/>
                <w:w w:val="71"/>
              </w:rPr>
              <w:t>$</w:t>
            </w:r>
          </w:p>
        </w:tc>
        <w:tc>
          <w:tcPr>
            <w:tcW w:w="1820" w:type="dxa"/>
            <w:vAlign w:val="bottom"/>
            <w:tcBorders>
              <w:top w:val="single" w:sz="8" w:color="CFF0FC"/>
            </w:tcBorders>
          </w:tcPr>
          <w:p>
            <w:pPr>
              <w:jc w:val="right"/>
              <w:spacing w:after="0"/>
              <w:rPr>
                <w:sz w:val="20"/>
                <w:szCs w:val="20"/>
                <w:color w:val="auto"/>
              </w:rPr>
            </w:pPr>
            <w:r>
              <w:rPr>
                <w:rFonts w:ascii="Arial" w:cs="Arial" w:eastAsia="Arial" w:hAnsi="Arial"/>
                <w:sz w:val="19"/>
                <w:szCs w:val="19"/>
                <w:color w:val="auto"/>
              </w:rPr>
              <w:t>13,342</w:t>
            </w:r>
          </w:p>
        </w:tc>
        <w:tc>
          <w:tcPr>
            <w:tcW w:w="12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400" w:type="dxa"/>
            <w:vAlign w:val="bottom"/>
            <w:gridSpan w:val="4"/>
            <w:shd w:val="clear" w:color="auto" w:fill="CFF0FC"/>
          </w:tcPr>
          <w:p>
            <w:pPr>
              <w:spacing w:after="0"/>
              <w:rPr>
                <w:sz w:val="20"/>
                <w:szCs w:val="20"/>
                <w:color w:val="auto"/>
              </w:rPr>
            </w:pPr>
            <w:r>
              <w:rPr>
                <w:rFonts w:ascii="Arial" w:cs="Arial" w:eastAsia="Arial" w:hAnsi="Arial"/>
                <w:sz w:val="19"/>
                <w:szCs w:val="19"/>
                <w:color w:val="auto"/>
              </w:rPr>
              <w:t>Southeast Group</w:t>
            </w:r>
          </w:p>
        </w:tc>
        <w:tc>
          <w:tcPr>
            <w:tcW w:w="18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2,041</w:t>
            </w: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10,115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400" w:type="dxa"/>
            <w:vAlign w:val="bottom"/>
            <w:tcBorders>
              <w:bottom w:val="single" w:sz="8" w:color="CFF0FC"/>
            </w:tcBorders>
            <w:gridSpan w:val="4"/>
          </w:tcPr>
          <w:p>
            <w:pPr>
              <w:spacing w:after="0"/>
              <w:rPr>
                <w:sz w:val="20"/>
                <w:szCs w:val="20"/>
                <w:color w:val="auto"/>
              </w:rPr>
            </w:pPr>
            <w:r>
              <w:rPr>
                <w:rFonts w:ascii="Arial" w:cs="Arial" w:eastAsia="Arial" w:hAnsi="Arial"/>
                <w:sz w:val="19"/>
                <w:szCs w:val="19"/>
                <w:color w:val="auto"/>
              </w:rPr>
              <w:t>West Group</w:t>
            </w:r>
          </w:p>
        </w:tc>
        <w:tc>
          <w:tcPr>
            <w:tcW w:w="18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34,951</w:t>
            </w:r>
          </w:p>
        </w:tc>
        <w:tc>
          <w:tcPr>
            <w:tcW w:w="4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61,232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400" w:type="dxa"/>
            <w:vAlign w:val="bottom"/>
            <w:gridSpan w:val="4"/>
            <w:shd w:val="clear" w:color="auto" w:fill="CFF0FC"/>
          </w:tcPr>
          <w:p>
            <w:pPr>
              <w:spacing w:after="0"/>
              <w:rPr>
                <w:sz w:val="20"/>
                <w:szCs w:val="20"/>
                <w:color w:val="auto"/>
              </w:rPr>
            </w:pPr>
            <w:r>
              <w:rPr>
                <w:rFonts w:ascii="Arial" w:cs="Arial" w:eastAsia="Arial" w:hAnsi="Arial"/>
                <w:sz w:val="19"/>
                <w:szCs w:val="19"/>
                <w:color w:val="auto"/>
              </w:rPr>
              <w:t>Total Building Materials Business</w:t>
            </w:r>
          </w:p>
        </w:tc>
        <w:tc>
          <w:tcPr>
            <w:tcW w:w="18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43,159</w:t>
            </w: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84,689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400" w:type="dxa"/>
            <w:vAlign w:val="bottom"/>
            <w:gridSpan w:val="4"/>
          </w:tcPr>
          <w:p>
            <w:pPr>
              <w:spacing w:after="0"/>
              <w:rPr>
                <w:sz w:val="20"/>
                <w:szCs w:val="20"/>
                <w:color w:val="auto"/>
              </w:rPr>
            </w:pPr>
            <w:r>
              <w:rPr>
                <w:rFonts w:ascii="Arial" w:cs="Arial" w:eastAsia="Arial" w:hAnsi="Arial"/>
                <w:sz w:val="19"/>
                <w:szCs w:val="19"/>
                <w:color w:val="auto"/>
              </w:rPr>
              <w:t>Magnesia Specialties</w:t>
            </w:r>
          </w:p>
        </w:tc>
        <w:tc>
          <w:tcPr>
            <w:tcW w:w="18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21,237</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9"/>
                <w:szCs w:val="19"/>
                <w:color w:val="auto"/>
              </w:rPr>
              <w:t>19,881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400" w:type="dxa"/>
            <w:vAlign w:val="bottom"/>
            <w:gridSpan w:val="4"/>
            <w:shd w:val="clear" w:color="auto" w:fill="CFF0FC"/>
          </w:tcPr>
          <w:p>
            <w:pPr>
              <w:spacing w:after="0"/>
              <w:rPr>
                <w:sz w:val="20"/>
                <w:szCs w:val="20"/>
                <w:color w:val="auto"/>
              </w:rPr>
            </w:pPr>
            <w:r>
              <w:rPr>
                <w:rFonts w:ascii="Arial" w:cs="Arial" w:eastAsia="Arial" w:hAnsi="Arial"/>
                <w:sz w:val="19"/>
                <w:szCs w:val="19"/>
                <w:color w:val="auto"/>
              </w:rPr>
              <w:t>Corporate</w:t>
            </w:r>
          </w:p>
        </w:tc>
        <w:tc>
          <w:tcPr>
            <w:tcW w:w="18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360"/>
              <w:spacing w:after="0"/>
              <w:rPr>
                <w:sz w:val="20"/>
                <w:szCs w:val="20"/>
                <w:color w:val="auto"/>
              </w:rPr>
            </w:pPr>
            <w:r>
              <w:rPr>
                <w:rFonts w:ascii="Arial" w:cs="Arial" w:eastAsia="Arial" w:hAnsi="Arial"/>
                <w:sz w:val="19"/>
                <w:szCs w:val="19"/>
                <w:color w:val="auto"/>
              </w:rPr>
              <w:t>(25,315)</w:t>
            </w: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ind w:right="60"/>
              <w:spacing w:after="0"/>
              <w:rPr>
                <w:sz w:val="20"/>
                <w:szCs w:val="20"/>
                <w:color w:val="auto"/>
              </w:rPr>
            </w:pPr>
            <w:r>
              <w:rPr>
                <w:rFonts w:ascii="Arial" w:cs="Arial" w:eastAsia="Arial" w:hAnsi="Arial"/>
                <w:sz w:val="19"/>
                <w:szCs w:val="19"/>
                <w:color w:val="auto"/>
              </w:rPr>
              <w:t>(27,420)</w:t>
            </w:r>
          </w:p>
        </w:tc>
        <w:tc>
          <w:tcPr>
            <w:tcW w:w="0" w:type="dxa"/>
            <w:vAlign w:val="bottom"/>
          </w:tcPr>
          <w:p>
            <w:pPr>
              <w:spacing w:after="0"/>
              <w:rPr>
                <w:sz w:val="1"/>
                <w:szCs w:val="1"/>
                <w:color w:val="auto"/>
              </w:rPr>
            </w:pPr>
          </w:p>
        </w:tc>
      </w:tr>
      <w:tr>
        <w:trPr>
          <w:trHeight w:val="221"/>
        </w:trPr>
        <w:tc>
          <w:tcPr>
            <w:tcW w:w="5420" w:type="dxa"/>
            <w:vAlign w:val="bottom"/>
            <w:gridSpan w:val="5"/>
          </w:tcPr>
          <w:p>
            <w:pPr>
              <w:spacing w:after="0"/>
              <w:rPr>
                <w:sz w:val="20"/>
                <w:szCs w:val="20"/>
                <w:color w:val="auto"/>
              </w:rPr>
            </w:pPr>
            <w:r>
              <w:rPr>
                <w:rFonts w:ascii="Arial" w:cs="Arial" w:eastAsia="Arial" w:hAnsi="Arial"/>
                <w:sz w:val="19"/>
                <w:szCs w:val="19"/>
                <w:color w:val="auto"/>
              </w:rPr>
              <w:t>Total</w:t>
            </w:r>
          </w:p>
        </w:tc>
        <w:tc>
          <w:tcPr>
            <w:tcW w:w="1800" w:type="dxa"/>
            <w:vAlign w:val="bottom"/>
            <w:tcBorders>
              <w:top w:val="single" w:sz="8" w:color="auto"/>
              <w:bottom w:val="single" w:sz="8" w:color="auto"/>
            </w:tcBorders>
          </w:tcPr>
          <w:p>
            <w:pPr>
              <w:jc w:val="right"/>
              <w:ind w:right="1606"/>
              <w:spacing w:after="0"/>
              <w:rPr>
                <w:sz w:val="20"/>
                <w:szCs w:val="20"/>
                <w:color w:val="auto"/>
              </w:rPr>
            </w:pPr>
            <w:r>
              <w:rPr>
                <w:rFonts w:ascii="Arial" w:cs="Arial" w:eastAsia="Arial" w:hAnsi="Arial"/>
                <w:sz w:val="19"/>
                <w:szCs w:val="19"/>
                <w:color w:val="auto"/>
                <w:w w:val="7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39,081</w:t>
            </w:r>
          </w:p>
        </w:tc>
        <w:tc>
          <w:tcPr>
            <w:tcW w:w="4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768"/>
              <w:spacing w:after="0"/>
              <w:rPr>
                <w:sz w:val="20"/>
                <w:szCs w:val="20"/>
                <w:color w:val="auto"/>
              </w:rPr>
            </w:pPr>
            <w:r>
              <w:rPr>
                <w:rFonts w:ascii="Arial" w:cs="Arial" w:eastAsia="Arial" w:hAnsi="Arial"/>
                <w:sz w:val="10"/>
                <w:szCs w:val="10"/>
                <w:color w:val="auto"/>
                <w:w w:val="71"/>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77,150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20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2018</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69" w:lineRule="exact"/>
        <w:rPr>
          <w:sz w:val="20"/>
          <w:szCs w:val="20"/>
          <w:color w:val="auto"/>
        </w:rPr>
      </w:pPr>
    </w:p>
    <w:p>
      <w:pPr>
        <w:ind w:left="380" w:hanging="373"/>
        <w:spacing w:after="0"/>
        <w:tabs>
          <w:tab w:leader="none" w:pos="380"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Revenues and Gross Profit</w:t>
      </w:r>
    </w:p>
    <w:p>
      <w:pPr>
        <w:spacing w:after="0" w:line="110" w:lineRule="exact"/>
        <w:rPr>
          <w:rFonts w:ascii="Arial" w:cs="Arial" w:eastAsia="Arial" w:hAnsi="Arial"/>
          <w:sz w:val="20"/>
          <w:szCs w:val="20"/>
          <w:b w:val="1"/>
          <w:bCs w:val="1"/>
          <w:color w:val="auto"/>
        </w:rPr>
      </w:pPr>
    </w:p>
    <w:p>
      <w:pPr>
        <w:jc w:val="both"/>
        <w:ind w:left="380"/>
        <w:spacing w:after="0" w:line="247" w:lineRule="auto"/>
        <w:rPr>
          <w:rFonts w:ascii="Arial" w:cs="Arial" w:eastAsia="Arial" w:hAnsi="Arial"/>
          <w:sz w:val="20"/>
          <w:szCs w:val="20"/>
          <w:b w:val="1"/>
          <w:bCs w:val="1"/>
          <w:color w:val="auto"/>
        </w:rPr>
      </w:pPr>
      <w:r>
        <w:rPr>
          <w:rFonts w:ascii="Arial" w:cs="Arial" w:eastAsia="Arial" w:hAnsi="Arial"/>
          <w:sz w:val="20"/>
          <w:szCs w:val="20"/>
          <w:color w:val="auto"/>
        </w:rPr>
        <w:t>The Building Materials business includes the aggregates, cement, ready mixed concrete and asphalt and paving product lines. All cement, ready mixed concrete and asphalt and paving product lines reside in the West Group. The following table, which is reconciled to consolidated amounts, provides total revenues and gross profit by product line.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20" w:type="dxa"/>
            <w:vAlign w:val="bottom"/>
            <w:gridSpan w:val="5"/>
          </w:tcPr>
          <w:p>
            <w:pPr>
              <w:jc w:val="center"/>
              <w:ind w:right="480"/>
              <w:spacing w:after="0"/>
              <w:rPr>
                <w:sz w:val="20"/>
                <w:szCs w:val="20"/>
                <w:color w:val="auto"/>
              </w:rPr>
            </w:pPr>
            <w:r>
              <w:rPr>
                <w:rFonts w:ascii="Arial" w:cs="Arial" w:eastAsia="Arial" w:hAnsi="Arial"/>
                <w:sz w:val="20"/>
                <w:szCs w:val="20"/>
                <w:color w:val="auto"/>
                <w:w w:val="88"/>
              </w:rPr>
              <w:t>Three-Months Ended</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3"/>
          </w:tcPr>
          <w:p>
            <w:pPr>
              <w:jc w:val="center"/>
              <w:ind w:left="702"/>
              <w:spacing w:after="0"/>
              <w:rPr>
                <w:sz w:val="20"/>
                <w:szCs w:val="20"/>
                <w:color w:val="auto"/>
              </w:rPr>
            </w:pPr>
            <w:r>
              <w:rPr>
                <w:rFonts w:ascii="Arial" w:cs="Arial" w:eastAsia="Arial" w:hAnsi="Arial"/>
                <w:sz w:val="20"/>
                <w:szCs w:val="20"/>
                <w:color w:val="auto"/>
                <w:w w:val="92"/>
              </w:rPr>
              <w:t>March 31,</w:t>
            </w:r>
          </w:p>
        </w:tc>
        <w:tc>
          <w:tcPr>
            <w:tcW w:w="11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02"/>
              <w:spacing w:after="0"/>
              <w:rPr>
                <w:sz w:val="20"/>
                <w:szCs w:val="20"/>
                <w:color w:val="auto"/>
              </w:rPr>
            </w:pPr>
            <w:r>
              <w:rPr>
                <w:rFonts w:ascii="Arial" w:cs="Arial" w:eastAsia="Arial" w:hAnsi="Arial"/>
                <w:sz w:val="20"/>
                <w:szCs w:val="20"/>
                <w:color w:val="auto"/>
              </w:rPr>
              <w:t>2018</w:t>
            </w:r>
          </w:p>
        </w:tc>
        <w:tc>
          <w:tcPr>
            <w:tcW w:w="2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02"/>
              <w:spacing w:after="0"/>
              <w:rPr>
                <w:sz w:val="20"/>
                <w:szCs w:val="20"/>
                <w:color w:val="auto"/>
              </w:rPr>
            </w:pPr>
            <w:r>
              <w:rPr>
                <w:rFonts w:ascii="Arial" w:cs="Arial" w:eastAsia="Arial" w:hAnsi="Arial"/>
                <w:sz w:val="20"/>
                <w:szCs w:val="20"/>
                <w:color w:val="auto"/>
              </w:rPr>
              <w:t>2017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00" w:type="dxa"/>
            <w:vAlign w:val="bottom"/>
            <w:gridSpan w:val="4"/>
          </w:tcPr>
          <w:p>
            <w:pPr>
              <w:jc w:val="center"/>
              <w:ind w:right="262"/>
              <w:spacing w:after="0"/>
              <w:rPr>
                <w:sz w:val="20"/>
                <w:szCs w:val="20"/>
                <w:color w:val="auto"/>
              </w:rPr>
            </w:pPr>
            <w:r>
              <w:rPr>
                <w:rFonts w:ascii="Arial" w:cs="Arial" w:eastAsia="Arial" w:hAnsi="Arial"/>
                <w:sz w:val="20"/>
                <w:szCs w:val="20"/>
                <w:i w:val="1"/>
                <w:iCs w:val="1"/>
                <w:color w:val="auto"/>
                <w:w w:val="90"/>
              </w:rPr>
              <w:t>(Dollars in Thousands)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40" w:type="dxa"/>
            <w:vAlign w:val="bottom"/>
            <w:gridSpan w:val="3"/>
            <w:shd w:val="clear" w:color="auto" w:fill="CFF0FC"/>
          </w:tcPr>
          <w:p>
            <w:pPr>
              <w:spacing w:after="0" w:line="201" w:lineRule="exact"/>
              <w:rPr>
                <w:sz w:val="20"/>
                <w:szCs w:val="20"/>
                <w:color w:val="auto"/>
              </w:rPr>
            </w:pPr>
            <w:r>
              <w:rPr>
                <w:rFonts w:ascii="Arial" w:cs="Arial" w:eastAsia="Arial" w:hAnsi="Arial"/>
                <w:sz w:val="20"/>
                <w:szCs w:val="20"/>
                <w:color w:val="auto"/>
              </w:rPr>
              <w:t>Total revenues:</w:t>
            </w:r>
          </w:p>
        </w:tc>
        <w:tc>
          <w:tcPr>
            <w:tcW w:w="25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tcBorders>
              <w:top w:val="single" w:sz="8" w:color="auto"/>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820" w:type="dxa"/>
            <w:vAlign w:val="bottom"/>
            <w:tcBorders>
              <w:top w:val="single" w:sz="8" w:color="CFF0FC"/>
            </w:tcBorders>
            <w:shd w:val="clear" w:color="auto" w:fill="CFF0FC"/>
          </w:tcPr>
          <w:p>
            <w:pPr>
              <w:spacing w:after="0" w:line="20" w:lineRule="exact"/>
              <w:rPr>
                <w:sz w:val="1"/>
                <w:szCs w:val="1"/>
                <w:color w:val="auto"/>
              </w:rPr>
            </w:pPr>
          </w:p>
        </w:tc>
        <w:tc>
          <w:tcPr>
            <w:tcW w:w="25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vMerge w:val="continue"/>
          </w:tcPr>
          <w:p>
            <w:pPr>
              <w:spacing w:after="0"/>
              <w:rPr>
                <w:sz w:val="20"/>
                <w:szCs w:val="20"/>
                <w:color w:val="auto"/>
              </w:rPr>
            </w:pPr>
          </w:p>
        </w:tc>
        <w:tc>
          <w:tcPr>
            <w:tcW w:w="5240" w:type="dxa"/>
            <w:vAlign w:val="bottom"/>
            <w:gridSpan w:val="3"/>
          </w:tcPr>
          <w:p>
            <w:pPr>
              <w:spacing w:after="0"/>
              <w:rPr>
                <w:sz w:val="20"/>
                <w:szCs w:val="20"/>
                <w:color w:val="auto"/>
              </w:rPr>
            </w:pPr>
            <w:r>
              <w:rPr>
                <w:rFonts w:ascii="Arial" w:cs="Arial" w:eastAsia="Arial" w:hAnsi="Arial"/>
                <w:sz w:val="20"/>
                <w:szCs w:val="20"/>
                <w:color w:val="auto"/>
              </w:rPr>
              <w:t>Building Materials Business:</w:t>
            </w:r>
          </w:p>
        </w:tc>
        <w:tc>
          <w:tcPr>
            <w:tcW w:w="2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24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Products and services:</w:t>
            </w:r>
          </w:p>
        </w:tc>
        <w:tc>
          <w:tcPr>
            <w:tcW w:w="2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240" w:type="dxa"/>
            <w:vAlign w:val="bottom"/>
            <w:gridSpan w:val="3"/>
          </w:tcPr>
          <w:p>
            <w:pPr>
              <w:ind w:left="240"/>
              <w:spacing w:after="0"/>
              <w:rPr>
                <w:sz w:val="20"/>
                <w:szCs w:val="20"/>
                <w:color w:val="auto"/>
              </w:rPr>
            </w:pPr>
            <w:r>
              <w:rPr>
                <w:rFonts w:ascii="Arial" w:cs="Arial" w:eastAsia="Arial" w:hAnsi="Arial"/>
                <w:sz w:val="20"/>
                <w:szCs w:val="20"/>
                <w:color w:val="auto"/>
              </w:rPr>
              <w:t>Aggregates</w:t>
            </w:r>
          </w:p>
        </w:tc>
        <w:tc>
          <w:tcPr>
            <w:tcW w:w="2940" w:type="dxa"/>
            <w:vAlign w:val="bottom"/>
            <w:gridSpan w:val="2"/>
          </w:tcPr>
          <w:p>
            <w:pPr>
              <w:jc w:val="right"/>
              <w:ind w:right="162"/>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425,016</w:t>
            </w:r>
          </w:p>
        </w:tc>
        <w:tc>
          <w:tcPr>
            <w:tcW w:w="280" w:type="dxa"/>
            <w:vAlign w:val="bottom"/>
          </w:tcPr>
          <w:p>
            <w:pPr>
              <w:spacing w:after="0"/>
              <w:rPr>
                <w:sz w:val="20"/>
                <w:szCs w:val="20"/>
                <w:color w:val="auto"/>
              </w:rPr>
            </w:pPr>
          </w:p>
        </w:tc>
        <w:tc>
          <w:tcPr>
            <w:tcW w:w="440" w:type="dxa"/>
            <w:vAlign w:val="bottom"/>
          </w:tcPr>
          <w:p>
            <w:pPr>
              <w:jc w:val="right"/>
              <w:ind w:right="242"/>
              <w:spacing w:after="0"/>
              <w:rPr>
                <w:sz w:val="20"/>
                <w:szCs w:val="20"/>
                <w:color w:val="auto"/>
              </w:rPr>
            </w:pPr>
            <w:r>
              <w:rPr>
                <w:rFonts w:ascii="Arial" w:cs="Arial" w:eastAsia="Arial" w:hAnsi="Arial"/>
                <w:sz w:val="20"/>
                <w:szCs w:val="20"/>
                <w:color w:val="auto"/>
                <w:w w:val="71"/>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451,055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240" w:type="dxa"/>
            <w:vAlign w:val="bottom"/>
            <w:gridSpan w:val="3"/>
            <w:shd w:val="clear" w:color="auto" w:fill="CFF0FC"/>
          </w:tcPr>
          <w:p>
            <w:pPr>
              <w:ind w:left="240"/>
              <w:spacing w:after="0"/>
              <w:rPr>
                <w:sz w:val="20"/>
                <w:szCs w:val="20"/>
                <w:color w:val="auto"/>
              </w:rPr>
            </w:pPr>
            <w:r>
              <w:rPr>
                <w:rFonts w:ascii="Arial" w:cs="Arial" w:eastAsia="Arial" w:hAnsi="Arial"/>
                <w:sz w:val="20"/>
                <w:szCs w:val="20"/>
                <w:color w:val="auto"/>
              </w:rPr>
              <w:t>Cement</w:t>
            </w:r>
          </w:p>
        </w:tc>
        <w:tc>
          <w:tcPr>
            <w:tcW w:w="2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89,183</w:t>
            </w:r>
          </w:p>
        </w:tc>
        <w:tc>
          <w:tcPr>
            <w:tcW w:w="2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93,554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240" w:type="dxa"/>
            <w:vAlign w:val="bottom"/>
            <w:gridSpan w:val="3"/>
          </w:tcPr>
          <w:p>
            <w:pPr>
              <w:ind w:left="240"/>
              <w:spacing w:after="0"/>
              <w:rPr>
                <w:sz w:val="20"/>
                <w:szCs w:val="20"/>
                <w:color w:val="auto"/>
              </w:rPr>
            </w:pPr>
            <w:r>
              <w:rPr>
                <w:rFonts w:ascii="Arial" w:cs="Arial" w:eastAsia="Arial" w:hAnsi="Arial"/>
                <w:sz w:val="20"/>
                <w:szCs w:val="20"/>
                <w:color w:val="auto"/>
              </w:rPr>
              <w:t>Ready mixed concrete</w:t>
            </w:r>
          </w:p>
        </w:tc>
        <w:tc>
          <w:tcPr>
            <w:tcW w:w="2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218,537</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222,378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240" w:type="dxa"/>
            <w:vAlign w:val="bottom"/>
            <w:gridSpan w:val="3"/>
            <w:shd w:val="clear" w:color="auto" w:fill="CFF0FC"/>
          </w:tcPr>
          <w:p>
            <w:pPr>
              <w:ind w:left="240"/>
              <w:spacing w:after="0"/>
              <w:rPr>
                <w:sz w:val="20"/>
                <w:szCs w:val="20"/>
                <w:color w:val="auto"/>
              </w:rPr>
            </w:pPr>
            <w:r>
              <w:rPr>
                <w:rFonts w:ascii="Arial" w:cs="Arial" w:eastAsia="Arial" w:hAnsi="Arial"/>
                <w:sz w:val="20"/>
                <w:szCs w:val="20"/>
                <w:color w:val="auto"/>
              </w:rPr>
              <w:t>Asphalt and paving services</w:t>
            </w:r>
          </w:p>
        </w:tc>
        <w:tc>
          <w:tcPr>
            <w:tcW w:w="2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16,365</w:t>
            </w:r>
          </w:p>
        </w:tc>
        <w:tc>
          <w:tcPr>
            <w:tcW w:w="2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21,737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240" w:type="dxa"/>
            <w:vAlign w:val="bottom"/>
            <w:gridSpan w:val="3"/>
          </w:tcPr>
          <w:p>
            <w:pPr>
              <w:ind w:left="240"/>
              <w:spacing w:after="0"/>
              <w:rPr>
                <w:sz w:val="20"/>
                <w:szCs w:val="20"/>
                <w:color w:val="auto"/>
              </w:rPr>
            </w:pPr>
            <w:r>
              <w:rPr>
                <w:rFonts w:ascii="Arial" w:cs="Arial" w:eastAsia="Arial" w:hAnsi="Arial"/>
                <w:sz w:val="20"/>
                <w:szCs w:val="20"/>
                <w:color w:val="auto"/>
              </w:rPr>
              <w:t>Less: interproduct revenues</w:t>
            </w:r>
          </w:p>
        </w:tc>
        <w:tc>
          <w:tcPr>
            <w:tcW w:w="2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20"/>
                <w:szCs w:val="20"/>
                <w:color w:val="auto"/>
              </w:rPr>
              <w:t>(60,665)</w:t>
            </w:r>
          </w:p>
        </w:tc>
        <w:tc>
          <w:tcPr>
            <w:tcW w:w="44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20"/>
                <w:szCs w:val="20"/>
                <w:color w:val="auto"/>
              </w:rPr>
              <w:t>(60,710)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tcBorders>
              <w:top w:val="single" w:sz="8" w:color="CFF0FC"/>
            </w:tcBorders>
            <w:gridSpan w:val="3"/>
            <w:shd w:val="clear" w:color="auto" w:fill="CFF0FC"/>
          </w:tcPr>
          <w:p>
            <w:pPr>
              <w:ind w:left="100"/>
              <w:spacing w:after="0"/>
              <w:rPr>
                <w:sz w:val="20"/>
                <w:szCs w:val="20"/>
                <w:color w:val="auto"/>
              </w:rPr>
            </w:pPr>
            <w:r>
              <w:rPr>
                <w:rFonts w:ascii="Arial" w:cs="Arial" w:eastAsia="Arial" w:hAnsi="Arial"/>
                <w:sz w:val="20"/>
                <w:szCs w:val="20"/>
                <w:color w:val="auto"/>
              </w:rPr>
              <w:t>Products and services</w:t>
            </w:r>
          </w:p>
        </w:tc>
        <w:tc>
          <w:tcPr>
            <w:tcW w:w="2580" w:type="dxa"/>
            <w:vAlign w:val="bottom"/>
            <w:tcBorders>
              <w:top w:val="single" w:sz="8" w:color="CFF0FC"/>
            </w:tcBorders>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688,436</w:t>
            </w:r>
          </w:p>
        </w:tc>
        <w:tc>
          <w:tcPr>
            <w:tcW w:w="280" w:type="dxa"/>
            <w:vAlign w:val="bottom"/>
            <w:tcBorders>
              <w:top w:val="single" w:sz="8" w:color="CFF0FC"/>
            </w:tcBorders>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728,014</w:t>
            </w:r>
          </w:p>
        </w:tc>
        <w:tc>
          <w:tcPr>
            <w:tcW w:w="12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240" w:type="dxa"/>
            <w:vAlign w:val="bottom"/>
            <w:tcBorders>
              <w:bottom w:val="single" w:sz="8" w:color="CFF0FC"/>
            </w:tcBorders>
            <w:gridSpan w:val="3"/>
          </w:tcPr>
          <w:p>
            <w:pPr>
              <w:ind w:left="100"/>
              <w:spacing w:after="0"/>
              <w:rPr>
                <w:sz w:val="20"/>
                <w:szCs w:val="20"/>
                <w:color w:val="auto"/>
              </w:rPr>
            </w:pPr>
            <w:r>
              <w:rPr>
                <w:rFonts w:ascii="Arial" w:cs="Arial" w:eastAsia="Arial" w:hAnsi="Arial"/>
                <w:sz w:val="20"/>
                <w:szCs w:val="20"/>
                <w:color w:val="auto"/>
              </w:rPr>
              <w:t>Freight</w:t>
            </w:r>
          </w:p>
        </w:tc>
        <w:tc>
          <w:tcPr>
            <w:tcW w:w="258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44,306</w:t>
            </w:r>
          </w:p>
        </w:tc>
        <w:tc>
          <w:tcPr>
            <w:tcW w:w="280" w:type="dxa"/>
            <w:vAlign w:val="bottom"/>
            <w:tcBorders>
              <w:bottom w:val="single" w:sz="8" w:color="CFF0FC"/>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47,268</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2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732,742</w:t>
            </w:r>
          </w:p>
        </w:tc>
        <w:tc>
          <w:tcPr>
            <w:tcW w:w="2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775,282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240" w:type="dxa"/>
            <w:vAlign w:val="bottom"/>
            <w:gridSpan w:val="3"/>
          </w:tcPr>
          <w:p>
            <w:pPr>
              <w:spacing w:after="0"/>
              <w:rPr>
                <w:sz w:val="20"/>
                <w:szCs w:val="20"/>
                <w:color w:val="auto"/>
              </w:rPr>
            </w:pPr>
            <w:r>
              <w:rPr>
                <w:rFonts w:ascii="Arial" w:cs="Arial" w:eastAsia="Arial" w:hAnsi="Arial"/>
                <w:sz w:val="20"/>
                <w:szCs w:val="20"/>
                <w:color w:val="auto"/>
              </w:rPr>
              <w:t>Magnesia Specialties:</w:t>
            </w:r>
          </w:p>
        </w:tc>
        <w:tc>
          <w:tcPr>
            <w:tcW w:w="2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240" w:type="dxa"/>
            <w:vAlign w:val="bottom"/>
            <w:gridSpan w:val="3"/>
            <w:shd w:val="clear" w:color="auto" w:fill="CFF0FC"/>
          </w:tcPr>
          <w:p>
            <w:pPr>
              <w:ind w:left="100"/>
              <w:spacing w:after="0"/>
              <w:rPr>
                <w:sz w:val="20"/>
                <w:szCs w:val="20"/>
                <w:color w:val="auto"/>
              </w:rPr>
            </w:pPr>
            <w:r>
              <w:rPr>
                <w:rFonts w:ascii="Arial" w:cs="Arial" w:eastAsia="Arial" w:hAnsi="Arial"/>
                <w:sz w:val="20"/>
                <w:szCs w:val="20"/>
                <w:color w:val="auto"/>
              </w:rPr>
              <w:t>Products and services</w:t>
            </w:r>
          </w:p>
        </w:tc>
        <w:tc>
          <w:tcPr>
            <w:tcW w:w="2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64,869</w:t>
            </w:r>
          </w:p>
        </w:tc>
        <w:tc>
          <w:tcPr>
            <w:tcW w:w="2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64,302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240" w:type="dxa"/>
            <w:vAlign w:val="bottom"/>
            <w:tcBorders>
              <w:bottom w:val="single" w:sz="8" w:color="CFF0FC"/>
            </w:tcBorders>
            <w:gridSpan w:val="3"/>
          </w:tcPr>
          <w:p>
            <w:pPr>
              <w:ind w:left="100"/>
              <w:spacing w:after="0"/>
              <w:rPr>
                <w:sz w:val="20"/>
                <w:szCs w:val="20"/>
                <w:color w:val="auto"/>
              </w:rPr>
            </w:pPr>
            <w:r>
              <w:rPr>
                <w:rFonts w:ascii="Arial" w:cs="Arial" w:eastAsia="Arial" w:hAnsi="Arial"/>
                <w:sz w:val="20"/>
                <w:szCs w:val="20"/>
                <w:color w:val="auto"/>
              </w:rPr>
              <w:t>Freight</w:t>
            </w:r>
          </w:p>
        </w:tc>
        <w:tc>
          <w:tcPr>
            <w:tcW w:w="258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4,393</w:t>
            </w:r>
          </w:p>
        </w:tc>
        <w:tc>
          <w:tcPr>
            <w:tcW w:w="280" w:type="dxa"/>
            <w:vAlign w:val="bottom"/>
            <w:tcBorders>
              <w:bottom w:val="single" w:sz="8" w:color="CFF0FC"/>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4,275</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Total Magnesia Specialties</w:t>
            </w:r>
          </w:p>
        </w:tc>
        <w:tc>
          <w:tcPr>
            <w:tcW w:w="2580" w:type="dxa"/>
            <w:vAlign w:val="bottom"/>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69,262</w:t>
            </w:r>
          </w:p>
        </w:tc>
        <w:tc>
          <w:tcPr>
            <w:tcW w:w="280" w:type="dxa"/>
            <w:vAlign w:val="bottom"/>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68,577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260" w:type="dxa"/>
            <w:vAlign w:val="bottom"/>
            <w:gridSpan w:val="4"/>
          </w:tcPr>
          <w:p>
            <w:pPr>
              <w:spacing w:after="0"/>
              <w:rPr>
                <w:sz w:val="20"/>
                <w:szCs w:val="20"/>
                <w:color w:val="auto"/>
              </w:rPr>
            </w:pPr>
            <w:r>
              <w:rPr>
                <w:rFonts w:ascii="Arial" w:cs="Arial" w:eastAsia="Arial" w:hAnsi="Arial"/>
                <w:sz w:val="20"/>
                <w:szCs w:val="20"/>
                <w:color w:val="auto"/>
              </w:rPr>
              <w:t>Total</w:t>
            </w:r>
          </w:p>
        </w:tc>
        <w:tc>
          <w:tcPr>
            <w:tcW w:w="2580" w:type="dxa"/>
            <w:vAlign w:val="bottom"/>
          </w:tcPr>
          <w:p>
            <w:pPr>
              <w:spacing w:after="0"/>
              <w:rPr>
                <w:sz w:val="20"/>
                <w:szCs w:val="20"/>
                <w:color w:val="auto"/>
              </w:rPr>
            </w:pPr>
          </w:p>
        </w:tc>
        <w:tc>
          <w:tcPr>
            <w:tcW w:w="360" w:type="dxa"/>
            <w:vAlign w:val="bottom"/>
            <w:tcBorders>
              <w:bottom w:val="single" w:sz="8" w:color="auto"/>
            </w:tcBorders>
          </w:tcPr>
          <w:p>
            <w:pPr>
              <w:jc w:val="right"/>
              <w:ind w:right="162"/>
              <w:spacing w:after="0"/>
              <w:rPr>
                <w:sz w:val="20"/>
                <w:szCs w:val="20"/>
                <w:color w:val="auto"/>
              </w:rPr>
            </w:pPr>
            <w:r>
              <w:rPr>
                <w:rFonts w:ascii="Arial" w:cs="Arial" w:eastAsia="Arial" w:hAnsi="Arial"/>
                <w:sz w:val="20"/>
                <w:szCs w:val="2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802,004</w:t>
            </w:r>
          </w:p>
        </w:tc>
        <w:tc>
          <w:tcPr>
            <w:tcW w:w="280" w:type="dxa"/>
            <w:vAlign w:val="bottom"/>
          </w:tcPr>
          <w:p>
            <w:pPr>
              <w:spacing w:after="0"/>
              <w:rPr>
                <w:sz w:val="20"/>
                <w:szCs w:val="20"/>
                <w:color w:val="auto"/>
              </w:rPr>
            </w:pPr>
          </w:p>
        </w:tc>
        <w:tc>
          <w:tcPr>
            <w:tcW w:w="440" w:type="dxa"/>
            <w:vAlign w:val="bottom"/>
            <w:tcBorders>
              <w:bottom w:val="single" w:sz="8" w:color="auto"/>
            </w:tcBorders>
          </w:tcPr>
          <w:p>
            <w:pPr>
              <w:jc w:val="right"/>
              <w:ind w:right="242"/>
              <w:spacing w:after="0"/>
              <w:rPr>
                <w:sz w:val="20"/>
                <w:szCs w:val="20"/>
                <w:color w:val="auto"/>
              </w:rPr>
            </w:pPr>
            <w:r>
              <w:rPr>
                <w:rFonts w:ascii="Arial" w:cs="Arial" w:eastAsia="Arial" w:hAnsi="Arial"/>
                <w:sz w:val="20"/>
                <w:szCs w:val="20"/>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843,859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60" w:type="dxa"/>
            <w:vAlign w:val="bottom"/>
            <w:gridSpan w:val="4"/>
            <w:vMerge w:val="restart"/>
          </w:tcPr>
          <w:p>
            <w:pPr>
              <w:spacing w:after="0"/>
              <w:rPr>
                <w:sz w:val="20"/>
                <w:szCs w:val="20"/>
                <w:color w:val="auto"/>
              </w:rPr>
            </w:pPr>
            <w:r>
              <w:rPr>
                <w:rFonts w:ascii="Arial" w:cs="Arial" w:eastAsia="Arial" w:hAnsi="Arial"/>
                <w:sz w:val="20"/>
                <w:szCs w:val="20"/>
                <w:color w:val="auto"/>
              </w:rPr>
              <w:t>Gross profit (loss):</w:t>
            </w:r>
          </w:p>
        </w:tc>
        <w:tc>
          <w:tcPr>
            <w:tcW w:w="2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5260" w:type="dxa"/>
            <w:vAlign w:val="bottom"/>
            <w:gridSpan w:val="4"/>
            <w:vMerge w:val="continue"/>
          </w:tcPr>
          <w:p>
            <w:pPr>
              <w:spacing w:after="0"/>
              <w:rPr>
                <w:sz w:val="24"/>
                <w:szCs w:val="24"/>
                <w:color w:val="auto"/>
              </w:rPr>
            </w:pPr>
          </w:p>
        </w:tc>
        <w:tc>
          <w:tcPr>
            <w:tcW w:w="2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vMerge w:val="continue"/>
          </w:tcPr>
          <w:p>
            <w:pPr>
              <w:spacing w:after="0"/>
              <w:rPr>
                <w:sz w:val="20"/>
                <w:szCs w:val="20"/>
                <w:color w:val="auto"/>
              </w:rPr>
            </w:pPr>
          </w:p>
        </w:tc>
        <w:tc>
          <w:tcPr>
            <w:tcW w:w="524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Building Materials Business:</w:t>
            </w:r>
          </w:p>
        </w:tc>
        <w:tc>
          <w:tcPr>
            <w:tcW w:w="2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240" w:type="dxa"/>
            <w:vAlign w:val="bottom"/>
            <w:gridSpan w:val="3"/>
          </w:tcPr>
          <w:p>
            <w:pPr>
              <w:spacing w:after="0"/>
              <w:rPr>
                <w:sz w:val="20"/>
                <w:szCs w:val="20"/>
                <w:color w:val="auto"/>
              </w:rPr>
            </w:pPr>
            <w:r>
              <w:rPr>
                <w:rFonts w:ascii="Arial" w:cs="Arial" w:eastAsia="Arial" w:hAnsi="Arial"/>
                <w:sz w:val="20"/>
                <w:szCs w:val="20"/>
                <w:color w:val="auto"/>
              </w:rPr>
              <w:t>Products and services:</w:t>
            </w:r>
          </w:p>
        </w:tc>
        <w:tc>
          <w:tcPr>
            <w:tcW w:w="2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240" w:type="dxa"/>
            <w:vAlign w:val="bottom"/>
            <w:gridSpan w:val="3"/>
            <w:shd w:val="clear" w:color="auto" w:fill="CFF0FC"/>
          </w:tcPr>
          <w:p>
            <w:pPr>
              <w:ind w:left="240"/>
              <w:spacing w:after="0"/>
              <w:rPr>
                <w:sz w:val="20"/>
                <w:szCs w:val="20"/>
                <w:color w:val="auto"/>
              </w:rPr>
            </w:pPr>
            <w:r>
              <w:rPr>
                <w:rFonts w:ascii="Arial" w:cs="Arial" w:eastAsia="Arial" w:hAnsi="Arial"/>
                <w:sz w:val="20"/>
                <w:szCs w:val="20"/>
                <w:color w:val="auto"/>
              </w:rPr>
              <w:t>Aggregates</w:t>
            </w:r>
          </w:p>
        </w:tc>
        <w:tc>
          <w:tcPr>
            <w:tcW w:w="2940" w:type="dxa"/>
            <w:vAlign w:val="bottom"/>
            <w:gridSpan w:val="2"/>
            <w:shd w:val="clear" w:color="auto" w:fill="CFF0FC"/>
          </w:tcPr>
          <w:p>
            <w:pPr>
              <w:jc w:val="right"/>
              <w:ind w:right="162"/>
              <w:spacing w:after="0"/>
              <w:rPr>
                <w:sz w:val="20"/>
                <w:szCs w:val="20"/>
                <w:color w:val="auto"/>
              </w:rPr>
            </w:pPr>
            <w:r>
              <w:rPr>
                <w:rFonts w:ascii="Arial" w:cs="Arial" w:eastAsia="Arial" w:hAnsi="Arial"/>
                <w:sz w:val="20"/>
                <w:szCs w:val="20"/>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53,002</w:t>
            </w:r>
          </w:p>
        </w:tc>
        <w:tc>
          <w:tcPr>
            <w:tcW w:w="280" w:type="dxa"/>
            <w:vAlign w:val="bottom"/>
            <w:shd w:val="clear" w:color="auto" w:fill="CFF0FC"/>
          </w:tcPr>
          <w:p>
            <w:pPr>
              <w:spacing w:after="0"/>
              <w:rPr>
                <w:sz w:val="20"/>
                <w:szCs w:val="20"/>
                <w:color w:val="auto"/>
              </w:rPr>
            </w:pPr>
          </w:p>
        </w:tc>
        <w:tc>
          <w:tcPr>
            <w:tcW w:w="440" w:type="dxa"/>
            <w:vAlign w:val="bottom"/>
            <w:shd w:val="clear" w:color="auto" w:fill="CFF0FC"/>
          </w:tcPr>
          <w:p>
            <w:pPr>
              <w:jc w:val="right"/>
              <w:ind w:right="242"/>
              <w:spacing w:after="0"/>
              <w:rPr>
                <w:sz w:val="20"/>
                <w:szCs w:val="20"/>
                <w:color w:val="auto"/>
              </w:rPr>
            </w:pPr>
            <w:r>
              <w:rPr>
                <w:rFonts w:ascii="Arial" w:cs="Arial" w:eastAsia="Arial" w:hAnsi="Arial"/>
                <w:sz w:val="20"/>
                <w:szCs w:val="20"/>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78,954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240" w:type="dxa"/>
            <w:vAlign w:val="bottom"/>
            <w:gridSpan w:val="3"/>
          </w:tcPr>
          <w:p>
            <w:pPr>
              <w:ind w:left="240"/>
              <w:spacing w:after="0"/>
              <w:rPr>
                <w:sz w:val="20"/>
                <w:szCs w:val="20"/>
                <w:color w:val="auto"/>
              </w:rPr>
            </w:pPr>
            <w:r>
              <w:rPr>
                <w:rFonts w:ascii="Arial" w:cs="Arial" w:eastAsia="Arial" w:hAnsi="Arial"/>
                <w:sz w:val="20"/>
                <w:szCs w:val="20"/>
                <w:color w:val="auto"/>
              </w:rPr>
              <w:t>Cement</w:t>
            </w:r>
          </w:p>
        </w:tc>
        <w:tc>
          <w:tcPr>
            <w:tcW w:w="2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23,734</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30,780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240" w:type="dxa"/>
            <w:vAlign w:val="bottom"/>
            <w:gridSpan w:val="3"/>
            <w:shd w:val="clear" w:color="auto" w:fill="CFF0FC"/>
          </w:tcPr>
          <w:p>
            <w:pPr>
              <w:ind w:left="240"/>
              <w:spacing w:after="0"/>
              <w:rPr>
                <w:sz w:val="20"/>
                <w:szCs w:val="20"/>
                <w:color w:val="auto"/>
              </w:rPr>
            </w:pPr>
            <w:r>
              <w:rPr>
                <w:rFonts w:ascii="Arial" w:cs="Arial" w:eastAsia="Arial" w:hAnsi="Arial"/>
                <w:sz w:val="20"/>
                <w:szCs w:val="20"/>
                <w:color w:val="auto"/>
              </w:rPr>
              <w:t>Ready mixed concrete</w:t>
            </w:r>
          </w:p>
        </w:tc>
        <w:tc>
          <w:tcPr>
            <w:tcW w:w="2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15,641</w:t>
            </w:r>
          </w:p>
        </w:tc>
        <w:tc>
          <w:tcPr>
            <w:tcW w:w="2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19,790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240" w:type="dxa"/>
            <w:vAlign w:val="bottom"/>
            <w:gridSpan w:val="3"/>
          </w:tcPr>
          <w:p>
            <w:pPr>
              <w:ind w:left="240"/>
              <w:spacing w:after="0"/>
              <w:rPr>
                <w:sz w:val="20"/>
                <w:szCs w:val="20"/>
                <w:color w:val="auto"/>
              </w:rPr>
            </w:pPr>
            <w:r>
              <w:rPr>
                <w:rFonts w:ascii="Arial" w:cs="Arial" w:eastAsia="Arial" w:hAnsi="Arial"/>
                <w:sz w:val="20"/>
                <w:szCs w:val="20"/>
                <w:color w:val="auto"/>
              </w:rPr>
              <w:t>Asphalt and paving services</w:t>
            </w:r>
          </w:p>
        </w:tc>
        <w:tc>
          <w:tcPr>
            <w:tcW w:w="2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20"/>
                <w:szCs w:val="20"/>
                <w:color w:val="auto"/>
              </w:rPr>
              <w:t>(7,639)</w:t>
            </w:r>
          </w:p>
        </w:tc>
        <w:tc>
          <w:tcPr>
            <w:tcW w:w="44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20"/>
                <w:szCs w:val="20"/>
                <w:color w:val="auto"/>
              </w:rPr>
              <w:t>(4,740)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tcBorders>
              <w:top w:val="single" w:sz="8" w:color="CFF0FC"/>
            </w:tcBorders>
            <w:gridSpan w:val="3"/>
            <w:shd w:val="clear" w:color="auto" w:fill="CFF0FC"/>
          </w:tcPr>
          <w:p>
            <w:pPr>
              <w:ind w:left="100"/>
              <w:spacing w:after="0"/>
              <w:rPr>
                <w:sz w:val="20"/>
                <w:szCs w:val="20"/>
                <w:color w:val="auto"/>
              </w:rPr>
            </w:pPr>
            <w:r>
              <w:rPr>
                <w:rFonts w:ascii="Arial" w:cs="Arial" w:eastAsia="Arial" w:hAnsi="Arial"/>
                <w:sz w:val="20"/>
                <w:szCs w:val="20"/>
                <w:color w:val="auto"/>
              </w:rPr>
              <w:t>Products and services</w:t>
            </w:r>
          </w:p>
        </w:tc>
        <w:tc>
          <w:tcPr>
            <w:tcW w:w="2580" w:type="dxa"/>
            <w:vAlign w:val="bottom"/>
            <w:tcBorders>
              <w:top w:val="single" w:sz="8" w:color="CFF0FC"/>
            </w:tcBorders>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84,738</w:t>
            </w:r>
          </w:p>
        </w:tc>
        <w:tc>
          <w:tcPr>
            <w:tcW w:w="280" w:type="dxa"/>
            <w:vAlign w:val="bottom"/>
            <w:tcBorders>
              <w:top w:val="single" w:sz="8" w:color="CFF0FC"/>
            </w:tcBorders>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124,784</w:t>
            </w:r>
          </w:p>
        </w:tc>
        <w:tc>
          <w:tcPr>
            <w:tcW w:w="12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240" w:type="dxa"/>
            <w:vAlign w:val="bottom"/>
            <w:gridSpan w:val="3"/>
          </w:tcPr>
          <w:p>
            <w:pPr>
              <w:ind w:left="100"/>
              <w:spacing w:after="0"/>
              <w:rPr>
                <w:sz w:val="20"/>
                <w:szCs w:val="20"/>
                <w:color w:val="auto"/>
              </w:rPr>
            </w:pPr>
            <w:r>
              <w:rPr>
                <w:rFonts w:ascii="Arial" w:cs="Arial" w:eastAsia="Arial" w:hAnsi="Arial"/>
                <w:sz w:val="20"/>
                <w:szCs w:val="20"/>
                <w:color w:val="auto"/>
              </w:rPr>
              <w:t>Freight</w:t>
            </w:r>
          </w:p>
        </w:tc>
        <w:tc>
          <w:tcPr>
            <w:tcW w:w="2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20"/>
                <w:szCs w:val="20"/>
                <w:color w:val="auto"/>
              </w:rPr>
              <w:t>(119)</w:t>
            </w:r>
          </w:p>
        </w:tc>
        <w:tc>
          <w:tcPr>
            <w:tcW w:w="4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407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2580" w:type="dxa"/>
            <w:vAlign w:val="bottom"/>
            <w:tcBorders>
              <w:top w:val="single" w:sz="8" w:color="CFF0FC"/>
            </w:tcBorders>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84,619</w:t>
            </w:r>
          </w:p>
        </w:tc>
        <w:tc>
          <w:tcPr>
            <w:tcW w:w="280" w:type="dxa"/>
            <w:vAlign w:val="bottom"/>
            <w:tcBorders>
              <w:top w:val="single" w:sz="8" w:color="CFF0FC"/>
            </w:tcBorders>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125,191</w:t>
            </w:r>
          </w:p>
        </w:tc>
        <w:tc>
          <w:tcPr>
            <w:tcW w:w="12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240" w:type="dxa"/>
            <w:vAlign w:val="bottom"/>
            <w:gridSpan w:val="3"/>
          </w:tcPr>
          <w:p>
            <w:pPr>
              <w:spacing w:after="0"/>
              <w:rPr>
                <w:sz w:val="20"/>
                <w:szCs w:val="20"/>
                <w:color w:val="auto"/>
              </w:rPr>
            </w:pPr>
            <w:r>
              <w:rPr>
                <w:rFonts w:ascii="Arial" w:cs="Arial" w:eastAsia="Arial" w:hAnsi="Arial"/>
                <w:sz w:val="20"/>
                <w:szCs w:val="20"/>
                <w:color w:val="auto"/>
              </w:rPr>
              <w:t>Magnesia Specialties:</w:t>
            </w:r>
          </w:p>
        </w:tc>
        <w:tc>
          <w:tcPr>
            <w:tcW w:w="2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240" w:type="dxa"/>
            <w:vAlign w:val="bottom"/>
            <w:gridSpan w:val="3"/>
            <w:shd w:val="clear" w:color="auto" w:fill="CFF0FC"/>
          </w:tcPr>
          <w:p>
            <w:pPr>
              <w:ind w:left="100"/>
              <w:spacing w:after="0"/>
              <w:rPr>
                <w:sz w:val="20"/>
                <w:szCs w:val="20"/>
                <w:color w:val="auto"/>
              </w:rPr>
            </w:pPr>
            <w:r>
              <w:rPr>
                <w:rFonts w:ascii="Arial" w:cs="Arial" w:eastAsia="Arial" w:hAnsi="Arial"/>
                <w:sz w:val="20"/>
                <w:szCs w:val="20"/>
                <w:color w:val="auto"/>
              </w:rPr>
              <w:t>Products and services</w:t>
            </w:r>
          </w:p>
        </w:tc>
        <w:tc>
          <w:tcPr>
            <w:tcW w:w="2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25,063</w:t>
            </w:r>
          </w:p>
        </w:tc>
        <w:tc>
          <w:tcPr>
            <w:tcW w:w="2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23,354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240" w:type="dxa"/>
            <w:vAlign w:val="bottom"/>
            <w:gridSpan w:val="3"/>
          </w:tcPr>
          <w:p>
            <w:pPr>
              <w:ind w:left="100"/>
              <w:spacing w:after="0"/>
              <w:rPr>
                <w:sz w:val="20"/>
                <w:szCs w:val="20"/>
                <w:color w:val="auto"/>
              </w:rPr>
            </w:pPr>
            <w:r>
              <w:rPr>
                <w:rFonts w:ascii="Arial" w:cs="Arial" w:eastAsia="Arial" w:hAnsi="Arial"/>
                <w:sz w:val="20"/>
                <w:szCs w:val="20"/>
                <w:color w:val="auto"/>
              </w:rPr>
              <w:t>Freight</w:t>
            </w:r>
          </w:p>
        </w:tc>
        <w:tc>
          <w:tcPr>
            <w:tcW w:w="2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20"/>
                <w:szCs w:val="20"/>
                <w:color w:val="auto"/>
              </w:rPr>
              <w:t>(1,174)</w:t>
            </w:r>
          </w:p>
        </w:tc>
        <w:tc>
          <w:tcPr>
            <w:tcW w:w="44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20"/>
                <w:szCs w:val="20"/>
                <w:color w:val="auto"/>
              </w:rPr>
              <w:t>(1,039)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20"/>
                <w:szCs w:val="20"/>
                <w:color w:val="auto"/>
              </w:rPr>
              <w:t>Total Magnesia Specialties</w:t>
            </w:r>
          </w:p>
        </w:tc>
        <w:tc>
          <w:tcPr>
            <w:tcW w:w="2580" w:type="dxa"/>
            <w:vAlign w:val="bottom"/>
            <w:tcBorders>
              <w:top w:val="single" w:sz="8" w:color="CFF0FC"/>
            </w:tcBorders>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23,889</w:t>
            </w:r>
          </w:p>
        </w:tc>
        <w:tc>
          <w:tcPr>
            <w:tcW w:w="280" w:type="dxa"/>
            <w:vAlign w:val="bottom"/>
            <w:tcBorders>
              <w:top w:val="single" w:sz="8" w:color="CFF0FC"/>
            </w:tcBorders>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22,315</w:t>
            </w:r>
          </w:p>
        </w:tc>
        <w:tc>
          <w:tcPr>
            <w:tcW w:w="12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240" w:type="dxa"/>
            <w:vAlign w:val="bottom"/>
            <w:gridSpan w:val="3"/>
          </w:tcPr>
          <w:p>
            <w:pPr>
              <w:spacing w:after="0"/>
              <w:rPr>
                <w:sz w:val="20"/>
                <w:szCs w:val="20"/>
                <w:color w:val="auto"/>
              </w:rPr>
            </w:pPr>
            <w:r>
              <w:rPr>
                <w:rFonts w:ascii="Arial" w:cs="Arial" w:eastAsia="Arial" w:hAnsi="Arial"/>
                <w:sz w:val="20"/>
                <w:szCs w:val="20"/>
                <w:color w:val="auto"/>
              </w:rPr>
              <w:t>Corporate</w:t>
            </w:r>
          </w:p>
        </w:tc>
        <w:tc>
          <w:tcPr>
            <w:tcW w:w="2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1,884</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20"/>
                <w:szCs w:val="20"/>
                <w:color w:val="auto"/>
              </w:rPr>
              <w:t>(439)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20"/>
                <w:szCs w:val="20"/>
                <w:color w:val="auto"/>
              </w:rPr>
              <w:t>Total</w:t>
            </w:r>
          </w:p>
        </w:tc>
        <w:tc>
          <w:tcPr>
            <w:tcW w:w="2580" w:type="dxa"/>
            <w:vAlign w:val="bottom"/>
            <w:tcBorders>
              <w:top w:val="single" w:sz="8" w:color="CFF0FC"/>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ind w:right="162"/>
              <w:spacing w:after="0"/>
              <w:rPr>
                <w:sz w:val="20"/>
                <w:szCs w:val="20"/>
                <w:color w:val="auto"/>
              </w:rPr>
            </w:pPr>
            <w:r>
              <w:rPr>
                <w:rFonts w:ascii="Arial" w:cs="Arial" w:eastAsia="Arial" w:hAnsi="Arial"/>
                <w:sz w:val="20"/>
                <w:szCs w:val="20"/>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110,392</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jc w:val="right"/>
              <w:ind w:right="242"/>
              <w:spacing w:after="0"/>
              <w:rPr>
                <w:sz w:val="20"/>
                <w:szCs w:val="20"/>
                <w:color w:val="auto"/>
              </w:rPr>
            </w:pPr>
            <w:r>
              <w:rPr>
                <w:rFonts w:ascii="Arial" w:cs="Arial" w:eastAsia="Arial" w:hAnsi="Arial"/>
                <w:sz w:val="20"/>
                <w:szCs w:val="20"/>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147,067</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21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9"/>
          <w:szCs w:val="19"/>
          <w:color w:val="auto"/>
        </w:rPr>
        <w:t>MARTIN MARIETTA MATERIALS, INC. AND CONSOLIDATED SUBSIDIARIES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FORM 10-Q</w:t>
      </w:r>
    </w:p>
    <w:p>
      <w:pPr>
        <w:jc w:val="center"/>
        <w:ind w:right="-19"/>
        <w:spacing w:after="0"/>
        <w:rPr>
          <w:sz w:val="20"/>
          <w:szCs w:val="20"/>
          <w:color w:val="auto"/>
        </w:rPr>
      </w:pPr>
      <w:r>
        <w:rPr>
          <w:rFonts w:ascii="Arial" w:cs="Arial" w:eastAsia="Arial" w:hAnsi="Arial"/>
          <w:sz w:val="20"/>
          <w:szCs w:val="20"/>
          <w:color w:val="auto"/>
        </w:rPr>
        <w:t>For the Quarter Ended March 31, 2018</w:t>
      </w:r>
    </w:p>
    <w:p>
      <w:pPr>
        <w:spacing w:after="0" w:line="4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(UNAUDITED) NOTES TO CONSOLIDATED FINANCIAL STATEMENTS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(Continued)</w:t>
      </w:r>
    </w:p>
    <w:p>
      <w:pPr>
        <w:sectPr>
          <w:pgSz w:w="11900" w:h="16838" w:orient="portrait"/>
          <w:cols w:equalWidth="0" w:num="1">
            <w:col w:w="11420"/>
          </w:cols>
          <w:pgMar w:left="240" w:top="121" w:right="239" w:bottom="1440" w:gutter="0" w:footer="0" w:header="0"/>
        </w:sectPr>
      </w:pPr>
    </w:p>
    <w:p>
      <w:pPr>
        <w:spacing w:after="0" w:line="390" w:lineRule="exact"/>
        <w:rPr>
          <w:sz w:val="20"/>
          <w:szCs w:val="20"/>
          <w:color w:val="auto"/>
        </w:rPr>
      </w:pPr>
    </w:p>
    <w:p>
      <w:pPr>
        <w:ind w:left="380" w:hanging="373"/>
        <w:spacing w:after="0"/>
        <w:tabs>
          <w:tab w:leader="none" w:pos="380"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color w:val="auto"/>
        </w:rPr>
        <w:t>Supplemental Cash Flow Information</w:t>
      </w:r>
    </w:p>
    <w:p>
      <w:pPr>
        <w:spacing w:after="0" w:line="110"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17"/>
          <w:szCs w:val="17"/>
          <w:color w:val="auto"/>
        </w:rPr>
        <w:t>The components of the change in other assets and liabilities, net,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color w:val="auto"/>
        </w:rPr>
        <w:t>Other current and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-143510</wp:posOffset>
            </wp:positionV>
            <wp:extent cx="7247890" cy="153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7890" cy="15303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Accrued salaries, benefits and payroll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247890" cy="153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7890" cy="15303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Accrued insurance and other taxes</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Accrued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247890" cy="153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7890" cy="15303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Accrued pension, postretirement and postemployment benefits</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Other current and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247890" cy="170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7890" cy="170180"/>
                    </a:xfrm>
                    <a:prstGeom prst="rect">
                      <a:avLst/>
                    </a:prstGeom>
                    <a:noFill/>
                  </pic:spPr>
                </pic:pic>
              </a:graphicData>
            </a:graphic>
          </wp:anchor>
        </w:drawing>
      </w:r>
    </w:p>
    <w:p>
      <w:pPr>
        <w:spacing w:after="0" w:line="384" w:lineRule="exact"/>
        <w:rPr>
          <w:sz w:val="20"/>
          <w:szCs w:val="20"/>
          <w:color w:val="auto"/>
        </w:rPr>
      </w:pPr>
    </w:p>
    <w:p>
      <w:pPr>
        <w:ind w:left="380"/>
        <w:spacing w:after="0"/>
        <w:rPr>
          <w:sz w:val="20"/>
          <w:szCs w:val="20"/>
          <w:color w:val="auto"/>
        </w:rPr>
      </w:pPr>
      <w:r>
        <w:rPr>
          <w:rFonts w:ascii="Arial" w:cs="Arial" w:eastAsia="Arial" w:hAnsi="Arial"/>
          <w:sz w:val="20"/>
          <w:szCs w:val="20"/>
          <w:color w:val="auto"/>
        </w:rPr>
        <w:t>Noncash investing and financing activities are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320"/>
        <w:spacing w:after="0"/>
        <w:rPr>
          <w:sz w:val="20"/>
          <w:szCs w:val="20"/>
          <w:color w:val="auto"/>
        </w:rPr>
      </w:pPr>
      <w:r>
        <w:rPr>
          <w:rFonts w:ascii="Arial" w:cs="Arial" w:eastAsia="Arial" w:hAnsi="Arial"/>
          <w:sz w:val="20"/>
          <w:szCs w:val="20"/>
          <w:color w:val="auto"/>
        </w:rPr>
        <w:t>March 31,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20"/>
                <w:szCs w:val="20"/>
                <w:color w:val="auto"/>
              </w:rPr>
              <w:t>2018</w:t>
            </w:r>
          </w:p>
        </w:tc>
        <w:tc>
          <w:tcPr>
            <w:tcW w:w="28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20"/>
                <w:szCs w:val="20"/>
                <w:color w:val="auto"/>
              </w:rPr>
              <w:t>2017</w:t>
            </w:r>
          </w:p>
        </w:tc>
        <w:tc>
          <w:tcPr>
            <w:tcW w:w="60" w:type="dxa"/>
            <w:vAlign w:val="bottom"/>
          </w:tcPr>
          <w:p>
            <w:pPr>
              <w:spacing w:after="0"/>
              <w:rPr>
                <w:sz w:val="20"/>
                <w:szCs w:val="20"/>
                <w:color w:val="auto"/>
              </w:rPr>
            </w:pPr>
          </w:p>
        </w:tc>
      </w:tr>
      <w:tr>
        <w:trPr>
          <w:trHeight w:val="231"/>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00" w:type="dxa"/>
            <w:vAlign w:val="bottom"/>
            <w:gridSpan w:val="4"/>
          </w:tcPr>
          <w:p>
            <w:pPr>
              <w:jc w:val="center"/>
              <w:ind w:right="262"/>
              <w:spacing w:after="0"/>
              <w:rPr>
                <w:sz w:val="20"/>
                <w:szCs w:val="20"/>
                <w:color w:val="auto"/>
              </w:rPr>
            </w:pPr>
            <w:r>
              <w:rPr>
                <w:rFonts w:ascii="Arial" w:cs="Arial" w:eastAsia="Arial" w:hAnsi="Arial"/>
                <w:sz w:val="20"/>
                <w:szCs w:val="20"/>
                <w:i w:val="1"/>
                <w:iCs w:val="1"/>
                <w:color w:val="auto"/>
                <w:w w:val="90"/>
              </w:rPr>
              <w:t>(Dollars in Thousands)</w:t>
            </w:r>
          </w:p>
        </w:tc>
        <w:tc>
          <w:tcPr>
            <w:tcW w:w="60" w:type="dxa"/>
            <w:vAlign w:val="bottom"/>
          </w:tcPr>
          <w:p>
            <w:pPr>
              <w:spacing w:after="0"/>
              <w:rPr>
                <w:sz w:val="20"/>
                <w:szCs w:val="20"/>
                <w:color w:val="auto"/>
              </w:rPr>
            </w:pPr>
          </w:p>
        </w:tc>
      </w:tr>
      <w:tr>
        <w:trPr>
          <w:trHeight w:val="241"/>
        </w:trPr>
        <w:tc>
          <w:tcPr>
            <w:tcW w:w="360" w:type="dxa"/>
            <w:vAlign w:val="bottom"/>
            <w:gridSpan w:val="2"/>
          </w:tcPr>
          <w:p>
            <w:pPr>
              <w:jc w:val="right"/>
              <w:ind w:right="184"/>
              <w:spacing w:after="0"/>
              <w:rPr>
                <w:sz w:val="20"/>
                <w:szCs w:val="20"/>
                <w:color w:val="auto"/>
              </w:rPr>
            </w:pPr>
            <w:r>
              <w:rPr>
                <w:rFonts w:ascii="Arial" w:cs="Arial" w:eastAsia="Arial" w:hAnsi="Arial"/>
                <w:sz w:val="20"/>
                <w:szCs w:val="20"/>
                <w:color w:val="auto"/>
                <w:w w:val="71"/>
              </w:rPr>
              <w:t>$</w:t>
            </w:r>
          </w:p>
        </w:tc>
        <w:tc>
          <w:tcPr>
            <w:tcW w:w="1500" w:type="dxa"/>
            <w:vAlign w:val="bottom"/>
            <w:gridSpan w:val="2"/>
          </w:tcPr>
          <w:p>
            <w:pPr>
              <w:jc w:val="right"/>
              <w:ind w:right="200"/>
              <w:spacing w:after="0"/>
              <w:rPr>
                <w:sz w:val="20"/>
                <w:szCs w:val="20"/>
                <w:color w:val="auto"/>
              </w:rPr>
            </w:pPr>
            <w:r>
              <w:rPr>
                <w:rFonts w:ascii="Arial" w:cs="Arial" w:eastAsia="Arial" w:hAnsi="Arial"/>
                <w:sz w:val="20"/>
                <w:szCs w:val="20"/>
                <w:color w:val="auto"/>
              </w:rPr>
              <w:t>(9,032)</w:t>
            </w:r>
          </w:p>
        </w:tc>
        <w:tc>
          <w:tcPr>
            <w:tcW w:w="440" w:type="dxa"/>
            <w:vAlign w:val="bottom"/>
          </w:tcPr>
          <w:p>
            <w:pPr>
              <w:jc w:val="right"/>
              <w:ind w:right="242"/>
              <w:spacing w:after="0"/>
              <w:rPr>
                <w:sz w:val="20"/>
                <w:szCs w:val="20"/>
                <w:color w:val="auto"/>
              </w:rPr>
            </w:pPr>
            <w:r>
              <w:rPr>
                <w:rFonts w:ascii="Arial" w:cs="Arial" w:eastAsia="Arial" w:hAnsi="Arial"/>
                <w:sz w:val="20"/>
                <w:szCs w:val="20"/>
                <w:color w:val="auto"/>
                <w:w w:val="71"/>
              </w:rPr>
              <w:t>$</w:t>
            </w:r>
          </w:p>
        </w:tc>
        <w:tc>
          <w:tcPr>
            <w:tcW w:w="1220" w:type="dxa"/>
            <w:vAlign w:val="bottom"/>
            <w:gridSpan w:val="2"/>
          </w:tcPr>
          <w:p>
            <w:pPr>
              <w:jc w:val="right"/>
              <w:spacing w:after="0"/>
              <w:rPr>
                <w:sz w:val="20"/>
                <w:szCs w:val="20"/>
                <w:color w:val="auto"/>
              </w:rPr>
            </w:pPr>
            <w:r>
              <w:rPr>
                <w:rFonts w:ascii="Arial" w:cs="Arial" w:eastAsia="Arial" w:hAnsi="Arial"/>
                <w:sz w:val="20"/>
                <w:szCs w:val="20"/>
                <w:color w:val="auto"/>
              </w:rPr>
              <w:t>(22,914)</w:t>
            </w:r>
          </w:p>
        </w:tc>
      </w:tr>
      <w:tr>
        <w:trPr>
          <w:trHeight w:val="241"/>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20"/>
                <w:szCs w:val="20"/>
                <w:color w:val="auto"/>
              </w:rPr>
              <w:t>(13,833)</w:t>
            </w:r>
          </w:p>
        </w:tc>
        <w:tc>
          <w:tcPr>
            <w:tcW w:w="44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20"/>
                <w:szCs w:val="20"/>
                <w:color w:val="auto"/>
              </w:rPr>
              <w:t>(21,335)</w:t>
            </w:r>
          </w:p>
        </w:tc>
      </w:tr>
      <w:tr>
        <w:trPr>
          <w:trHeight w:val="241"/>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20"/>
                <w:szCs w:val="20"/>
                <w:color w:val="auto"/>
              </w:rPr>
              <w:t>(12,545)</w:t>
            </w:r>
          </w:p>
        </w:tc>
        <w:tc>
          <w:tcPr>
            <w:tcW w:w="44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20"/>
                <w:szCs w:val="20"/>
                <w:color w:val="auto"/>
              </w:rPr>
              <w:t>(10,557)</w:t>
            </w:r>
          </w:p>
        </w:tc>
      </w:tr>
      <w:tr>
        <w:trPr>
          <w:trHeight w:val="241"/>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7,357</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3,330</w:t>
            </w:r>
          </w:p>
        </w:tc>
        <w:tc>
          <w:tcPr>
            <w:tcW w:w="60" w:type="dxa"/>
            <w:vAlign w:val="bottom"/>
          </w:tcPr>
          <w:p>
            <w:pPr>
              <w:spacing w:after="0"/>
              <w:rPr>
                <w:sz w:val="20"/>
                <w:szCs w:val="20"/>
                <w:color w:val="auto"/>
              </w:rPr>
            </w:pPr>
          </w:p>
        </w:tc>
      </w:tr>
      <w:tr>
        <w:trPr>
          <w:trHeight w:val="241"/>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6,273</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6,421</w:t>
            </w:r>
          </w:p>
        </w:tc>
        <w:tc>
          <w:tcPr>
            <w:tcW w:w="60" w:type="dxa"/>
            <w:vAlign w:val="bottom"/>
          </w:tcPr>
          <w:p>
            <w:pPr>
              <w:spacing w:after="0"/>
              <w:rPr>
                <w:sz w:val="20"/>
                <w:szCs w:val="20"/>
                <w:color w:val="auto"/>
              </w:rPr>
            </w:pPr>
          </w:p>
        </w:tc>
      </w:tr>
      <w:tr>
        <w:trPr>
          <w:trHeight w:val="244"/>
        </w:trPr>
        <w:tc>
          <w:tcPr>
            <w:tcW w:w="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11,359</w:t>
            </w:r>
          </w:p>
        </w:tc>
        <w:tc>
          <w:tcPr>
            <w:tcW w:w="28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21,385</w:t>
            </w:r>
          </w:p>
        </w:tc>
        <w:tc>
          <w:tcPr>
            <w:tcW w:w="60" w:type="dxa"/>
            <w:vAlign w:val="bottom"/>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(10,421)</w:t>
            </w:r>
          </w:p>
        </w:tc>
        <w:tc>
          <w:tcPr>
            <w:tcW w:w="280" w:type="dxa"/>
            <w:vAlign w:val="bottom"/>
          </w:tcPr>
          <w:p>
            <w:pPr>
              <w:spacing w:after="0"/>
              <w:rPr>
                <w:sz w:val="20"/>
                <w:szCs w:val="20"/>
                <w:color w:val="auto"/>
              </w:rPr>
            </w:pPr>
          </w:p>
        </w:tc>
        <w:tc>
          <w:tcPr>
            <w:tcW w:w="440" w:type="dxa"/>
            <w:vAlign w:val="bottom"/>
            <w:tcBorders>
              <w:bottom w:val="single" w:sz="8" w:color="auto"/>
            </w:tcBorders>
          </w:tcPr>
          <w:p>
            <w:pPr>
              <w:jc w:val="right"/>
              <w:ind w:right="242"/>
              <w:spacing w:after="0"/>
              <w:rPr>
                <w:sz w:val="20"/>
                <w:szCs w:val="20"/>
                <w:color w:val="auto"/>
              </w:rPr>
            </w:pPr>
            <w:r>
              <w:rPr>
                <w:rFonts w:ascii="Arial" w:cs="Arial" w:eastAsia="Arial" w:hAnsi="Arial"/>
                <w:sz w:val="20"/>
                <w:szCs w:val="20"/>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(23,670)</w:t>
            </w:r>
          </w:p>
        </w:tc>
        <w:tc>
          <w:tcPr>
            <w:tcW w:w="6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77"/>
        </w:trPr>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center"/>
              <w:ind w:left="702"/>
              <w:spacing w:after="0"/>
              <w:rPr>
                <w:sz w:val="20"/>
                <w:szCs w:val="20"/>
                <w:color w:val="auto"/>
              </w:rPr>
            </w:pPr>
            <w:r>
              <w:rPr>
                <w:rFonts w:ascii="Arial" w:cs="Arial" w:eastAsia="Arial" w:hAnsi="Arial"/>
                <w:sz w:val="20"/>
                <w:szCs w:val="20"/>
                <w:color w:val="auto"/>
                <w:w w:val="92"/>
              </w:rPr>
              <w:t>March 31,</w:t>
            </w:r>
          </w:p>
        </w:tc>
        <w:tc>
          <w:tcPr>
            <w:tcW w:w="11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02"/>
              <w:spacing w:after="0"/>
              <w:rPr>
                <w:sz w:val="20"/>
                <w:szCs w:val="20"/>
                <w:color w:val="auto"/>
              </w:rPr>
            </w:pPr>
            <w:r>
              <w:rPr>
                <w:rFonts w:ascii="Arial" w:cs="Arial" w:eastAsia="Arial" w:hAnsi="Arial"/>
                <w:sz w:val="20"/>
                <w:szCs w:val="20"/>
                <w:color w:val="auto"/>
              </w:rPr>
              <w:t>2018</w:t>
            </w:r>
          </w:p>
        </w:tc>
        <w:tc>
          <w:tcPr>
            <w:tcW w:w="2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02"/>
              <w:spacing w:after="0"/>
              <w:rPr>
                <w:sz w:val="20"/>
                <w:szCs w:val="20"/>
                <w:color w:val="auto"/>
              </w:rPr>
            </w:pPr>
            <w:r>
              <w:rPr>
                <w:rFonts w:ascii="Arial" w:cs="Arial" w:eastAsia="Arial" w:hAnsi="Arial"/>
                <w:sz w:val="20"/>
                <w:szCs w:val="20"/>
                <w:color w:val="auto"/>
              </w:rPr>
              <w:t>2017</w:t>
            </w:r>
          </w:p>
        </w:tc>
        <w:tc>
          <w:tcPr>
            <w:tcW w:w="60" w:type="dxa"/>
            <w:vAlign w:val="bottom"/>
          </w:tcPr>
          <w:p>
            <w:pPr>
              <w:spacing w:after="0"/>
              <w:rPr>
                <w:sz w:val="20"/>
                <w:szCs w:val="20"/>
                <w:color w:val="auto"/>
              </w:rPr>
            </w:pPr>
          </w:p>
        </w:tc>
      </w:tr>
      <w:tr>
        <w:trPr>
          <w:trHeight w:val="234"/>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00" w:type="dxa"/>
            <w:vAlign w:val="bottom"/>
            <w:gridSpan w:val="4"/>
          </w:tcPr>
          <w:p>
            <w:pPr>
              <w:jc w:val="center"/>
              <w:ind w:right="262"/>
              <w:spacing w:after="0"/>
              <w:rPr>
                <w:sz w:val="20"/>
                <w:szCs w:val="20"/>
                <w:color w:val="auto"/>
              </w:rPr>
            </w:pPr>
            <w:r>
              <w:rPr>
                <w:rFonts w:ascii="Arial" w:cs="Arial" w:eastAsia="Arial" w:hAnsi="Arial"/>
                <w:sz w:val="20"/>
                <w:szCs w:val="20"/>
                <w:i w:val="1"/>
                <w:iCs w:val="1"/>
                <w:color w:val="auto"/>
                <w:w w:val="90"/>
              </w:rPr>
              <w:t>(Dollars in Thousands)</w:t>
            </w:r>
          </w:p>
        </w:tc>
        <w:tc>
          <w:tcPr>
            <w:tcW w:w="60" w:type="dxa"/>
            <w:vAlign w:val="bottom"/>
          </w:tcPr>
          <w:p>
            <w:pPr>
              <w:spacing w:after="0"/>
              <w:rPr>
                <w:sz w:val="20"/>
                <w:szCs w:val="20"/>
                <w:color w:val="auto"/>
              </w:rPr>
            </w:pPr>
          </w:p>
        </w:tc>
      </w:tr>
    </w:tbl>
    <w:p>
      <w:pPr>
        <w:spacing w:after="0" w:line="11" w:lineRule="exact"/>
        <w:rPr>
          <w:sz w:val="20"/>
          <w:szCs w:val="20"/>
          <w:color w:val="auto"/>
        </w:rPr>
      </w:pPr>
    </w:p>
    <w:p>
      <w:pPr>
        <w:sectPr>
          <w:pgSz w:w="11900" w:h="16838" w:orient="portrait"/>
          <w:cols w:equalWidth="0" w:num="2">
            <w:col w:w="7120" w:space="720"/>
            <w:col w:w="358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6720" w:type="dxa"/>
            <w:vAlign w:val="bottom"/>
            <w:shd w:val="clear" w:color="auto" w:fill="CFF0FC"/>
          </w:tcPr>
          <w:p>
            <w:pPr>
              <w:spacing w:after="0"/>
              <w:rPr>
                <w:sz w:val="20"/>
                <w:szCs w:val="20"/>
                <w:color w:val="auto"/>
              </w:rPr>
            </w:pPr>
            <w:r>
              <w:rPr>
                <w:rFonts w:ascii="Arial" w:cs="Arial" w:eastAsia="Arial" w:hAnsi="Arial"/>
                <w:sz w:val="20"/>
                <w:szCs w:val="20"/>
                <w:color w:val="auto"/>
              </w:rPr>
              <w:t>Noncash investing and financing activities:</w:t>
            </w:r>
          </w:p>
        </w:tc>
        <w:tc>
          <w:tcPr>
            <w:tcW w:w="1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41"/>
        </w:trPr>
        <w:tc>
          <w:tcPr>
            <w:tcW w:w="6720" w:type="dxa"/>
            <w:vAlign w:val="bottom"/>
          </w:tcPr>
          <w:p>
            <w:pPr>
              <w:ind w:left="260"/>
              <w:spacing w:after="0"/>
              <w:rPr>
                <w:sz w:val="20"/>
                <w:szCs w:val="20"/>
                <w:color w:val="auto"/>
              </w:rPr>
            </w:pPr>
            <w:r>
              <w:rPr>
                <w:rFonts w:ascii="Arial" w:cs="Arial" w:eastAsia="Arial" w:hAnsi="Arial"/>
                <w:sz w:val="20"/>
                <w:szCs w:val="20"/>
                <w:color w:val="auto"/>
              </w:rPr>
              <w:t>Accrued liabilities for purchases of property, plant and equipment</w:t>
            </w:r>
          </w:p>
        </w:tc>
        <w:tc>
          <w:tcPr>
            <w:tcW w:w="148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1400" w:type="dxa"/>
            <w:vAlign w:val="bottom"/>
          </w:tcPr>
          <w:p>
            <w:pPr>
              <w:jc w:val="right"/>
              <w:ind w:right="82"/>
              <w:spacing w:after="0"/>
              <w:rPr>
                <w:sz w:val="20"/>
                <w:szCs w:val="20"/>
                <w:color w:val="auto"/>
              </w:rPr>
            </w:pPr>
            <w:r>
              <w:rPr>
                <w:rFonts w:ascii="Arial" w:cs="Arial" w:eastAsia="Arial" w:hAnsi="Arial"/>
                <w:sz w:val="20"/>
                <w:szCs w:val="20"/>
                <w:color w:val="auto"/>
              </w:rPr>
              <w:t>35,639</w:t>
            </w:r>
          </w:p>
        </w:tc>
        <w:tc>
          <w:tcPr>
            <w:tcW w:w="540" w:type="dxa"/>
            <w:vAlign w:val="bottom"/>
          </w:tcPr>
          <w:p>
            <w:pPr>
              <w:jc w:val="right"/>
              <w:ind w:right="242"/>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34,666</w:t>
            </w:r>
          </w:p>
        </w:tc>
        <w:tc>
          <w:tcPr>
            <w:tcW w:w="120" w:type="dxa"/>
            <w:vAlign w:val="bottom"/>
          </w:tcPr>
          <w:p>
            <w:pPr>
              <w:spacing w:after="0"/>
              <w:rPr>
                <w:sz w:val="20"/>
                <w:szCs w:val="20"/>
                <w:color w:val="auto"/>
              </w:rPr>
            </w:pPr>
          </w:p>
        </w:tc>
      </w:tr>
      <w:tr>
        <w:trPr>
          <w:trHeight w:val="241"/>
        </w:trPr>
        <w:tc>
          <w:tcPr>
            <w:tcW w:w="6720" w:type="dxa"/>
            <w:vAlign w:val="bottom"/>
            <w:shd w:val="clear" w:color="auto" w:fill="CFF0FC"/>
          </w:tcPr>
          <w:p>
            <w:pPr>
              <w:ind w:left="260"/>
              <w:spacing w:after="0"/>
              <w:rPr>
                <w:sz w:val="20"/>
                <w:szCs w:val="20"/>
                <w:color w:val="auto"/>
              </w:rPr>
            </w:pPr>
            <w:r>
              <w:rPr>
                <w:rFonts w:ascii="Arial" w:cs="Arial" w:eastAsia="Arial" w:hAnsi="Arial"/>
                <w:sz w:val="20"/>
                <w:szCs w:val="20"/>
                <w:color w:val="auto"/>
              </w:rPr>
              <w:t>Acquisition of assets through capital lease</w:t>
            </w: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20"/>
                <w:szCs w:val="20"/>
                <w:color w:val="auto"/>
              </w:rPr>
              <w:t>$</w:t>
            </w:r>
          </w:p>
        </w:tc>
        <w:tc>
          <w:tcPr>
            <w:tcW w:w="1400" w:type="dxa"/>
            <w:vAlign w:val="bottom"/>
            <w:shd w:val="clear" w:color="auto" w:fill="CFF0FC"/>
          </w:tcPr>
          <w:p>
            <w:pPr>
              <w:jc w:val="right"/>
              <w:ind w:right="82"/>
              <w:spacing w:after="0"/>
              <w:rPr>
                <w:sz w:val="20"/>
                <w:szCs w:val="20"/>
                <w:color w:val="auto"/>
              </w:rPr>
            </w:pPr>
            <w:r>
              <w:rPr>
                <w:rFonts w:ascii="Arial" w:cs="Arial" w:eastAsia="Arial" w:hAnsi="Arial"/>
                <w:sz w:val="20"/>
                <w:szCs w:val="20"/>
                <w:color w:val="auto"/>
              </w:rPr>
              <w:t>192</w:t>
            </w:r>
          </w:p>
        </w:tc>
        <w:tc>
          <w:tcPr>
            <w:tcW w:w="540" w:type="dxa"/>
            <w:vAlign w:val="bottom"/>
            <w:shd w:val="clear" w:color="auto" w:fill="CFF0FC"/>
          </w:tcPr>
          <w:p>
            <w:pPr>
              <w:jc w:val="right"/>
              <w:ind w:right="242"/>
              <w:spacing w:after="0"/>
              <w:rPr>
                <w:sz w:val="20"/>
                <w:szCs w:val="20"/>
                <w:color w:val="auto"/>
              </w:rPr>
            </w:pPr>
            <w:r>
              <w:rPr>
                <w:rFonts w:ascii="Arial" w:cs="Arial" w:eastAsia="Arial" w:hAnsi="Arial"/>
                <w:sz w:val="20"/>
                <w:szCs w:val="20"/>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149</w:t>
            </w:r>
          </w:p>
        </w:tc>
        <w:tc>
          <w:tcPr>
            <w:tcW w:w="120" w:type="dxa"/>
            <w:vAlign w:val="bottom"/>
            <w:shd w:val="clear" w:color="auto" w:fill="CFF0FC"/>
          </w:tcPr>
          <w:p>
            <w:pPr>
              <w:spacing w:after="0"/>
              <w:rPr>
                <w:sz w:val="20"/>
                <w:szCs w:val="20"/>
                <w:color w:val="auto"/>
              </w:rPr>
            </w:pPr>
          </w:p>
        </w:tc>
      </w:tr>
      <w:tr>
        <w:trPr>
          <w:trHeight w:val="459"/>
        </w:trPr>
        <w:tc>
          <w:tcPr>
            <w:tcW w:w="6720" w:type="dxa"/>
            <w:vAlign w:val="bottom"/>
          </w:tcPr>
          <w:p>
            <w:pPr>
              <w:ind w:left="380"/>
              <w:spacing w:after="0"/>
              <w:rPr>
                <w:sz w:val="20"/>
                <w:szCs w:val="20"/>
                <w:color w:val="auto"/>
              </w:rPr>
            </w:pPr>
            <w:r>
              <w:rPr>
                <w:rFonts w:ascii="Arial" w:cs="Arial" w:eastAsia="Arial" w:hAnsi="Arial"/>
                <w:sz w:val="20"/>
                <w:szCs w:val="20"/>
                <w:color w:val="auto"/>
              </w:rPr>
              <w:t>Supplemental disclosures of cash flow information are as follows:</w:t>
            </w: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44"/>
        </w:trPr>
        <w:tc>
          <w:tcPr>
            <w:tcW w:w="6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2"/>
          </w:tcPr>
          <w:p>
            <w:pPr>
              <w:jc w:val="right"/>
              <w:ind w:right="62"/>
              <w:spacing w:after="0"/>
              <w:rPr>
                <w:sz w:val="20"/>
                <w:szCs w:val="20"/>
                <w:color w:val="auto"/>
              </w:rPr>
            </w:pPr>
            <w:r>
              <w:rPr>
                <w:rFonts w:ascii="Arial" w:cs="Arial" w:eastAsia="Arial" w:hAnsi="Arial"/>
                <w:sz w:val="20"/>
                <w:szCs w:val="20"/>
                <w:color w:val="auto"/>
              </w:rPr>
              <w:t>March 31,</w:t>
            </w:r>
          </w:p>
        </w:tc>
        <w:tc>
          <w:tcPr>
            <w:tcW w:w="1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34"/>
        </w:trPr>
        <w:tc>
          <w:tcPr>
            <w:tcW w:w="67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82"/>
              <w:spacing w:after="0"/>
              <w:rPr>
                <w:sz w:val="20"/>
                <w:szCs w:val="20"/>
                <w:color w:val="auto"/>
              </w:rPr>
            </w:pPr>
            <w:r>
              <w:rPr>
                <w:rFonts w:ascii="Arial" w:cs="Arial" w:eastAsia="Arial" w:hAnsi="Arial"/>
                <w:sz w:val="20"/>
                <w:szCs w:val="20"/>
                <w:color w:val="auto"/>
              </w:rPr>
              <w:t>2018</w:t>
            </w:r>
          </w:p>
        </w:tc>
        <w:tc>
          <w:tcPr>
            <w:tcW w:w="5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02"/>
              <w:spacing w:after="0"/>
              <w:rPr>
                <w:sz w:val="20"/>
                <w:szCs w:val="20"/>
                <w:color w:val="auto"/>
              </w:rPr>
            </w:pPr>
            <w:r>
              <w:rPr>
                <w:rFonts w:ascii="Arial" w:cs="Arial" w:eastAsia="Arial" w:hAnsi="Arial"/>
                <w:sz w:val="20"/>
                <w:szCs w:val="20"/>
                <w:color w:val="auto"/>
              </w:rPr>
              <w:t>2017</w:t>
            </w:r>
          </w:p>
        </w:tc>
        <w:tc>
          <w:tcPr>
            <w:tcW w:w="120" w:type="dxa"/>
            <w:vAlign w:val="bottom"/>
          </w:tcPr>
          <w:p>
            <w:pPr>
              <w:spacing w:after="0"/>
              <w:rPr>
                <w:sz w:val="20"/>
                <w:szCs w:val="20"/>
                <w:color w:val="auto"/>
              </w:rPr>
            </w:pPr>
          </w:p>
        </w:tc>
      </w:tr>
      <w:tr>
        <w:trPr>
          <w:trHeight w:val="234"/>
        </w:trPr>
        <w:tc>
          <w:tcPr>
            <w:tcW w:w="67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00" w:type="dxa"/>
            <w:vAlign w:val="bottom"/>
            <w:gridSpan w:val="3"/>
          </w:tcPr>
          <w:p>
            <w:pPr>
              <w:jc w:val="right"/>
              <w:ind w:right="722"/>
              <w:spacing w:after="0"/>
              <w:rPr>
                <w:sz w:val="20"/>
                <w:szCs w:val="20"/>
                <w:color w:val="auto"/>
              </w:rPr>
            </w:pPr>
            <w:r>
              <w:rPr>
                <w:rFonts w:ascii="Arial" w:cs="Arial" w:eastAsia="Arial" w:hAnsi="Arial"/>
                <w:sz w:val="20"/>
                <w:szCs w:val="20"/>
                <w:i w:val="1"/>
                <w:iCs w:val="1"/>
                <w:color w:val="auto"/>
              </w:rPr>
              <w:t>(Dollars in Thousands)</w:t>
            </w:r>
          </w:p>
        </w:tc>
        <w:tc>
          <w:tcPr>
            <w:tcW w:w="120" w:type="dxa"/>
            <w:vAlign w:val="bottom"/>
          </w:tcPr>
          <w:p>
            <w:pPr>
              <w:spacing w:after="0"/>
              <w:rPr>
                <w:sz w:val="20"/>
                <w:szCs w:val="20"/>
                <w:color w:val="auto"/>
              </w:rPr>
            </w:pPr>
          </w:p>
        </w:tc>
      </w:tr>
      <w:tr>
        <w:trPr>
          <w:trHeight w:val="241"/>
        </w:trPr>
        <w:tc>
          <w:tcPr>
            <w:tcW w:w="6720" w:type="dxa"/>
            <w:vAlign w:val="bottom"/>
            <w:shd w:val="clear" w:color="auto" w:fill="CFF0FC"/>
          </w:tcPr>
          <w:p>
            <w:pPr>
              <w:spacing w:after="0"/>
              <w:rPr>
                <w:sz w:val="20"/>
                <w:szCs w:val="20"/>
                <w:color w:val="auto"/>
              </w:rPr>
            </w:pPr>
            <w:r>
              <w:rPr>
                <w:rFonts w:ascii="Arial" w:cs="Arial" w:eastAsia="Arial" w:hAnsi="Arial"/>
                <w:sz w:val="20"/>
                <w:szCs w:val="20"/>
                <w:color w:val="auto"/>
              </w:rPr>
              <w:t>Cash paid for interest</w:t>
            </w: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20"/>
                <w:szCs w:val="20"/>
                <w:color w:val="auto"/>
              </w:rPr>
              <w:t>$</w:t>
            </w:r>
          </w:p>
        </w:tc>
        <w:tc>
          <w:tcPr>
            <w:tcW w:w="1400" w:type="dxa"/>
            <w:vAlign w:val="bottom"/>
            <w:shd w:val="clear" w:color="auto" w:fill="CFF0FC"/>
          </w:tcPr>
          <w:p>
            <w:pPr>
              <w:jc w:val="right"/>
              <w:ind w:right="82"/>
              <w:spacing w:after="0"/>
              <w:rPr>
                <w:sz w:val="20"/>
                <w:szCs w:val="20"/>
                <w:color w:val="auto"/>
              </w:rPr>
            </w:pPr>
            <w:r>
              <w:rPr>
                <w:rFonts w:ascii="Arial" w:cs="Arial" w:eastAsia="Arial" w:hAnsi="Arial"/>
                <w:sz w:val="20"/>
                <w:szCs w:val="20"/>
                <w:color w:val="auto"/>
              </w:rPr>
              <w:t>12,458</w:t>
            </w:r>
          </w:p>
        </w:tc>
        <w:tc>
          <w:tcPr>
            <w:tcW w:w="540" w:type="dxa"/>
            <w:vAlign w:val="bottom"/>
            <w:shd w:val="clear" w:color="auto" w:fill="CFF0FC"/>
          </w:tcPr>
          <w:p>
            <w:pPr>
              <w:jc w:val="right"/>
              <w:ind w:right="242"/>
              <w:spacing w:after="0"/>
              <w:rPr>
                <w:sz w:val="20"/>
                <w:szCs w:val="20"/>
                <w:color w:val="auto"/>
              </w:rPr>
            </w:pPr>
            <w:r>
              <w:rPr>
                <w:rFonts w:ascii="Arial" w:cs="Arial" w:eastAsia="Arial" w:hAnsi="Arial"/>
                <w:sz w:val="20"/>
                <w:szCs w:val="20"/>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12,216</w:t>
            </w:r>
          </w:p>
        </w:tc>
        <w:tc>
          <w:tcPr>
            <w:tcW w:w="120" w:type="dxa"/>
            <w:vAlign w:val="bottom"/>
            <w:shd w:val="clear" w:color="auto" w:fill="CFF0FC"/>
          </w:tcPr>
          <w:p>
            <w:pPr>
              <w:spacing w:after="0"/>
              <w:rPr>
                <w:sz w:val="20"/>
                <w:szCs w:val="20"/>
                <w:color w:val="auto"/>
              </w:rPr>
            </w:pPr>
          </w:p>
        </w:tc>
      </w:tr>
      <w:tr>
        <w:trPr>
          <w:trHeight w:val="249"/>
        </w:trPr>
        <w:tc>
          <w:tcPr>
            <w:tcW w:w="6720" w:type="dxa"/>
            <w:vAlign w:val="bottom"/>
          </w:tcPr>
          <w:p>
            <w:pPr>
              <w:spacing w:after="0"/>
              <w:rPr>
                <w:sz w:val="20"/>
                <w:szCs w:val="20"/>
                <w:color w:val="auto"/>
              </w:rPr>
            </w:pPr>
            <w:r>
              <w:rPr>
                <w:rFonts w:ascii="Arial" w:cs="Arial" w:eastAsia="Arial" w:hAnsi="Arial"/>
                <w:sz w:val="20"/>
                <w:szCs w:val="20"/>
                <w:color w:val="auto"/>
              </w:rPr>
              <w:t>Cash (refund of) paid for income taxes</w:t>
            </w:r>
          </w:p>
        </w:tc>
        <w:tc>
          <w:tcPr>
            <w:tcW w:w="148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1400" w:type="dxa"/>
            <w:vAlign w:val="bottom"/>
          </w:tcPr>
          <w:p>
            <w:pPr>
              <w:jc w:val="right"/>
              <w:ind w:right="2"/>
              <w:spacing w:after="0"/>
              <w:rPr>
                <w:sz w:val="20"/>
                <w:szCs w:val="20"/>
                <w:color w:val="auto"/>
              </w:rPr>
            </w:pPr>
            <w:r>
              <w:rPr>
                <w:rFonts w:ascii="Arial" w:cs="Arial" w:eastAsia="Arial" w:hAnsi="Arial"/>
                <w:sz w:val="20"/>
                <w:szCs w:val="20"/>
                <w:color w:val="auto"/>
              </w:rPr>
              <w:t>(7,527)</w:t>
            </w:r>
          </w:p>
        </w:tc>
        <w:tc>
          <w:tcPr>
            <w:tcW w:w="540" w:type="dxa"/>
            <w:vAlign w:val="bottom"/>
          </w:tcPr>
          <w:p>
            <w:pPr>
              <w:jc w:val="right"/>
              <w:ind w:right="242"/>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6,240</w:t>
            </w:r>
          </w:p>
        </w:tc>
        <w:tc>
          <w:tcPr>
            <w:tcW w:w="120" w:type="dxa"/>
            <w:vAlign w:val="bottom"/>
          </w:tcPr>
          <w:p>
            <w:pPr>
              <w:spacing w:after="0"/>
              <w:rPr>
                <w:sz w:val="21"/>
                <w:szCs w:val="21"/>
                <w:color w:val="auto"/>
              </w:rPr>
            </w:pPr>
          </w:p>
        </w:tc>
      </w:tr>
    </w:tbl>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22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2" w:name="page23"/>
    <w:bookmarkEnd w:id="22"/>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2018</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69" w:lineRule="exact"/>
        <w:rPr>
          <w:sz w:val="20"/>
          <w:szCs w:val="20"/>
          <w:color w:val="auto"/>
        </w:rPr>
      </w:pPr>
    </w:p>
    <w:p>
      <w:pPr>
        <w:ind w:left="380" w:right="9460" w:hanging="373"/>
        <w:spacing w:after="0" w:line="414" w:lineRule="auto"/>
        <w:tabs>
          <w:tab w:leader="none" w:pos="375" w:val="left"/>
        </w:tabs>
        <w:numPr>
          <w:ilvl w:val="0"/>
          <w:numId w:val="2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Subsequent Events </w:t>
      </w:r>
      <w:r>
        <w:rPr>
          <w:rFonts w:ascii="Arial" w:cs="Arial" w:eastAsia="Arial" w:hAnsi="Arial"/>
          <w:sz w:val="17"/>
          <w:szCs w:val="17"/>
          <w:u w:val="single" w:color="auto"/>
          <w:color w:val="auto"/>
        </w:rPr>
        <w:t>Debt Repayment</w:t>
      </w:r>
    </w:p>
    <w:p>
      <w:pPr>
        <w:ind w:left="380" w:right="1740"/>
        <w:spacing w:after="0" w:line="349" w:lineRule="auto"/>
        <w:rPr>
          <w:rFonts w:ascii="Arial" w:cs="Arial" w:eastAsia="Arial" w:hAnsi="Arial"/>
          <w:sz w:val="17"/>
          <w:szCs w:val="17"/>
          <w:b w:val="1"/>
          <w:bCs w:val="1"/>
          <w:color w:val="auto"/>
        </w:rPr>
      </w:pPr>
      <w:r>
        <w:rPr>
          <w:rFonts w:ascii="Arial" w:cs="Arial" w:eastAsia="Arial" w:hAnsi="Arial"/>
          <w:sz w:val="20"/>
          <w:szCs w:val="20"/>
          <w:color w:val="auto"/>
        </w:rPr>
        <w:t xml:space="preserve">The Company repaid the $300,000,000 of 6.60% Senior Notes with cash on hand on April 16, 2018, the maturity date. </w:t>
      </w:r>
      <w:r>
        <w:rPr>
          <w:rFonts w:ascii="Arial" w:cs="Arial" w:eastAsia="Arial" w:hAnsi="Arial"/>
          <w:sz w:val="20"/>
          <w:szCs w:val="20"/>
          <w:u w:val="single" w:color="auto"/>
          <w:color w:val="auto"/>
        </w:rPr>
        <w:t>Facility Limit Increase</w:t>
      </w:r>
    </w:p>
    <w:p>
      <w:pPr>
        <w:ind w:left="380"/>
        <w:spacing w:after="0" w:line="257" w:lineRule="auto"/>
        <w:rPr>
          <w:rFonts w:ascii="Arial" w:cs="Arial" w:eastAsia="Arial" w:hAnsi="Arial"/>
          <w:sz w:val="17"/>
          <w:szCs w:val="17"/>
          <w:b w:val="1"/>
          <w:bCs w:val="1"/>
          <w:color w:val="auto"/>
        </w:rPr>
      </w:pPr>
      <w:r>
        <w:rPr>
          <w:rFonts w:ascii="Arial" w:cs="Arial" w:eastAsia="Arial" w:hAnsi="Arial"/>
          <w:sz w:val="20"/>
          <w:szCs w:val="20"/>
          <w:color w:val="auto"/>
        </w:rPr>
        <w:t>On April 17, 2018, the Company and its wholly-owned subsidiary amended its Trade Receivable Facility to increase the facility limit to $400,000,000.</w:t>
      </w:r>
    </w:p>
    <w:p>
      <w:pPr>
        <w:spacing w:after="0" w:line="69" w:lineRule="exact"/>
        <w:rPr>
          <w:rFonts w:ascii="Arial" w:cs="Arial" w:eastAsia="Arial" w:hAnsi="Arial"/>
          <w:sz w:val="17"/>
          <w:szCs w:val="17"/>
          <w:b w:val="1"/>
          <w:bCs w:val="1"/>
          <w:color w:val="auto"/>
        </w:rPr>
      </w:pPr>
    </w:p>
    <w:p>
      <w:pPr>
        <w:ind w:left="380"/>
        <w:spacing w:after="0"/>
        <w:rPr>
          <w:rFonts w:ascii="Arial" w:cs="Arial" w:eastAsia="Arial" w:hAnsi="Arial"/>
          <w:sz w:val="17"/>
          <w:szCs w:val="17"/>
          <w:b w:val="1"/>
          <w:bCs w:val="1"/>
          <w:color w:val="auto"/>
        </w:rPr>
      </w:pPr>
      <w:r>
        <w:rPr>
          <w:rFonts w:ascii="Arial" w:cs="Arial" w:eastAsia="Arial" w:hAnsi="Arial"/>
          <w:sz w:val="20"/>
          <w:szCs w:val="20"/>
          <w:u w:val="single" w:color="auto"/>
          <w:color w:val="auto"/>
        </w:rPr>
        <w:t>Bluegrass Acquisition</w:t>
      </w:r>
    </w:p>
    <w:p>
      <w:pPr>
        <w:spacing w:after="0" w:line="104" w:lineRule="exact"/>
        <w:rPr>
          <w:rFonts w:ascii="Arial" w:cs="Arial" w:eastAsia="Arial" w:hAnsi="Arial"/>
          <w:sz w:val="17"/>
          <w:szCs w:val="17"/>
          <w:b w:val="1"/>
          <w:bCs w:val="1"/>
          <w:color w:val="auto"/>
        </w:rPr>
      </w:pPr>
    </w:p>
    <w:p>
      <w:pPr>
        <w:jc w:val="both"/>
        <w:ind w:left="380"/>
        <w:spacing w:after="0" w:line="288" w:lineRule="auto"/>
        <w:rPr>
          <w:rFonts w:ascii="Arial" w:cs="Arial" w:eastAsia="Arial" w:hAnsi="Arial"/>
          <w:sz w:val="17"/>
          <w:szCs w:val="17"/>
          <w:b w:val="1"/>
          <w:bCs w:val="1"/>
          <w:color w:val="auto"/>
        </w:rPr>
      </w:pPr>
      <w:r>
        <w:rPr>
          <w:rFonts w:ascii="Arial" w:cs="Arial" w:eastAsia="Arial" w:hAnsi="Arial"/>
          <w:sz w:val="17"/>
          <w:szCs w:val="17"/>
          <w:color w:val="auto"/>
        </w:rPr>
        <w:t>On April 27, 2018, the Company successfully completed its previously announced acquisition of Bluegrass Materials Company (Bluegrass), the largest privately-held, pure-play aggregates company in the United States, for $1,625,000,000 in cash. Bluegrass’ operations include 23 active sites with more than 125 years of strategically-located, high-quality reserves, in Georgia, South Carolina, Tennessee, Maryland, Kentucky and Pennsylvania. These operations complement the Company’s existing southeastern footprint and provides a new growth platform within the southern portion of the Northeast Megaregion. The Company reached an agreement with the U.S. Department of Justice (DOJ), approved by the district court for the District of Columbia, which resolves all competition issues with respect to the acquisition. Under the terms of the agreement with the DOJ, Martin Marietta divested its Forsyth aggregates quarry north of Atlanta, Georgia, and will divest Bluegrass’ Beaver Creek aggregates quarry in western Maryland.</w:t>
      </w:r>
    </w:p>
    <w:p>
      <w:pPr>
        <w:spacing w:after="0" w:line="50" w:lineRule="exact"/>
        <w:rPr>
          <w:rFonts w:ascii="Arial" w:cs="Arial" w:eastAsia="Arial" w:hAnsi="Arial"/>
          <w:sz w:val="17"/>
          <w:szCs w:val="17"/>
          <w:b w:val="1"/>
          <w:bCs w:val="1"/>
          <w:color w:val="auto"/>
        </w:rPr>
      </w:pPr>
    </w:p>
    <w:p>
      <w:pPr>
        <w:jc w:val="both"/>
        <w:ind w:left="380"/>
        <w:spacing w:after="0" w:line="295" w:lineRule="auto"/>
        <w:rPr>
          <w:rFonts w:ascii="Arial" w:cs="Arial" w:eastAsia="Arial" w:hAnsi="Arial"/>
          <w:sz w:val="17"/>
          <w:szCs w:val="17"/>
          <w:b w:val="1"/>
          <w:bCs w:val="1"/>
          <w:color w:val="auto"/>
        </w:rPr>
      </w:pPr>
      <w:r>
        <w:rPr>
          <w:rFonts w:ascii="Arial" w:cs="Arial" w:eastAsia="Arial" w:hAnsi="Arial"/>
          <w:sz w:val="17"/>
          <w:szCs w:val="17"/>
          <w:color w:val="auto"/>
        </w:rPr>
        <w:t>The acquisition reflects a stock transaction where the Company acquired 100% of the voting interest. The Company acquired accounts receivable; inventories; property, plant and equipment; intangible assets; prepaid and other assets; and assumed accounts payable; accrued liabilities and deferred tax assets and liabilities. The Company did not acquire any of Bluegrass’ cash and cash equivalents nor did it assume any of Bluegrass’ outstanding debt. The Company is in the process of determining the fair value of assets acquired and liabilities assumed, and as of May 8, 2018, the initial accounting for the business combination has not been completed.</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23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2018</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First Quarter Ended March 31, 2018</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Item 2. Management’s Discussion and Analysis of Financial Condition and Results of Operations.</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color w:val="auto"/>
        </w:rPr>
        <w:t>OVERVIEW</w:t>
      </w:r>
    </w:p>
    <w:p>
      <w:pPr>
        <w:spacing w:after="0" w:line="105"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Martin Marietta Materials, Inc. (the Company or Martin Marietta) is a natural resource-based building materials company. The Company supplies aggregates (crushed stone, sand and gravel) through its network of 282 quarries, mines and distribution yards to its customers in 30 states, Canada, the Bahamas and the Caribbean Islands. In the western United States, Martin Marietta also provides cement and downstream products, namely, ready mixed concrete, asphalt and paving services, in vertically-integrated structured markets where the Company has a leading aggregates position. The Company’s heavy-side building materials are used in infrastructure, nonresidential and residential construction projects. Aggregates are also used in agricultural, utility and environmental applications and as railroad ballast. The aggregates, cement, ready mixed concrete and asphalt and paving product lines are reported collectively as the “Building Materials” business.</w:t>
      </w:r>
    </w:p>
    <w:p>
      <w:pPr>
        <w:spacing w:after="0" w:line="4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Company conducts its Building Materials business through three reportable business segments: Mid-America Group, Southeast Group and West Group.</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BUILDING MATERIALS BUSINESS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2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20"/>
                <w:szCs w:val="20"/>
                <w:color w:val="auto"/>
                <w:w w:val="86"/>
              </w:rPr>
              <w:t>Reportable Segments</w:t>
            </w:r>
          </w:p>
        </w:tc>
        <w:tc>
          <w:tcPr>
            <w:tcW w:w="308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20"/>
                <w:szCs w:val="20"/>
                <w:color w:val="auto"/>
                <w:w w:val="92"/>
              </w:rPr>
              <w:t>Mid-America Group</w:t>
            </w:r>
          </w:p>
        </w:tc>
        <w:tc>
          <w:tcPr>
            <w:tcW w:w="276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20"/>
                <w:szCs w:val="20"/>
                <w:color w:val="auto"/>
                <w:w w:val="87"/>
              </w:rPr>
              <w:t>Southeast Group</w:t>
            </w: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8"/>
              </w:rPr>
              <w:t>West Group</w:t>
            </w:r>
          </w:p>
        </w:tc>
      </w:tr>
      <w:tr>
        <w:trPr>
          <w:trHeight w:val="204"/>
        </w:trPr>
        <w:tc>
          <w:tcPr>
            <w:tcW w:w="2000" w:type="dxa"/>
            <w:vAlign w:val="bottom"/>
            <w:tcBorders>
              <w:top w:val="single" w:sz="8" w:color="auto"/>
            </w:tcBorders>
          </w:tcPr>
          <w:p>
            <w:pPr>
              <w:jc w:val="center"/>
              <w:spacing w:after="0" w:line="204" w:lineRule="exact"/>
              <w:rPr>
                <w:sz w:val="20"/>
                <w:szCs w:val="20"/>
                <w:color w:val="auto"/>
              </w:rPr>
            </w:pPr>
            <w:r>
              <w:rPr>
                <w:rFonts w:ascii="Arial" w:cs="Arial" w:eastAsia="Arial" w:hAnsi="Arial"/>
                <w:sz w:val="20"/>
                <w:szCs w:val="20"/>
                <w:color w:val="auto"/>
                <w:w w:val="89"/>
              </w:rPr>
              <w:t>Operating Locations</w:t>
            </w:r>
          </w:p>
        </w:tc>
        <w:tc>
          <w:tcPr>
            <w:tcW w:w="120" w:type="dxa"/>
            <w:vAlign w:val="bottom"/>
          </w:tcPr>
          <w:p>
            <w:pPr>
              <w:spacing w:after="0"/>
              <w:rPr>
                <w:sz w:val="17"/>
                <w:szCs w:val="17"/>
                <w:color w:val="auto"/>
              </w:rPr>
            </w:pPr>
          </w:p>
        </w:tc>
        <w:tc>
          <w:tcPr>
            <w:tcW w:w="2960" w:type="dxa"/>
            <w:vAlign w:val="bottom"/>
            <w:tcBorders>
              <w:top w:val="single" w:sz="8" w:color="auto"/>
            </w:tcBorders>
          </w:tcPr>
          <w:p>
            <w:pPr>
              <w:jc w:val="center"/>
              <w:spacing w:after="0" w:line="204" w:lineRule="exact"/>
              <w:rPr>
                <w:sz w:val="20"/>
                <w:szCs w:val="20"/>
                <w:color w:val="auto"/>
              </w:rPr>
            </w:pPr>
            <w:r>
              <w:rPr>
                <w:rFonts w:ascii="Arial" w:cs="Arial" w:eastAsia="Arial" w:hAnsi="Arial"/>
                <w:sz w:val="20"/>
                <w:szCs w:val="20"/>
                <w:color w:val="auto"/>
                <w:w w:val="89"/>
              </w:rPr>
              <w:t>Indiana, Iowa, northern Kansas,</w:t>
            </w:r>
          </w:p>
        </w:tc>
        <w:tc>
          <w:tcPr>
            <w:tcW w:w="120" w:type="dxa"/>
            <w:vAlign w:val="bottom"/>
          </w:tcPr>
          <w:p>
            <w:pPr>
              <w:spacing w:after="0"/>
              <w:rPr>
                <w:sz w:val="17"/>
                <w:szCs w:val="17"/>
                <w:color w:val="auto"/>
              </w:rPr>
            </w:pPr>
          </w:p>
        </w:tc>
        <w:tc>
          <w:tcPr>
            <w:tcW w:w="2640" w:type="dxa"/>
            <w:vAlign w:val="bottom"/>
            <w:tcBorders>
              <w:top w:val="single" w:sz="8" w:color="auto"/>
            </w:tcBorders>
          </w:tcPr>
          <w:p>
            <w:pPr>
              <w:jc w:val="center"/>
              <w:spacing w:after="0" w:line="204" w:lineRule="exact"/>
              <w:rPr>
                <w:sz w:val="20"/>
                <w:szCs w:val="20"/>
                <w:color w:val="auto"/>
              </w:rPr>
            </w:pPr>
            <w:r>
              <w:rPr>
                <w:rFonts w:ascii="Arial" w:cs="Arial" w:eastAsia="Arial" w:hAnsi="Arial"/>
                <w:sz w:val="20"/>
                <w:szCs w:val="20"/>
                <w:color w:val="auto"/>
                <w:w w:val="90"/>
              </w:rPr>
              <w:t>Alabama, Florida, Georgia,</w:t>
            </w:r>
          </w:p>
        </w:tc>
        <w:tc>
          <w:tcPr>
            <w:tcW w:w="120" w:type="dxa"/>
            <w:vAlign w:val="bottom"/>
          </w:tcPr>
          <w:p>
            <w:pPr>
              <w:spacing w:after="0"/>
              <w:rPr>
                <w:sz w:val="17"/>
                <w:szCs w:val="17"/>
                <w:color w:val="auto"/>
              </w:rPr>
            </w:pPr>
          </w:p>
        </w:tc>
        <w:tc>
          <w:tcPr>
            <w:tcW w:w="3460" w:type="dxa"/>
            <w:vAlign w:val="bottom"/>
            <w:tcBorders>
              <w:top w:val="single" w:sz="8" w:color="auto"/>
            </w:tcBorders>
          </w:tcPr>
          <w:p>
            <w:pPr>
              <w:jc w:val="center"/>
              <w:spacing w:after="0" w:line="204" w:lineRule="exact"/>
              <w:rPr>
                <w:sz w:val="20"/>
                <w:szCs w:val="20"/>
                <w:color w:val="auto"/>
              </w:rPr>
            </w:pPr>
            <w:r>
              <w:rPr>
                <w:rFonts w:ascii="Arial" w:cs="Arial" w:eastAsia="Arial" w:hAnsi="Arial"/>
                <w:sz w:val="20"/>
                <w:szCs w:val="20"/>
                <w:color w:val="auto"/>
                <w:w w:val="87"/>
              </w:rPr>
              <w:t>Arkansas, Colorado, southern Kansas,</w:t>
            </w:r>
          </w:p>
        </w:tc>
      </w:tr>
      <w:tr>
        <w:trPr>
          <w:trHeight w:val="227"/>
        </w:trPr>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80" w:type="dxa"/>
            <w:vAlign w:val="bottom"/>
            <w:gridSpan w:val="2"/>
          </w:tcPr>
          <w:p>
            <w:pPr>
              <w:jc w:val="center"/>
              <w:ind w:right="120"/>
              <w:spacing w:after="0" w:line="228" w:lineRule="exact"/>
              <w:rPr>
                <w:sz w:val="20"/>
                <w:szCs w:val="20"/>
                <w:color w:val="auto"/>
              </w:rPr>
            </w:pPr>
            <w:r>
              <w:rPr>
                <w:rFonts w:ascii="Arial" w:cs="Arial" w:eastAsia="Arial" w:hAnsi="Arial"/>
                <w:sz w:val="20"/>
                <w:szCs w:val="20"/>
                <w:color w:val="auto"/>
                <w:w w:val="91"/>
              </w:rPr>
              <w:t>Kentucky, Maryland, Minnesota,</w:t>
            </w:r>
          </w:p>
        </w:tc>
        <w:tc>
          <w:tcPr>
            <w:tcW w:w="2760" w:type="dxa"/>
            <w:vAlign w:val="bottom"/>
            <w:gridSpan w:val="2"/>
          </w:tcPr>
          <w:p>
            <w:pPr>
              <w:jc w:val="center"/>
              <w:ind w:right="120"/>
              <w:spacing w:after="0" w:line="228" w:lineRule="exact"/>
              <w:rPr>
                <w:sz w:val="20"/>
                <w:szCs w:val="20"/>
                <w:color w:val="auto"/>
              </w:rPr>
            </w:pPr>
            <w:r>
              <w:rPr>
                <w:rFonts w:ascii="Arial" w:cs="Arial" w:eastAsia="Arial" w:hAnsi="Arial"/>
                <w:sz w:val="20"/>
                <w:szCs w:val="20"/>
                <w:color w:val="auto"/>
                <w:w w:val="85"/>
              </w:rPr>
              <w:t>Tennessee, Nova Scotia and the</w:t>
            </w:r>
          </w:p>
        </w:tc>
        <w:tc>
          <w:tcPr>
            <w:tcW w:w="3460" w:type="dxa"/>
            <w:vAlign w:val="bottom"/>
          </w:tcPr>
          <w:p>
            <w:pPr>
              <w:jc w:val="center"/>
              <w:spacing w:after="0" w:line="228" w:lineRule="exact"/>
              <w:rPr>
                <w:sz w:val="20"/>
                <w:szCs w:val="20"/>
                <w:color w:val="auto"/>
              </w:rPr>
            </w:pPr>
            <w:r>
              <w:rPr>
                <w:rFonts w:ascii="Arial" w:cs="Arial" w:eastAsia="Arial" w:hAnsi="Arial"/>
                <w:sz w:val="20"/>
                <w:szCs w:val="20"/>
                <w:color w:val="auto"/>
                <w:w w:val="87"/>
              </w:rPr>
              <w:t>Louisiana, western Nebraska, Nevada,</w:t>
            </w:r>
          </w:p>
        </w:tc>
      </w:tr>
      <w:tr>
        <w:trPr>
          <w:trHeight w:val="227"/>
        </w:trPr>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80" w:type="dxa"/>
            <w:vAlign w:val="bottom"/>
            <w:gridSpan w:val="2"/>
          </w:tcPr>
          <w:p>
            <w:pPr>
              <w:jc w:val="center"/>
              <w:ind w:right="120"/>
              <w:spacing w:after="0" w:line="228" w:lineRule="exact"/>
              <w:rPr>
                <w:sz w:val="20"/>
                <w:szCs w:val="20"/>
                <w:color w:val="auto"/>
              </w:rPr>
            </w:pPr>
            <w:r>
              <w:rPr>
                <w:rFonts w:ascii="Arial" w:cs="Arial" w:eastAsia="Arial" w:hAnsi="Arial"/>
                <w:sz w:val="20"/>
                <w:szCs w:val="20"/>
                <w:color w:val="auto"/>
                <w:w w:val="88"/>
              </w:rPr>
              <w:t>Missouri, eastern Nebraska, North</w:t>
            </w:r>
          </w:p>
        </w:tc>
        <w:tc>
          <w:tcPr>
            <w:tcW w:w="2760" w:type="dxa"/>
            <w:vAlign w:val="bottom"/>
            <w:gridSpan w:val="2"/>
          </w:tcPr>
          <w:p>
            <w:pPr>
              <w:jc w:val="center"/>
              <w:ind w:right="120"/>
              <w:spacing w:after="0" w:line="228" w:lineRule="exact"/>
              <w:rPr>
                <w:sz w:val="20"/>
                <w:szCs w:val="20"/>
                <w:color w:val="auto"/>
              </w:rPr>
            </w:pPr>
            <w:r>
              <w:rPr>
                <w:rFonts w:ascii="Arial" w:cs="Arial" w:eastAsia="Arial" w:hAnsi="Arial"/>
                <w:sz w:val="20"/>
                <w:szCs w:val="20"/>
                <w:color w:val="auto"/>
                <w:w w:val="85"/>
              </w:rPr>
              <w:t>Bahamas</w:t>
            </w:r>
          </w:p>
        </w:tc>
        <w:tc>
          <w:tcPr>
            <w:tcW w:w="3460" w:type="dxa"/>
            <w:vAlign w:val="bottom"/>
          </w:tcPr>
          <w:p>
            <w:pPr>
              <w:jc w:val="center"/>
              <w:spacing w:after="0" w:line="228" w:lineRule="exact"/>
              <w:rPr>
                <w:sz w:val="20"/>
                <w:szCs w:val="20"/>
                <w:color w:val="auto"/>
              </w:rPr>
            </w:pPr>
            <w:r>
              <w:rPr>
                <w:rFonts w:ascii="Arial" w:cs="Arial" w:eastAsia="Arial" w:hAnsi="Arial"/>
                <w:sz w:val="20"/>
                <w:szCs w:val="20"/>
                <w:color w:val="auto"/>
                <w:w w:val="88"/>
              </w:rPr>
              <w:t>Oklahoma, Texas, Utah and Wyoming</w:t>
            </w:r>
          </w:p>
        </w:tc>
      </w:tr>
      <w:tr>
        <w:trPr>
          <w:trHeight w:val="227"/>
        </w:trPr>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80" w:type="dxa"/>
            <w:vAlign w:val="bottom"/>
            <w:gridSpan w:val="2"/>
          </w:tcPr>
          <w:p>
            <w:pPr>
              <w:jc w:val="center"/>
              <w:ind w:right="120"/>
              <w:spacing w:after="0" w:line="228" w:lineRule="exact"/>
              <w:rPr>
                <w:sz w:val="20"/>
                <w:szCs w:val="20"/>
                <w:color w:val="auto"/>
              </w:rPr>
            </w:pPr>
            <w:r>
              <w:rPr>
                <w:rFonts w:ascii="Arial" w:cs="Arial" w:eastAsia="Arial" w:hAnsi="Arial"/>
                <w:sz w:val="20"/>
                <w:szCs w:val="20"/>
                <w:color w:val="auto"/>
                <w:w w:val="89"/>
              </w:rPr>
              <w:t>Carolina, Ohio, South Carolina,</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227"/>
        </w:trPr>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80" w:type="dxa"/>
            <w:vAlign w:val="bottom"/>
            <w:gridSpan w:val="2"/>
          </w:tcPr>
          <w:p>
            <w:pPr>
              <w:jc w:val="center"/>
              <w:ind w:right="120"/>
              <w:spacing w:after="0" w:line="228" w:lineRule="exact"/>
              <w:rPr>
                <w:sz w:val="20"/>
                <w:szCs w:val="20"/>
                <w:color w:val="auto"/>
              </w:rPr>
            </w:pPr>
            <w:r>
              <w:rPr>
                <w:rFonts w:ascii="Arial" w:cs="Arial" w:eastAsia="Arial" w:hAnsi="Arial"/>
                <w:sz w:val="20"/>
                <w:szCs w:val="20"/>
                <w:color w:val="auto"/>
                <w:w w:val="89"/>
              </w:rPr>
              <w:t>Virginia, Washington and West</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249"/>
        </w:trPr>
        <w:tc>
          <w:tcPr>
            <w:tcW w:w="2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80" w:type="dxa"/>
            <w:vAlign w:val="bottom"/>
            <w:gridSpan w:val="2"/>
          </w:tcPr>
          <w:p>
            <w:pPr>
              <w:jc w:val="center"/>
              <w:ind w:right="120"/>
              <w:spacing w:after="0"/>
              <w:rPr>
                <w:sz w:val="20"/>
                <w:szCs w:val="20"/>
                <w:color w:val="auto"/>
              </w:rPr>
            </w:pPr>
            <w:r>
              <w:rPr>
                <w:rFonts w:ascii="Arial" w:cs="Arial" w:eastAsia="Arial" w:hAnsi="Arial"/>
                <w:sz w:val="20"/>
                <w:szCs w:val="20"/>
                <w:color w:val="auto"/>
                <w:w w:val="95"/>
              </w:rPr>
              <w:t>Virginia</w:t>
            </w:r>
          </w:p>
        </w:tc>
        <w:tc>
          <w:tcPr>
            <w:tcW w:w="2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60" w:type="dxa"/>
            <w:vAlign w:val="bottom"/>
          </w:tcPr>
          <w:p>
            <w:pPr>
              <w:spacing w:after="0"/>
              <w:rPr>
                <w:sz w:val="21"/>
                <w:szCs w:val="21"/>
                <w:color w:val="auto"/>
              </w:rPr>
            </w:pPr>
          </w:p>
        </w:tc>
      </w:tr>
      <w:tr>
        <w:trPr>
          <w:trHeight w:val="434"/>
        </w:trPr>
        <w:tc>
          <w:tcPr>
            <w:tcW w:w="2120" w:type="dxa"/>
            <w:vAlign w:val="bottom"/>
            <w:gridSpan w:val="2"/>
          </w:tcPr>
          <w:p>
            <w:pPr>
              <w:jc w:val="center"/>
              <w:ind w:right="100"/>
              <w:spacing w:after="0"/>
              <w:rPr>
                <w:sz w:val="20"/>
                <w:szCs w:val="20"/>
                <w:color w:val="auto"/>
              </w:rPr>
            </w:pPr>
            <w:r>
              <w:rPr>
                <w:rFonts w:ascii="Arial" w:cs="Arial" w:eastAsia="Arial" w:hAnsi="Arial"/>
                <w:sz w:val="20"/>
                <w:szCs w:val="20"/>
                <w:color w:val="auto"/>
                <w:w w:val="89"/>
              </w:rPr>
              <w:t>Product Lines</w:t>
            </w:r>
          </w:p>
        </w:tc>
        <w:tc>
          <w:tcPr>
            <w:tcW w:w="3080" w:type="dxa"/>
            <w:vAlign w:val="bottom"/>
            <w:gridSpan w:val="2"/>
          </w:tcPr>
          <w:p>
            <w:pPr>
              <w:jc w:val="center"/>
              <w:ind w:right="120"/>
              <w:spacing w:after="0"/>
              <w:rPr>
                <w:sz w:val="20"/>
                <w:szCs w:val="20"/>
                <w:color w:val="auto"/>
              </w:rPr>
            </w:pPr>
            <w:r>
              <w:rPr>
                <w:rFonts w:ascii="Arial" w:cs="Arial" w:eastAsia="Arial" w:hAnsi="Arial"/>
                <w:sz w:val="20"/>
                <w:szCs w:val="20"/>
                <w:color w:val="auto"/>
                <w:w w:val="85"/>
              </w:rPr>
              <w:t>Aggregates</w:t>
            </w:r>
          </w:p>
        </w:tc>
        <w:tc>
          <w:tcPr>
            <w:tcW w:w="2760" w:type="dxa"/>
            <w:vAlign w:val="bottom"/>
            <w:gridSpan w:val="2"/>
          </w:tcPr>
          <w:p>
            <w:pPr>
              <w:jc w:val="center"/>
              <w:ind w:right="100"/>
              <w:spacing w:after="0"/>
              <w:rPr>
                <w:sz w:val="20"/>
                <w:szCs w:val="20"/>
                <w:color w:val="auto"/>
              </w:rPr>
            </w:pPr>
            <w:r>
              <w:rPr>
                <w:rFonts w:ascii="Arial" w:cs="Arial" w:eastAsia="Arial" w:hAnsi="Arial"/>
                <w:sz w:val="20"/>
                <w:szCs w:val="20"/>
                <w:color w:val="auto"/>
                <w:w w:val="87"/>
              </w:rPr>
              <w:t>Aggregates</w:t>
            </w:r>
          </w:p>
        </w:tc>
        <w:tc>
          <w:tcPr>
            <w:tcW w:w="3460" w:type="dxa"/>
            <w:vAlign w:val="bottom"/>
          </w:tcPr>
          <w:p>
            <w:pPr>
              <w:jc w:val="center"/>
              <w:spacing w:after="0"/>
              <w:rPr>
                <w:sz w:val="20"/>
                <w:szCs w:val="20"/>
                <w:color w:val="auto"/>
              </w:rPr>
            </w:pPr>
            <w:r>
              <w:rPr>
                <w:rFonts w:ascii="Arial" w:cs="Arial" w:eastAsia="Arial" w:hAnsi="Arial"/>
                <w:sz w:val="20"/>
                <w:szCs w:val="20"/>
                <w:color w:val="auto"/>
                <w:w w:val="88"/>
              </w:rPr>
              <w:t>Aggregates, Cement, Ready Mixed</w:t>
            </w:r>
          </w:p>
        </w:tc>
      </w:tr>
      <w:tr>
        <w:trPr>
          <w:trHeight w:val="249"/>
        </w:trPr>
        <w:tc>
          <w:tcPr>
            <w:tcW w:w="2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60" w:type="dxa"/>
            <w:vAlign w:val="bottom"/>
          </w:tcPr>
          <w:p>
            <w:pPr>
              <w:jc w:val="center"/>
              <w:spacing w:after="0"/>
              <w:rPr>
                <w:sz w:val="20"/>
                <w:szCs w:val="20"/>
                <w:color w:val="auto"/>
              </w:rPr>
            </w:pPr>
            <w:r>
              <w:rPr>
                <w:rFonts w:ascii="Arial" w:cs="Arial" w:eastAsia="Arial" w:hAnsi="Arial"/>
                <w:sz w:val="20"/>
                <w:szCs w:val="20"/>
                <w:color w:val="auto"/>
                <w:w w:val="88"/>
              </w:rPr>
              <w:t>Concrete, Asphalt and Paving</w:t>
            </w:r>
          </w:p>
        </w:tc>
      </w:tr>
      <w:tr>
        <w:trPr>
          <w:trHeight w:val="434"/>
        </w:trPr>
        <w:tc>
          <w:tcPr>
            <w:tcW w:w="2120" w:type="dxa"/>
            <w:vAlign w:val="bottom"/>
            <w:gridSpan w:val="2"/>
          </w:tcPr>
          <w:p>
            <w:pPr>
              <w:jc w:val="center"/>
              <w:ind w:right="120"/>
              <w:spacing w:after="0"/>
              <w:rPr>
                <w:sz w:val="20"/>
                <w:szCs w:val="20"/>
                <w:color w:val="auto"/>
              </w:rPr>
            </w:pPr>
            <w:r>
              <w:rPr>
                <w:rFonts w:ascii="Arial" w:cs="Arial" w:eastAsia="Arial" w:hAnsi="Arial"/>
                <w:sz w:val="20"/>
                <w:szCs w:val="20"/>
                <w:color w:val="auto"/>
                <w:w w:val="87"/>
              </w:rPr>
              <w:t>Plant Types</w:t>
            </w:r>
          </w:p>
        </w:tc>
        <w:tc>
          <w:tcPr>
            <w:tcW w:w="3080" w:type="dxa"/>
            <w:vAlign w:val="bottom"/>
            <w:gridSpan w:val="2"/>
          </w:tcPr>
          <w:p>
            <w:pPr>
              <w:jc w:val="center"/>
              <w:ind w:right="120"/>
              <w:spacing w:after="0"/>
              <w:rPr>
                <w:sz w:val="20"/>
                <w:szCs w:val="20"/>
                <w:color w:val="auto"/>
              </w:rPr>
            </w:pPr>
            <w:r>
              <w:rPr>
                <w:rFonts w:ascii="Arial" w:cs="Arial" w:eastAsia="Arial" w:hAnsi="Arial"/>
                <w:sz w:val="20"/>
                <w:szCs w:val="20"/>
                <w:color w:val="auto"/>
                <w:w w:val="91"/>
              </w:rPr>
              <w:t>Quarries, Mines and Distribution</w:t>
            </w:r>
          </w:p>
        </w:tc>
        <w:tc>
          <w:tcPr>
            <w:tcW w:w="2760" w:type="dxa"/>
            <w:vAlign w:val="bottom"/>
            <w:gridSpan w:val="2"/>
          </w:tcPr>
          <w:p>
            <w:pPr>
              <w:jc w:val="center"/>
              <w:ind w:right="120"/>
              <w:spacing w:after="0"/>
              <w:rPr>
                <w:sz w:val="20"/>
                <w:szCs w:val="20"/>
                <w:color w:val="auto"/>
              </w:rPr>
            </w:pPr>
            <w:r>
              <w:rPr>
                <w:rFonts w:ascii="Arial" w:cs="Arial" w:eastAsia="Arial" w:hAnsi="Arial"/>
                <w:sz w:val="20"/>
                <w:szCs w:val="20"/>
                <w:color w:val="auto"/>
                <w:w w:val="91"/>
              </w:rPr>
              <w:t>Quarries, Mines and Distribution</w:t>
            </w:r>
          </w:p>
        </w:tc>
        <w:tc>
          <w:tcPr>
            <w:tcW w:w="3460" w:type="dxa"/>
            <w:vAlign w:val="bottom"/>
          </w:tcPr>
          <w:p>
            <w:pPr>
              <w:jc w:val="center"/>
              <w:spacing w:after="0"/>
              <w:rPr>
                <w:sz w:val="20"/>
                <w:szCs w:val="20"/>
                <w:color w:val="auto"/>
              </w:rPr>
            </w:pPr>
            <w:r>
              <w:rPr>
                <w:rFonts w:ascii="Arial" w:cs="Arial" w:eastAsia="Arial" w:hAnsi="Arial"/>
                <w:sz w:val="20"/>
                <w:szCs w:val="20"/>
                <w:color w:val="auto"/>
                <w:w w:val="88"/>
              </w:rPr>
              <w:t>Quarries, Mines, Plants and</w:t>
            </w:r>
          </w:p>
        </w:tc>
      </w:tr>
      <w:tr>
        <w:trPr>
          <w:trHeight w:val="249"/>
        </w:trPr>
        <w:tc>
          <w:tcPr>
            <w:tcW w:w="2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80" w:type="dxa"/>
            <w:vAlign w:val="bottom"/>
            <w:gridSpan w:val="2"/>
          </w:tcPr>
          <w:p>
            <w:pPr>
              <w:jc w:val="center"/>
              <w:ind w:right="120"/>
              <w:spacing w:after="0"/>
              <w:rPr>
                <w:sz w:val="20"/>
                <w:szCs w:val="20"/>
                <w:color w:val="auto"/>
              </w:rPr>
            </w:pPr>
            <w:r>
              <w:rPr>
                <w:rFonts w:ascii="Arial" w:cs="Arial" w:eastAsia="Arial" w:hAnsi="Arial"/>
                <w:sz w:val="20"/>
                <w:szCs w:val="20"/>
                <w:color w:val="auto"/>
                <w:w w:val="92"/>
              </w:rPr>
              <w:t>Facilities</w:t>
            </w:r>
          </w:p>
        </w:tc>
        <w:tc>
          <w:tcPr>
            <w:tcW w:w="2760" w:type="dxa"/>
            <w:vAlign w:val="bottom"/>
            <w:gridSpan w:val="2"/>
          </w:tcPr>
          <w:p>
            <w:pPr>
              <w:jc w:val="center"/>
              <w:ind w:right="120"/>
              <w:spacing w:after="0"/>
              <w:rPr>
                <w:sz w:val="20"/>
                <w:szCs w:val="20"/>
                <w:color w:val="auto"/>
              </w:rPr>
            </w:pPr>
            <w:r>
              <w:rPr>
                <w:rFonts w:ascii="Arial" w:cs="Arial" w:eastAsia="Arial" w:hAnsi="Arial"/>
                <w:sz w:val="20"/>
                <w:szCs w:val="20"/>
                <w:color w:val="auto"/>
                <w:w w:val="92"/>
              </w:rPr>
              <w:t>Facilities</w:t>
            </w:r>
          </w:p>
        </w:tc>
        <w:tc>
          <w:tcPr>
            <w:tcW w:w="3460" w:type="dxa"/>
            <w:vAlign w:val="bottom"/>
          </w:tcPr>
          <w:p>
            <w:pPr>
              <w:jc w:val="center"/>
              <w:spacing w:after="0"/>
              <w:rPr>
                <w:sz w:val="20"/>
                <w:szCs w:val="20"/>
                <w:color w:val="auto"/>
              </w:rPr>
            </w:pPr>
            <w:r>
              <w:rPr>
                <w:rFonts w:ascii="Arial" w:cs="Arial" w:eastAsia="Arial" w:hAnsi="Arial"/>
                <w:sz w:val="20"/>
                <w:szCs w:val="20"/>
                <w:color w:val="auto"/>
                <w:w w:val="92"/>
              </w:rPr>
              <w:t>Distribution Facilities</w:t>
            </w:r>
          </w:p>
        </w:tc>
      </w:tr>
      <w:tr>
        <w:trPr>
          <w:trHeight w:val="447"/>
        </w:trPr>
        <w:tc>
          <w:tcPr>
            <w:tcW w:w="2120" w:type="dxa"/>
            <w:vAlign w:val="bottom"/>
            <w:gridSpan w:val="2"/>
          </w:tcPr>
          <w:p>
            <w:pPr>
              <w:jc w:val="center"/>
              <w:ind w:right="20"/>
              <w:spacing w:after="0"/>
              <w:rPr>
                <w:sz w:val="20"/>
                <w:szCs w:val="20"/>
                <w:color w:val="auto"/>
              </w:rPr>
            </w:pPr>
            <w:r>
              <w:rPr>
                <w:rFonts w:ascii="Arial" w:cs="Arial" w:eastAsia="Arial" w:hAnsi="Arial"/>
                <w:sz w:val="20"/>
                <w:szCs w:val="20"/>
                <w:color w:val="auto"/>
                <w:w w:val="89"/>
              </w:rPr>
              <w:t>Modes of</w:t>
            </w:r>
          </w:p>
        </w:tc>
        <w:tc>
          <w:tcPr>
            <w:tcW w:w="3080" w:type="dxa"/>
            <w:vAlign w:val="bottom"/>
            <w:gridSpan w:val="2"/>
          </w:tcPr>
          <w:p>
            <w:pPr>
              <w:jc w:val="center"/>
              <w:ind w:right="120"/>
              <w:spacing w:after="0"/>
              <w:rPr>
                <w:sz w:val="20"/>
                <w:szCs w:val="20"/>
                <w:color w:val="auto"/>
              </w:rPr>
            </w:pPr>
            <w:r>
              <w:rPr>
                <w:rFonts w:ascii="Arial" w:cs="Arial" w:eastAsia="Arial" w:hAnsi="Arial"/>
                <w:sz w:val="20"/>
                <w:szCs w:val="20"/>
                <w:color w:val="auto"/>
                <w:w w:val="89"/>
              </w:rPr>
              <w:t>Truck and Railcar</w:t>
            </w:r>
          </w:p>
        </w:tc>
        <w:tc>
          <w:tcPr>
            <w:tcW w:w="2760" w:type="dxa"/>
            <w:vAlign w:val="bottom"/>
            <w:gridSpan w:val="2"/>
          </w:tcPr>
          <w:p>
            <w:pPr>
              <w:jc w:val="center"/>
              <w:ind w:right="120"/>
              <w:spacing w:after="0"/>
              <w:rPr>
                <w:sz w:val="20"/>
                <w:szCs w:val="20"/>
                <w:color w:val="auto"/>
              </w:rPr>
            </w:pPr>
            <w:r>
              <w:rPr>
                <w:rFonts w:ascii="Arial" w:cs="Arial" w:eastAsia="Arial" w:hAnsi="Arial"/>
                <w:sz w:val="20"/>
                <w:szCs w:val="20"/>
                <w:color w:val="auto"/>
                <w:w w:val="88"/>
              </w:rPr>
              <w:t>Truck, Railcar and Water</w:t>
            </w:r>
          </w:p>
        </w:tc>
        <w:tc>
          <w:tcPr>
            <w:tcW w:w="3460" w:type="dxa"/>
            <w:vAlign w:val="bottom"/>
          </w:tcPr>
          <w:p>
            <w:pPr>
              <w:jc w:val="center"/>
              <w:spacing w:after="0"/>
              <w:rPr>
                <w:sz w:val="20"/>
                <w:szCs w:val="20"/>
                <w:color w:val="auto"/>
              </w:rPr>
            </w:pPr>
            <w:r>
              <w:rPr>
                <w:rFonts w:ascii="Arial" w:cs="Arial" w:eastAsia="Arial" w:hAnsi="Arial"/>
                <w:sz w:val="20"/>
                <w:szCs w:val="20"/>
                <w:color w:val="auto"/>
                <w:w w:val="90"/>
              </w:rPr>
              <w:t>Truck and Railcar</w:t>
            </w:r>
          </w:p>
        </w:tc>
      </w:tr>
      <w:tr>
        <w:trPr>
          <w:trHeight w:val="249"/>
        </w:trPr>
        <w:tc>
          <w:tcPr>
            <w:tcW w:w="2120" w:type="dxa"/>
            <w:vAlign w:val="bottom"/>
            <w:gridSpan w:val="2"/>
          </w:tcPr>
          <w:p>
            <w:pPr>
              <w:jc w:val="center"/>
              <w:ind w:right="20"/>
              <w:spacing w:after="0"/>
              <w:rPr>
                <w:sz w:val="20"/>
                <w:szCs w:val="20"/>
                <w:color w:val="auto"/>
              </w:rPr>
            </w:pPr>
            <w:r>
              <w:rPr>
                <w:rFonts w:ascii="Arial" w:cs="Arial" w:eastAsia="Arial" w:hAnsi="Arial"/>
                <w:sz w:val="20"/>
                <w:szCs w:val="20"/>
                <w:color w:val="auto"/>
                <w:w w:val="88"/>
              </w:rPr>
              <w:t>Transportation</w:t>
            </w:r>
          </w:p>
        </w:tc>
        <w:tc>
          <w:tcPr>
            <w:tcW w:w="2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60" w:type="dxa"/>
            <w:vAlign w:val="bottom"/>
          </w:tcPr>
          <w:p>
            <w:pPr>
              <w:spacing w:after="0"/>
              <w:rPr>
                <w:sz w:val="21"/>
                <w:szCs w:val="21"/>
                <w:color w:val="auto"/>
              </w:rPr>
            </w:pPr>
          </w:p>
        </w:tc>
      </w:tr>
    </w:tbl>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Company also has a Magnesia Specialties business that produces magnesia-based chemicals products used in industrial, agricultural and environmental applications and dolomitic lime sold primarily to customers in the steel and mining industry.</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CRITICAL ACCOUNTING POLICIES</w:t>
      </w:r>
    </w:p>
    <w:p>
      <w:pPr>
        <w:spacing w:after="0" w:line="10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Company outlined its critical accounting policies in its Annual Report on Form 10-K for the year ended December 31, 2017. There were no changes to the Company’s critical accounting policies during the three-months ended March 31, 2018.</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24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March 31, 2018</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line="237" w:lineRule="auto"/>
        <w:rPr>
          <w:sz w:val="20"/>
          <w:szCs w:val="20"/>
          <w:color w:val="auto"/>
        </w:rPr>
      </w:pPr>
      <w:r>
        <w:rPr>
          <w:rFonts w:ascii="Arial" w:cs="Arial" w:eastAsia="Arial" w:hAnsi="Arial"/>
          <w:sz w:val="20"/>
          <w:szCs w:val="20"/>
          <w:color w:val="auto"/>
        </w:rPr>
        <w:t>First Quarter Ended March 31, 2018</w:t>
      </w:r>
    </w:p>
    <w:p>
      <w:pPr>
        <w:jc w:val="center"/>
        <w:spacing w:after="0"/>
        <w:rPr>
          <w:sz w:val="20"/>
          <w:szCs w:val="20"/>
          <w:color w:val="auto"/>
        </w:rPr>
      </w:pPr>
      <w:r>
        <w:rPr>
          <w:rFonts w:ascii="Arial" w:cs="Arial" w:eastAsia="Arial" w:hAnsi="Arial"/>
          <w:sz w:val="20"/>
          <w:szCs w:val="20"/>
          <w:color w:val="auto"/>
        </w:rPr>
        <w:t>(Continued)</w:t>
      </w: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color w:val="auto"/>
        </w:rPr>
        <w:t>RESULTS OF OPERATIONS</w:t>
      </w:r>
    </w:p>
    <w:p>
      <w:pPr>
        <w:spacing w:after="0" w:line="105"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The Building Materials business is significantly affected by weather patterns and seasonal changes. Production and shipment levels for aggregates, cement, ready mixed concrete and asphalt and paving materials correlate with general construction activity levels, most of which occur in the spring, summer and fall. Thus, production and shipment levels vary by quarter. Operations concentrated in the northern and midwestern United States generally experience more severe winter weather conditions than operations in the southeast and southwest. Excessive rainfall, and conversely excessive drought, can also jeopardize production, shipments and profitability in all markets served by the Company. Because of the potentially significant impact of weather on the Company’s operations, current period and year-to-date results are not indicative of expected performance for other interim periods or the full year.</w:t>
      </w:r>
    </w:p>
    <w:p>
      <w:pPr>
        <w:spacing w:after="0" w:line="74"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Earnings before interest, income taxes, depreciation and amortization (EBITDA) is a widely accepted financial indicator of a company’s ability to service and/or incur indebtedness. EBITDA is not defined by generally accepted accounting principles and, as such, should not be construed as an alternative to net earnings, operating earnings or operating cash flow. However, the Company’s management believes that EBITDA may provide additional information with respect to the Company’s performance or ability to meet its future debt service, capital expenditures or working capital requirements. Because EBITDA excludes some, but not all, items that affect net earnings and may vary among companies, EBITDA presented by the Company may not be comparable to similarly titled measures of other companies.</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A reconciliation of net earnings attributable to Martin Marietta Materials, Inc. to consolidated EBITDA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20" w:type="dxa"/>
            <w:vAlign w:val="bottom"/>
            <w:gridSpan w:val="5"/>
          </w:tcPr>
          <w:p>
            <w:pPr>
              <w:jc w:val="center"/>
              <w:ind w:right="480"/>
              <w:spacing w:after="0"/>
              <w:rPr>
                <w:sz w:val="20"/>
                <w:szCs w:val="20"/>
                <w:color w:val="auto"/>
              </w:rPr>
            </w:pPr>
            <w:r>
              <w:rPr>
                <w:rFonts w:ascii="Arial" w:cs="Arial" w:eastAsia="Arial" w:hAnsi="Arial"/>
                <w:sz w:val="20"/>
                <w:szCs w:val="20"/>
                <w:color w:val="auto"/>
                <w:w w:val="88"/>
              </w:rPr>
              <w:t>Three-Months Ended</w:t>
            </w:r>
          </w:p>
        </w:tc>
      </w:tr>
      <w:tr>
        <w:trPr>
          <w:trHeight w:val="244"/>
        </w:trPr>
        <w:tc>
          <w:tcPr>
            <w:tcW w:w="6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3"/>
          </w:tcPr>
          <w:p>
            <w:pPr>
              <w:jc w:val="center"/>
              <w:ind w:left="702"/>
              <w:spacing w:after="0"/>
              <w:rPr>
                <w:sz w:val="20"/>
                <w:szCs w:val="20"/>
                <w:color w:val="auto"/>
              </w:rPr>
            </w:pPr>
            <w:r>
              <w:rPr>
                <w:rFonts w:ascii="Arial" w:cs="Arial" w:eastAsia="Arial" w:hAnsi="Arial"/>
                <w:sz w:val="20"/>
                <w:szCs w:val="20"/>
                <w:color w:val="auto"/>
                <w:w w:val="92"/>
              </w:rPr>
              <w:t>March 31,</w:t>
            </w:r>
          </w:p>
        </w:tc>
        <w:tc>
          <w:tcPr>
            <w:tcW w:w="11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4"/>
        </w:trPr>
        <w:tc>
          <w:tcPr>
            <w:tcW w:w="6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02"/>
              <w:spacing w:after="0"/>
              <w:rPr>
                <w:sz w:val="20"/>
                <w:szCs w:val="20"/>
                <w:color w:val="auto"/>
              </w:rPr>
            </w:pPr>
            <w:r>
              <w:rPr>
                <w:rFonts w:ascii="Arial" w:cs="Arial" w:eastAsia="Arial" w:hAnsi="Arial"/>
                <w:sz w:val="20"/>
                <w:szCs w:val="20"/>
                <w:color w:val="auto"/>
              </w:rPr>
              <w:t>2018</w:t>
            </w:r>
          </w:p>
        </w:tc>
        <w:tc>
          <w:tcPr>
            <w:tcW w:w="2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02"/>
              <w:spacing w:after="0"/>
              <w:rPr>
                <w:sz w:val="20"/>
                <w:szCs w:val="20"/>
                <w:color w:val="auto"/>
              </w:rPr>
            </w:pPr>
            <w:r>
              <w:rPr>
                <w:rFonts w:ascii="Arial" w:cs="Arial" w:eastAsia="Arial" w:hAnsi="Arial"/>
                <w:sz w:val="20"/>
                <w:szCs w:val="20"/>
                <w:color w:val="auto"/>
              </w:rPr>
              <w:t>2017</w:t>
            </w:r>
          </w:p>
        </w:tc>
        <w:tc>
          <w:tcPr>
            <w:tcW w:w="120" w:type="dxa"/>
            <w:vAlign w:val="bottom"/>
          </w:tcPr>
          <w:p>
            <w:pPr>
              <w:spacing w:after="0"/>
              <w:rPr>
                <w:sz w:val="20"/>
                <w:szCs w:val="20"/>
                <w:color w:val="auto"/>
              </w:rPr>
            </w:pPr>
          </w:p>
        </w:tc>
      </w:tr>
      <w:tr>
        <w:trPr>
          <w:trHeight w:val="234"/>
        </w:trPr>
        <w:tc>
          <w:tcPr>
            <w:tcW w:w="6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00" w:type="dxa"/>
            <w:vAlign w:val="bottom"/>
            <w:gridSpan w:val="4"/>
          </w:tcPr>
          <w:p>
            <w:pPr>
              <w:jc w:val="center"/>
              <w:ind w:right="262"/>
              <w:spacing w:after="0"/>
              <w:rPr>
                <w:sz w:val="20"/>
                <w:szCs w:val="20"/>
                <w:color w:val="auto"/>
              </w:rPr>
            </w:pPr>
            <w:r>
              <w:rPr>
                <w:rFonts w:ascii="Arial" w:cs="Arial" w:eastAsia="Arial" w:hAnsi="Arial"/>
                <w:sz w:val="20"/>
                <w:szCs w:val="20"/>
                <w:i w:val="1"/>
                <w:iCs w:val="1"/>
                <w:color w:val="auto"/>
                <w:w w:val="91"/>
              </w:rPr>
              <w:t>(Dollars in thousands)</w:t>
            </w:r>
          </w:p>
        </w:tc>
        <w:tc>
          <w:tcPr>
            <w:tcW w:w="120" w:type="dxa"/>
            <w:vAlign w:val="bottom"/>
          </w:tcPr>
          <w:p>
            <w:pPr>
              <w:spacing w:after="0"/>
              <w:rPr>
                <w:sz w:val="20"/>
                <w:szCs w:val="20"/>
                <w:color w:val="auto"/>
              </w:rPr>
            </w:pPr>
          </w:p>
        </w:tc>
      </w:tr>
      <w:tr>
        <w:trPr>
          <w:trHeight w:val="241"/>
        </w:trPr>
        <w:tc>
          <w:tcPr>
            <w:tcW w:w="6280" w:type="dxa"/>
            <w:vAlign w:val="bottom"/>
            <w:shd w:val="clear" w:color="auto" w:fill="CFF0FC"/>
          </w:tcPr>
          <w:p>
            <w:pPr>
              <w:spacing w:after="0"/>
              <w:rPr>
                <w:sz w:val="20"/>
                <w:szCs w:val="20"/>
                <w:color w:val="auto"/>
              </w:rPr>
            </w:pPr>
            <w:r>
              <w:rPr>
                <w:rFonts w:ascii="Arial" w:cs="Arial" w:eastAsia="Arial" w:hAnsi="Arial"/>
                <w:sz w:val="20"/>
                <w:szCs w:val="20"/>
                <w:color w:val="auto"/>
              </w:rPr>
              <w:t>Net Earnings Attributable to Martin Marietta Materials, Inc.</w:t>
            </w:r>
          </w:p>
        </w:tc>
        <w:tc>
          <w:tcPr>
            <w:tcW w:w="1920" w:type="dxa"/>
            <w:vAlign w:val="bottom"/>
            <w:gridSpan w:val="2"/>
            <w:shd w:val="clear" w:color="auto" w:fill="CFF0FC"/>
          </w:tcPr>
          <w:p>
            <w:pPr>
              <w:jc w:val="right"/>
              <w:ind w:right="162"/>
              <w:spacing w:after="0"/>
              <w:rPr>
                <w:sz w:val="20"/>
                <w:szCs w:val="20"/>
                <w:color w:val="auto"/>
              </w:rPr>
            </w:pPr>
            <w:r>
              <w:rPr>
                <w:rFonts w:ascii="Arial" w:cs="Arial" w:eastAsia="Arial" w:hAnsi="Arial"/>
                <w:sz w:val="20"/>
                <w:szCs w:val="20"/>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10,023</w:t>
            </w:r>
          </w:p>
        </w:tc>
        <w:tc>
          <w:tcPr>
            <w:tcW w:w="280" w:type="dxa"/>
            <w:vAlign w:val="bottom"/>
            <w:shd w:val="clear" w:color="auto" w:fill="CFF0FC"/>
          </w:tcPr>
          <w:p>
            <w:pPr>
              <w:spacing w:after="0"/>
              <w:rPr>
                <w:sz w:val="20"/>
                <w:szCs w:val="20"/>
                <w:color w:val="auto"/>
              </w:rPr>
            </w:pPr>
          </w:p>
        </w:tc>
        <w:tc>
          <w:tcPr>
            <w:tcW w:w="440" w:type="dxa"/>
            <w:vAlign w:val="bottom"/>
            <w:shd w:val="clear" w:color="auto" w:fill="CFF0FC"/>
          </w:tcPr>
          <w:p>
            <w:pPr>
              <w:jc w:val="right"/>
              <w:ind w:right="242"/>
              <w:spacing w:after="0"/>
              <w:rPr>
                <w:sz w:val="20"/>
                <w:szCs w:val="20"/>
                <w:color w:val="auto"/>
              </w:rPr>
            </w:pPr>
            <w:r>
              <w:rPr>
                <w:rFonts w:ascii="Arial" w:cs="Arial" w:eastAsia="Arial" w:hAnsi="Arial"/>
                <w:sz w:val="20"/>
                <w:szCs w:val="20"/>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42,334</w:t>
            </w:r>
          </w:p>
        </w:tc>
        <w:tc>
          <w:tcPr>
            <w:tcW w:w="120" w:type="dxa"/>
            <w:vAlign w:val="bottom"/>
            <w:shd w:val="clear" w:color="auto" w:fill="CFF0FC"/>
          </w:tcPr>
          <w:p>
            <w:pPr>
              <w:spacing w:after="0"/>
              <w:rPr>
                <w:sz w:val="20"/>
                <w:szCs w:val="20"/>
                <w:color w:val="auto"/>
              </w:rPr>
            </w:pPr>
          </w:p>
        </w:tc>
      </w:tr>
      <w:tr>
        <w:trPr>
          <w:trHeight w:val="241"/>
        </w:trPr>
        <w:tc>
          <w:tcPr>
            <w:tcW w:w="6280" w:type="dxa"/>
            <w:vAlign w:val="bottom"/>
          </w:tcPr>
          <w:p>
            <w:pPr>
              <w:spacing w:after="0"/>
              <w:rPr>
                <w:sz w:val="20"/>
                <w:szCs w:val="20"/>
                <w:color w:val="auto"/>
              </w:rPr>
            </w:pPr>
            <w:r>
              <w:rPr>
                <w:rFonts w:ascii="Arial" w:cs="Arial" w:eastAsia="Arial" w:hAnsi="Arial"/>
                <w:sz w:val="20"/>
                <w:szCs w:val="20"/>
                <w:color w:val="auto"/>
              </w:rPr>
              <w:t>Add back:</w:t>
            </w:r>
          </w:p>
        </w:tc>
        <w:tc>
          <w:tcPr>
            <w:tcW w:w="1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1"/>
        </w:trPr>
        <w:tc>
          <w:tcPr>
            <w:tcW w:w="62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Interest expense</w:t>
            </w:r>
          </w:p>
        </w:tc>
        <w:tc>
          <w:tcPr>
            <w:tcW w:w="15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35,087</w:t>
            </w:r>
          </w:p>
        </w:tc>
        <w:tc>
          <w:tcPr>
            <w:tcW w:w="2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20,851</w:t>
            </w:r>
          </w:p>
        </w:tc>
        <w:tc>
          <w:tcPr>
            <w:tcW w:w="120" w:type="dxa"/>
            <w:vAlign w:val="bottom"/>
            <w:shd w:val="clear" w:color="auto" w:fill="CFF0FC"/>
          </w:tcPr>
          <w:p>
            <w:pPr>
              <w:spacing w:after="0"/>
              <w:rPr>
                <w:sz w:val="20"/>
                <w:szCs w:val="20"/>
                <w:color w:val="auto"/>
              </w:rPr>
            </w:pPr>
          </w:p>
        </w:tc>
      </w:tr>
      <w:tr>
        <w:trPr>
          <w:trHeight w:val="241"/>
        </w:trPr>
        <w:tc>
          <w:tcPr>
            <w:tcW w:w="6280" w:type="dxa"/>
            <w:vAlign w:val="bottom"/>
          </w:tcPr>
          <w:p>
            <w:pPr>
              <w:ind w:left="260"/>
              <w:spacing w:after="0"/>
              <w:rPr>
                <w:sz w:val="20"/>
                <w:szCs w:val="20"/>
                <w:color w:val="auto"/>
              </w:rPr>
            </w:pPr>
            <w:r>
              <w:rPr>
                <w:rFonts w:ascii="Arial" w:cs="Arial" w:eastAsia="Arial" w:hAnsi="Arial"/>
                <w:sz w:val="20"/>
                <w:szCs w:val="20"/>
                <w:color w:val="auto"/>
              </w:rPr>
              <w:t>Income tax expense for controlling interests</w:t>
            </w:r>
          </w:p>
        </w:tc>
        <w:tc>
          <w:tcPr>
            <w:tcW w:w="1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2,438</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14,522</w:t>
            </w:r>
          </w:p>
        </w:tc>
        <w:tc>
          <w:tcPr>
            <w:tcW w:w="120" w:type="dxa"/>
            <w:vAlign w:val="bottom"/>
          </w:tcPr>
          <w:p>
            <w:pPr>
              <w:spacing w:after="0"/>
              <w:rPr>
                <w:sz w:val="20"/>
                <w:szCs w:val="20"/>
                <w:color w:val="auto"/>
              </w:rPr>
            </w:pPr>
          </w:p>
        </w:tc>
      </w:tr>
      <w:tr>
        <w:trPr>
          <w:trHeight w:val="241"/>
        </w:trPr>
        <w:tc>
          <w:tcPr>
            <w:tcW w:w="62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Depreciation, depletion and amortization expense</w:t>
            </w:r>
          </w:p>
        </w:tc>
        <w:tc>
          <w:tcPr>
            <w:tcW w:w="1560" w:type="dxa"/>
            <w:vAlign w:val="bottom"/>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75,714</w:t>
            </w:r>
          </w:p>
        </w:tc>
        <w:tc>
          <w:tcPr>
            <w:tcW w:w="280" w:type="dxa"/>
            <w:vAlign w:val="bottom"/>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70,007</w:t>
            </w:r>
          </w:p>
        </w:tc>
        <w:tc>
          <w:tcPr>
            <w:tcW w:w="120" w:type="dxa"/>
            <w:vAlign w:val="bottom"/>
            <w:shd w:val="clear" w:color="auto" w:fill="CFF0FC"/>
          </w:tcPr>
          <w:p>
            <w:pPr>
              <w:spacing w:after="0"/>
              <w:rPr>
                <w:sz w:val="20"/>
                <w:szCs w:val="20"/>
                <w:color w:val="auto"/>
              </w:rPr>
            </w:pPr>
          </w:p>
        </w:tc>
      </w:tr>
      <w:tr>
        <w:trPr>
          <w:trHeight w:val="234"/>
        </w:trPr>
        <w:tc>
          <w:tcPr>
            <w:tcW w:w="6280" w:type="dxa"/>
            <w:vAlign w:val="bottom"/>
          </w:tcPr>
          <w:p>
            <w:pPr>
              <w:spacing w:after="0"/>
              <w:rPr>
                <w:sz w:val="20"/>
                <w:szCs w:val="20"/>
                <w:color w:val="auto"/>
              </w:rPr>
            </w:pPr>
            <w:r>
              <w:rPr>
                <w:rFonts w:ascii="Arial" w:cs="Arial" w:eastAsia="Arial" w:hAnsi="Arial"/>
                <w:sz w:val="20"/>
                <w:szCs w:val="20"/>
                <w:color w:val="auto"/>
              </w:rPr>
              <w:t>Consolidated EBITDA</w:t>
            </w:r>
          </w:p>
        </w:tc>
        <w:tc>
          <w:tcPr>
            <w:tcW w:w="1560" w:type="dxa"/>
            <w:vAlign w:val="bottom"/>
          </w:tcPr>
          <w:p>
            <w:pPr>
              <w:spacing w:after="0"/>
              <w:rPr>
                <w:sz w:val="20"/>
                <w:szCs w:val="20"/>
                <w:color w:val="auto"/>
              </w:rPr>
            </w:pPr>
          </w:p>
        </w:tc>
        <w:tc>
          <w:tcPr>
            <w:tcW w:w="360" w:type="dxa"/>
            <w:vAlign w:val="bottom"/>
            <w:tcBorders>
              <w:bottom w:val="single" w:sz="8" w:color="auto"/>
            </w:tcBorders>
          </w:tcPr>
          <w:p>
            <w:pPr>
              <w:jc w:val="right"/>
              <w:ind w:right="162"/>
              <w:spacing w:after="0"/>
              <w:rPr>
                <w:sz w:val="20"/>
                <w:szCs w:val="20"/>
                <w:color w:val="auto"/>
              </w:rPr>
            </w:pPr>
            <w:r>
              <w:rPr>
                <w:rFonts w:ascii="Arial" w:cs="Arial" w:eastAsia="Arial" w:hAnsi="Arial"/>
                <w:sz w:val="20"/>
                <w:szCs w:val="2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123,262</w:t>
            </w:r>
          </w:p>
        </w:tc>
        <w:tc>
          <w:tcPr>
            <w:tcW w:w="280" w:type="dxa"/>
            <w:vAlign w:val="bottom"/>
          </w:tcPr>
          <w:p>
            <w:pPr>
              <w:spacing w:after="0"/>
              <w:rPr>
                <w:sz w:val="20"/>
                <w:szCs w:val="20"/>
                <w:color w:val="auto"/>
              </w:rPr>
            </w:pPr>
          </w:p>
        </w:tc>
        <w:tc>
          <w:tcPr>
            <w:tcW w:w="440" w:type="dxa"/>
            <w:vAlign w:val="bottom"/>
            <w:tcBorders>
              <w:bottom w:val="single" w:sz="8" w:color="auto"/>
            </w:tcBorders>
          </w:tcPr>
          <w:p>
            <w:pPr>
              <w:jc w:val="right"/>
              <w:ind w:right="242"/>
              <w:spacing w:after="0"/>
              <w:rPr>
                <w:sz w:val="20"/>
                <w:szCs w:val="20"/>
                <w:color w:val="auto"/>
              </w:rPr>
            </w:pPr>
            <w:r>
              <w:rPr>
                <w:rFonts w:ascii="Arial" w:cs="Arial" w:eastAsia="Arial" w:hAnsi="Arial"/>
                <w:sz w:val="20"/>
                <w:szCs w:val="20"/>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147,714</w:t>
            </w:r>
          </w:p>
        </w:tc>
        <w:tc>
          <w:tcPr>
            <w:tcW w:w="120" w:type="dxa"/>
            <w:vAlign w:val="bottom"/>
          </w:tcPr>
          <w:p>
            <w:pPr>
              <w:spacing w:after="0"/>
              <w:rPr>
                <w:sz w:val="20"/>
                <w:szCs w:val="20"/>
                <w:color w:val="auto"/>
              </w:rPr>
            </w:pPr>
          </w:p>
        </w:tc>
      </w:tr>
      <w:tr>
        <w:trPr>
          <w:trHeight w:val="20"/>
        </w:trPr>
        <w:tc>
          <w:tcPr>
            <w:tcW w:w="6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25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March 31, 2018</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line="237" w:lineRule="auto"/>
        <w:rPr>
          <w:sz w:val="20"/>
          <w:szCs w:val="20"/>
          <w:color w:val="auto"/>
        </w:rPr>
      </w:pPr>
      <w:r>
        <w:rPr>
          <w:rFonts w:ascii="Arial" w:cs="Arial" w:eastAsia="Arial" w:hAnsi="Arial"/>
          <w:sz w:val="20"/>
          <w:szCs w:val="20"/>
          <w:color w:val="auto"/>
        </w:rPr>
        <w:t>First Quarter Ended March 31, 2018</w:t>
      </w:r>
    </w:p>
    <w:p>
      <w:pPr>
        <w:jc w:val="center"/>
        <w:spacing w:after="0"/>
        <w:rPr>
          <w:sz w:val="20"/>
          <w:szCs w:val="20"/>
          <w:color w:val="auto"/>
        </w:rPr>
      </w:pPr>
      <w:r>
        <w:rPr>
          <w:rFonts w:ascii="Arial" w:cs="Arial" w:eastAsia="Arial" w:hAnsi="Arial"/>
          <w:sz w:val="20"/>
          <w:szCs w:val="20"/>
          <w:color w:val="auto"/>
        </w:rPr>
        <w:t>(Continued)</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Significant items for the quarter ended March 31, 2018 (unless noted, all comparisons are versus the prior-year quarter):</w:t>
      </w:r>
    </w:p>
    <w:p>
      <w:pPr>
        <w:spacing w:after="0" w:line="51" w:lineRule="exact"/>
        <w:rPr>
          <w:sz w:val="20"/>
          <w:szCs w:val="20"/>
          <w:color w:val="auto"/>
        </w:rPr>
      </w:pPr>
    </w:p>
    <w:p>
      <w:pPr>
        <w:ind w:left="760" w:hanging="378"/>
        <w:spacing w:after="0"/>
        <w:tabs>
          <w:tab w:leader="none" w:pos="760" w:val="left"/>
        </w:tabs>
        <w:numPr>
          <w:ilvl w:val="0"/>
          <w:numId w:val="22"/>
        </w:numPr>
        <w:rPr>
          <w:rFonts w:ascii="Arial" w:cs="Arial" w:eastAsia="Arial" w:hAnsi="Arial"/>
          <w:sz w:val="20"/>
          <w:szCs w:val="20"/>
          <w:color w:val="007DC6"/>
        </w:rPr>
      </w:pPr>
      <w:r>
        <w:rPr>
          <w:rFonts w:ascii="Arial" w:cs="Arial" w:eastAsia="Arial" w:hAnsi="Arial"/>
          <w:sz w:val="20"/>
          <w:szCs w:val="20"/>
          <w:color w:val="auto"/>
        </w:rPr>
        <w:t>Consolidated total revenues of $802.0 million compared with $843.9 million</w:t>
      </w:r>
    </w:p>
    <w:p>
      <w:pPr>
        <w:spacing w:after="0" w:line="51" w:lineRule="exact"/>
        <w:rPr>
          <w:rFonts w:ascii="Arial" w:cs="Arial" w:eastAsia="Arial" w:hAnsi="Arial"/>
          <w:sz w:val="20"/>
          <w:szCs w:val="20"/>
          <w:color w:val="007DC6"/>
        </w:rPr>
      </w:pPr>
    </w:p>
    <w:p>
      <w:pPr>
        <w:ind w:left="760" w:hanging="378"/>
        <w:spacing w:after="0" w:line="257" w:lineRule="auto"/>
        <w:tabs>
          <w:tab w:leader="none" w:pos="760" w:val="left"/>
        </w:tabs>
        <w:numPr>
          <w:ilvl w:val="0"/>
          <w:numId w:val="22"/>
        </w:numPr>
        <w:rPr>
          <w:rFonts w:ascii="Arial" w:cs="Arial" w:eastAsia="Arial" w:hAnsi="Arial"/>
          <w:sz w:val="20"/>
          <w:szCs w:val="20"/>
          <w:color w:val="007DC6"/>
        </w:rPr>
      </w:pPr>
      <w:r>
        <w:rPr>
          <w:rFonts w:ascii="Arial" w:cs="Arial" w:eastAsia="Arial" w:hAnsi="Arial"/>
          <w:sz w:val="20"/>
          <w:szCs w:val="20"/>
          <w:color w:val="auto"/>
        </w:rPr>
        <w:t>Building Materials business products and services revenues of $688.4 million compared with $728.0 million and Magnesia Specialties product revenues of $64.9 million compared with $64.3 million</w:t>
      </w:r>
    </w:p>
    <w:p>
      <w:pPr>
        <w:spacing w:after="0" w:line="15" w:lineRule="exact"/>
        <w:rPr>
          <w:rFonts w:ascii="Arial" w:cs="Arial" w:eastAsia="Arial" w:hAnsi="Arial"/>
          <w:sz w:val="20"/>
          <w:szCs w:val="20"/>
          <w:color w:val="007DC6"/>
        </w:rPr>
      </w:pPr>
    </w:p>
    <w:p>
      <w:pPr>
        <w:ind w:left="760" w:hanging="378"/>
        <w:spacing w:after="0"/>
        <w:tabs>
          <w:tab w:leader="none" w:pos="760" w:val="left"/>
        </w:tabs>
        <w:numPr>
          <w:ilvl w:val="0"/>
          <w:numId w:val="22"/>
        </w:numPr>
        <w:rPr>
          <w:rFonts w:ascii="Arial" w:cs="Arial" w:eastAsia="Arial" w:hAnsi="Arial"/>
          <w:sz w:val="20"/>
          <w:szCs w:val="20"/>
          <w:color w:val="007DC6"/>
        </w:rPr>
      </w:pPr>
      <w:r>
        <w:rPr>
          <w:rFonts w:ascii="Arial" w:cs="Arial" w:eastAsia="Arial" w:hAnsi="Arial"/>
          <w:sz w:val="20"/>
          <w:szCs w:val="20"/>
          <w:color w:val="auto"/>
        </w:rPr>
        <w:t>Consolidated gross profit of $110.4 compared with $147.1 million</w:t>
      </w:r>
    </w:p>
    <w:p>
      <w:pPr>
        <w:spacing w:after="0" w:line="51" w:lineRule="exact"/>
        <w:rPr>
          <w:rFonts w:ascii="Arial" w:cs="Arial" w:eastAsia="Arial" w:hAnsi="Arial"/>
          <w:sz w:val="20"/>
          <w:szCs w:val="20"/>
          <w:color w:val="007DC6"/>
        </w:rPr>
      </w:pPr>
    </w:p>
    <w:p>
      <w:pPr>
        <w:ind w:left="760" w:hanging="378"/>
        <w:spacing w:after="0"/>
        <w:tabs>
          <w:tab w:leader="none" w:pos="760" w:val="left"/>
        </w:tabs>
        <w:numPr>
          <w:ilvl w:val="0"/>
          <w:numId w:val="22"/>
        </w:numPr>
        <w:rPr>
          <w:rFonts w:ascii="Arial" w:cs="Arial" w:eastAsia="Arial" w:hAnsi="Arial"/>
          <w:sz w:val="20"/>
          <w:szCs w:val="20"/>
          <w:color w:val="007DC6"/>
        </w:rPr>
      </w:pPr>
      <w:r>
        <w:rPr>
          <w:rFonts w:ascii="Arial" w:cs="Arial" w:eastAsia="Arial" w:hAnsi="Arial"/>
          <w:sz w:val="20"/>
          <w:szCs w:val="20"/>
          <w:color w:val="auto"/>
        </w:rPr>
        <w:t>Consolidated earnings from operations of $39.1 million compared with $77.2 million</w:t>
      </w:r>
    </w:p>
    <w:p>
      <w:pPr>
        <w:spacing w:after="0" w:line="51" w:lineRule="exact"/>
        <w:rPr>
          <w:rFonts w:ascii="Arial" w:cs="Arial" w:eastAsia="Arial" w:hAnsi="Arial"/>
          <w:sz w:val="20"/>
          <w:szCs w:val="20"/>
          <w:color w:val="007DC6"/>
        </w:rPr>
      </w:pPr>
    </w:p>
    <w:p>
      <w:pPr>
        <w:ind w:left="760" w:hanging="378"/>
        <w:spacing w:after="0"/>
        <w:tabs>
          <w:tab w:leader="none" w:pos="760" w:val="left"/>
        </w:tabs>
        <w:numPr>
          <w:ilvl w:val="0"/>
          <w:numId w:val="22"/>
        </w:numPr>
        <w:rPr>
          <w:rFonts w:ascii="Arial" w:cs="Arial" w:eastAsia="Arial" w:hAnsi="Arial"/>
          <w:sz w:val="20"/>
          <w:szCs w:val="20"/>
          <w:color w:val="007DC6"/>
        </w:rPr>
      </w:pPr>
      <w:r>
        <w:rPr>
          <w:rFonts w:ascii="Arial" w:cs="Arial" w:eastAsia="Arial" w:hAnsi="Arial"/>
          <w:sz w:val="20"/>
          <w:szCs w:val="20"/>
          <w:color w:val="auto"/>
        </w:rPr>
        <w:t>Net earnings attributable to Martin Marietta of $10.0 million compared with $42.3 million</w:t>
      </w:r>
    </w:p>
    <w:p>
      <w:pPr>
        <w:spacing w:after="0" w:line="51" w:lineRule="exact"/>
        <w:rPr>
          <w:rFonts w:ascii="Arial" w:cs="Arial" w:eastAsia="Arial" w:hAnsi="Arial"/>
          <w:sz w:val="20"/>
          <w:szCs w:val="20"/>
          <w:color w:val="007DC6"/>
        </w:rPr>
      </w:pPr>
    </w:p>
    <w:p>
      <w:pPr>
        <w:ind w:left="760" w:hanging="378"/>
        <w:spacing w:after="0"/>
        <w:tabs>
          <w:tab w:leader="none" w:pos="760" w:val="left"/>
        </w:tabs>
        <w:numPr>
          <w:ilvl w:val="0"/>
          <w:numId w:val="22"/>
        </w:numPr>
        <w:rPr>
          <w:rFonts w:ascii="Arial" w:cs="Arial" w:eastAsia="Arial" w:hAnsi="Arial"/>
          <w:sz w:val="20"/>
          <w:szCs w:val="20"/>
          <w:color w:val="007DC6"/>
        </w:rPr>
      </w:pPr>
      <w:r>
        <w:rPr>
          <w:rFonts w:ascii="Arial" w:cs="Arial" w:eastAsia="Arial" w:hAnsi="Arial"/>
          <w:sz w:val="20"/>
          <w:szCs w:val="20"/>
          <w:color w:val="auto"/>
        </w:rPr>
        <w:t>EBITDA of $123.3 million compared with $147.7 million</w:t>
      </w:r>
    </w:p>
    <w:p>
      <w:pPr>
        <w:spacing w:after="0" w:line="51" w:lineRule="exact"/>
        <w:rPr>
          <w:rFonts w:ascii="Arial" w:cs="Arial" w:eastAsia="Arial" w:hAnsi="Arial"/>
          <w:sz w:val="20"/>
          <w:szCs w:val="20"/>
          <w:color w:val="007DC6"/>
        </w:rPr>
      </w:pPr>
    </w:p>
    <w:p>
      <w:pPr>
        <w:ind w:left="760" w:hanging="378"/>
        <w:spacing w:after="0"/>
        <w:tabs>
          <w:tab w:leader="none" w:pos="760" w:val="left"/>
        </w:tabs>
        <w:numPr>
          <w:ilvl w:val="0"/>
          <w:numId w:val="22"/>
        </w:numPr>
        <w:rPr>
          <w:rFonts w:ascii="Arial" w:cs="Arial" w:eastAsia="Arial" w:hAnsi="Arial"/>
          <w:sz w:val="20"/>
          <w:szCs w:val="20"/>
          <w:color w:val="007DC6"/>
        </w:rPr>
      </w:pPr>
      <w:r>
        <w:rPr>
          <w:rFonts w:ascii="Arial" w:cs="Arial" w:eastAsia="Arial" w:hAnsi="Arial"/>
          <w:sz w:val="20"/>
          <w:szCs w:val="20"/>
          <w:color w:val="auto"/>
        </w:rPr>
        <w:t>Earnings per diluted share of $0.16 compared with $0.67</w:t>
      </w:r>
    </w:p>
    <w:p>
      <w:pPr>
        <w:spacing w:after="0" w:line="21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following table presents total revenues, gross profit (loss), selling, general and administrative expenses and earnings (loss) from operations data for the Company and its reportable segments for the three-months ended March 31, 2018 and 2017. In each case, the data is stated as a percentage of total revenues of the Company or the relevant segment, as the case may be. Prior-year information has been reclassified to conform to current year revenue presentation.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300" w:type="dxa"/>
            <w:vAlign w:val="bottom"/>
            <w:tcBorders>
              <w:bottom w:val="single" w:sz="8" w:color="auto"/>
            </w:tcBorders>
            <w:gridSpan w:val="6"/>
          </w:tcPr>
          <w:p>
            <w:pPr>
              <w:jc w:val="center"/>
              <w:ind w:right="620"/>
              <w:spacing w:after="0"/>
              <w:rPr>
                <w:sz w:val="20"/>
                <w:szCs w:val="20"/>
                <w:color w:val="auto"/>
              </w:rPr>
            </w:pPr>
            <w:r>
              <w:rPr>
                <w:rFonts w:ascii="Arial" w:cs="Arial" w:eastAsia="Arial" w:hAnsi="Arial"/>
                <w:sz w:val="20"/>
                <w:szCs w:val="20"/>
                <w:color w:val="auto"/>
                <w:w w:val="89"/>
              </w:rPr>
              <w:t>Three-Months Ended March 31,</w:t>
            </w:r>
          </w:p>
        </w:tc>
        <w:tc>
          <w:tcPr>
            <w:tcW w:w="12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4"/>
        </w:trPr>
        <w:tc>
          <w:tcPr>
            <w:tcW w:w="4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20"/>
                <w:szCs w:val="20"/>
                <w:color w:val="auto"/>
              </w:rPr>
              <w:t>2018</w:t>
            </w:r>
          </w:p>
        </w:tc>
        <w:tc>
          <w:tcPr>
            <w:tcW w:w="12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20"/>
                <w:szCs w:val="20"/>
                <w:color w:val="auto"/>
              </w:rPr>
              <w:t>2017</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7"/>
        </w:trPr>
        <w:tc>
          <w:tcPr>
            <w:tcW w:w="4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162"/>
              <w:spacing w:after="0" w:line="217" w:lineRule="exact"/>
              <w:rPr>
                <w:sz w:val="20"/>
                <w:szCs w:val="20"/>
                <w:color w:val="auto"/>
              </w:rPr>
            </w:pPr>
            <w:r>
              <w:rPr>
                <w:rFonts w:ascii="Arial" w:cs="Arial" w:eastAsia="Arial" w:hAnsi="Arial"/>
                <w:sz w:val="20"/>
                <w:szCs w:val="20"/>
                <w:color w:val="auto"/>
              </w:rPr>
              <w:t>% of Total</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ind w:right="82"/>
              <w:spacing w:after="0" w:line="217" w:lineRule="exact"/>
              <w:rPr>
                <w:sz w:val="20"/>
                <w:szCs w:val="20"/>
                <w:color w:val="auto"/>
              </w:rPr>
            </w:pPr>
            <w:r>
              <w:rPr>
                <w:rFonts w:ascii="Arial" w:cs="Arial" w:eastAsia="Arial" w:hAnsi="Arial"/>
                <w:sz w:val="20"/>
                <w:szCs w:val="20"/>
                <w:color w:val="auto"/>
                <w:w w:val="93"/>
              </w:rPr>
              <w:t>% of Total</w:t>
            </w:r>
          </w:p>
        </w:tc>
        <w:tc>
          <w:tcPr>
            <w:tcW w:w="100" w:type="dxa"/>
            <w:vAlign w:val="bottom"/>
          </w:tcPr>
          <w:p>
            <w:pPr>
              <w:spacing w:after="0"/>
              <w:rPr>
                <w:sz w:val="18"/>
                <w:szCs w:val="18"/>
                <w:color w:val="auto"/>
              </w:rPr>
            </w:pPr>
          </w:p>
        </w:tc>
      </w:tr>
      <w:tr>
        <w:trPr>
          <w:trHeight w:val="244"/>
        </w:trPr>
        <w:tc>
          <w:tcPr>
            <w:tcW w:w="4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gridSpan w:val="3"/>
          </w:tcPr>
          <w:p>
            <w:pPr>
              <w:jc w:val="right"/>
              <w:ind w:right="820"/>
              <w:spacing w:after="0"/>
              <w:rPr>
                <w:sz w:val="20"/>
                <w:szCs w:val="20"/>
                <w:color w:val="auto"/>
              </w:rPr>
            </w:pPr>
            <w:r>
              <w:rPr>
                <w:rFonts w:ascii="Arial" w:cs="Arial" w:eastAsia="Arial" w:hAnsi="Arial"/>
                <w:sz w:val="20"/>
                <w:szCs w:val="20"/>
                <w:color w:val="auto"/>
              </w:rPr>
              <w:t>Amount</w:t>
            </w:r>
          </w:p>
        </w:tc>
        <w:tc>
          <w:tcPr>
            <w:tcW w:w="1240" w:type="dxa"/>
            <w:vAlign w:val="bottom"/>
          </w:tcPr>
          <w:p>
            <w:pPr>
              <w:jc w:val="right"/>
              <w:ind w:right="202"/>
              <w:spacing w:after="0"/>
              <w:rPr>
                <w:sz w:val="20"/>
                <w:szCs w:val="20"/>
                <w:color w:val="auto"/>
              </w:rPr>
            </w:pPr>
            <w:r>
              <w:rPr>
                <w:rFonts w:ascii="Arial" w:cs="Arial" w:eastAsia="Arial" w:hAnsi="Arial"/>
                <w:sz w:val="20"/>
                <w:szCs w:val="20"/>
                <w:color w:val="auto"/>
              </w:rPr>
              <w:t>Revenues</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gridSpan w:val="3"/>
          </w:tcPr>
          <w:p>
            <w:pPr>
              <w:jc w:val="right"/>
              <w:ind w:right="800"/>
              <w:spacing w:after="0"/>
              <w:rPr>
                <w:sz w:val="20"/>
                <w:szCs w:val="20"/>
                <w:color w:val="auto"/>
              </w:rPr>
            </w:pPr>
            <w:r>
              <w:rPr>
                <w:rFonts w:ascii="Arial" w:cs="Arial" w:eastAsia="Arial" w:hAnsi="Arial"/>
                <w:sz w:val="20"/>
                <w:szCs w:val="20"/>
                <w:color w:val="auto"/>
              </w:rPr>
              <w:t>Amount</w:t>
            </w:r>
          </w:p>
        </w:tc>
        <w:tc>
          <w:tcPr>
            <w:tcW w:w="1320" w:type="dxa"/>
            <w:vAlign w:val="bottom"/>
            <w:gridSpan w:val="2"/>
          </w:tcPr>
          <w:p>
            <w:pPr>
              <w:jc w:val="center"/>
              <w:ind w:right="280"/>
              <w:spacing w:after="0"/>
              <w:rPr>
                <w:sz w:val="20"/>
                <w:szCs w:val="20"/>
                <w:color w:val="auto"/>
              </w:rPr>
            </w:pPr>
            <w:r>
              <w:rPr>
                <w:rFonts w:ascii="Arial" w:cs="Arial" w:eastAsia="Arial" w:hAnsi="Arial"/>
                <w:sz w:val="20"/>
                <w:szCs w:val="20"/>
                <w:color w:val="auto"/>
                <w:w w:val="84"/>
              </w:rPr>
              <w:t>Revenues</w:t>
            </w:r>
          </w:p>
        </w:tc>
      </w:tr>
      <w:tr>
        <w:trPr>
          <w:trHeight w:val="234"/>
        </w:trPr>
        <w:tc>
          <w:tcPr>
            <w:tcW w:w="49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300" w:type="dxa"/>
            <w:vAlign w:val="bottom"/>
            <w:tcBorders>
              <w:top w:val="single" w:sz="8" w:color="auto"/>
            </w:tcBorders>
            <w:gridSpan w:val="6"/>
          </w:tcPr>
          <w:p>
            <w:pPr>
              <w:jc w:val="center"/>
              <w:ind w:right="620"/>
              <w:spacing w:after="0"/>
              <w:rPr>
                <w:sz w:val="20"/>
                <w:szCs w:val="20"/>
                <w:color w:val="auto"/>
              </w:rPr>
            </w:pPr>
            <w:r>
              <w:rPr>
                <w:rFonts w:ascii="Arial" w:cs="Arial" w:eastAsia="Arial" w:hAnsi="Arial"/>
                <w:sz w:val="20"/>
                <w:szCs w:val="20"/>
                <w:i w:val="1"/>
                <w:iCs w:val="1"/>
                <w:color w:val="auto"/>
                <w:w w:val="91"/>
              </w:rPr>
              <w:t>(Dollars in Thousands)</w:t>
            </w: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498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Total revenues:</w:t>
            </w: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1"/>
        </w:trPr>
        <w:tc>
          <w:tcPr>
            <w:tcW w:w="4980" w:type="dxa"/>
            <w:vAlign w:val="bottom"/>
          </w:tcPr>
          <w:p>
            <w:pPr>
              <w:spacing w:after="0"/>
              <w:rPr>
                <w:sz w:val="20"/>
                <w:szCs w:val="20"/>
                <w:color w:val="auto"/>
              </w:rPr>
            </w:pPr>
            <w:r>
              <w:rPr>
                <w:rFonts w:ascii="Arial" w:cs="Arial" w:eastAsia="Arial" w:hAnsi="Arial"/>
                <w:sz w:val="20"/>
                <w:szCs w:val="20"/>
                <w:color w:val="auto"/>
              </w:rPr>
              <w:t>Building Materials Business</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49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Mid-America Group</w:t>
            </w:r>
          </w:p>
        </w:tc>
        <w:tc>
          <w:tcPr>
            <w:tcW w:w="24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178,781</w:t>
            </w: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500" w:type="dxa"/>
            <w:vAlign w:val="bottom"/>
            <w:gridSpan w:val="2"/>
            <w:shd w:val="clear" w:color="auto" w:fill="CFF0FC"/>
          </w:tcPr>
          <w:p>
            <w:pPr>
              <w:jc w:val="right"/>
              <w:ind w:right="42"/>
              <w:spacing w:after="0"/>
              <w:rPr>
                <w:sz w:val="20"/>
                <w:szCs w:val="20"/>
                <w:color w:val="auto"/>
              </w:rPr>
            </w:pPr>
            <w:r>
              <w:rPr>
                <w:rFonts w:ascii="Arial" w:cs="Arial" w:eastAsia="Arial" w:hAnsi="Arial"/>
                <w:sz w:val="20"/>
                <w:szCs w:val="20"/>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189,019</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100" w:type="dxa"/>
            <w:vAlign w:val="bottom"/>
            <w:shd w:val="clear" w:color="auto" w:fill="CFF0FC"/>
          </w:tcPr>
          <w:p>
            <w:pPr>
              <w:spacing w:after="0"/>
              <w:rPr>
                <w:sz w:val="20"/>
                <w:szCs w:val="20"/>
                <w:color w:val="auto"/>
              </w:rPr>
            </w:pPr>
          </w:p>
        </w:tc>
      </w:tr>
      <w:tr>
        <w:trPr>
          <w:trHeight w:val="241"/>
        </w:trPr>
        <w:tc>
          <w:tcPr>
            <w:tcW w:w="4980" w:type="dxa"/>
            <w:vAlign w:val="bottom"/>
          </w:tcPr>
          <w:p>
            <w:pPr>
              <w:ind w:left="260"/>
              <w:spacing w:after="0"/>
              <w:rPr>
                <w:sz w:val="20"/>
                <w:szCs w:val="20"/>
                <w:color w:val="auto"/>
              </w:rPr>
            </w:pPr>
            <w:r>
              <w:rPr>
                <w:rFonts w:ascii="Arial" w:cs="Arial" w:eastAsia="Arial" w:hAnsi="Arial"/>
                <w:sz w:val="20"/>
                <w:szCs w:val="20"/>
                <w:color w:val="auto"/>
              </w:rPr>
              <w:t>Southeast Group</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80,239</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100.0</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90,282</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100.0</w:t>
            </w:r>
          </w:p>
        </w:tc>
        <w:tc>
          <w:tcPr>
            <w:tcW w:w="100" w:type="dxa"/>
            <w:vAlign w:val="bottom"/>
          </w:tcPr>
          <w:p>
            <w:pPr>
              <w:spacing w:after="0"/>
              <w:rPr>
                <w:sz w:val="20"/>
                <w:szCs w:val="20"/>
                <w:color w:val="auto"/>
              </w:rPr>
            </w:pPr>
          </w:p>
        </w:tc>
      </w:tr>
      <w:tr>
        <w:trPr>
          <w:trHeight w:val="241"/>
        </w:trPr>
        <w:tc>
          <w:tcPr>
            <w:tcW w:w="49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West Group</w:t>
            </w:r>
          </w:p>
        </w:tc>
        <w:tc>
          <w:tcPr>
            <w:tcW w:w="2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473,722</w:t>
            </w:r>
          </w:p>
        </w:tc>
        <w:tc>
          <w:tcPr>
            <w:tcW w:w="32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26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495,981</w:t>
            </w:r>
          </w:p>
        </w:tc>
        <w:tc>
          <w:tcPr>
            <w:tcW w:w="26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100" w:type="dxa"/>
            <w:vAlign w:val="bottom"/>
            <w:shd w:val="clear" w:color="auto" w:fill="CFF0FC"/>
          </w:tcPr>
          <w:p>
            <w:pPr>
              <w:spacing w:after="0"/>
              <w:rPr>
                <w:sz w:val="20"/>
                <w:szCs w:val="20"/>
                <w:color w:val="auto"/>
              </w:rPr>
            </w:pPr>
          </w:p>
        </w:tc>
      </w:tr>
      <w:tr>
        <w:trPr>
          <w:trHeight w:val="234"/>
        </w:trPr>
        <w:tc>
          <w:tcPr>
            <w:tcW w:w="4980" w:type="dxa"/>
            <w:vAlign w:val="bottom"/>
          </w:tcPr>
          <w:p>
            <w:pPr>
              <w:spacing w:after="0"/>
              <w:rPr>
                <w:sz w:val="20"/>
                <w:szCs w:val="20"/>
                <w:color w:val="auto"/>
              </w:rPr>
            </w:pPr>
            <w:r>
              <w:rPr>
                <w:rFonts w:ascii="Arial" w:cs="Arial" w:eastAsia="Arial" w:hAnsi="Arial"/>
                <w:sz w:val="20"/>
                <w:szCs w:val="20"/>
                <w:color w:val="auto"/>
              </w:rPr>
              <w:t>Total Building Materials Business</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732,742</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100.0</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775,282</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100.0</w:t>
            </w:r>
          </w:p>
        </w:tc>
        <w:tc>
          <w:tcPr>
            <w:tcW w:w="100" w:type="dxa"/>
            <w:vAlign w:val="bottom"/>
          </w:tcPr>
          <w:p>
            <w:pPr>
              <w:spacing w:after="0"/>
              <w:rPr>
                <w:sz w:val="20"/>
                <w:szCs w:val="20"/>
                <w:color w:val="auto"/>
              </w:rPr>
            </w:pPr>
          </w:p>
        </w:tc>
      </w:tr>
      <w:tr>
        <w:trPr>
          <w:trHeight w:val="241"/>
        </w:trPr>
        <w:tc>
          <w:tcPr>
            <w:tcW w:w="4980" w:type="dxa"/>
            <w:vAlign w:val="bottom"/>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2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69,262</w:t>
            </w:r>
          </w:p>
        </w:tc>
        <w:tc>
          <w:tcPr>
            <w:tcW w:w="32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26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68,577</w:t>
            </w:r>
          </w:p>
        </w:tc>
        <w:tc>
          <w:tcPr>
            <w:tcW w:w="26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100" w:type="dxa"/>
            <w:vAlign w:val="bottom"/>
            <w:shd w:val="clear" w:color="auto" w:fill="CFF0FC"/>
          </w:tcPr>
          <w:p>
            <w:pPr>
              <w:spacing w:after="0"/>
              <w:rPr>
                <w:sz w:val="20"/>
                <w:szCs w:val="20"/>
                <w:color w:val="auto"/>
              </w:rPr>
            </w:pPr>
          </w:p>
        </w:tc>
      </w:tr>
      <w:tr>
        <w:trPr>
          <w:trHeight w:val="234"/>
        </w:trPr>
        <w:tc>
          <w:tcPr>
            <w:tcW w:w="4980" w:type="dxa"/>
            <w:vAlign w:val="bottom"/>
          </w:tcPr>
          <w:p>
            <w:pPr>
              <w:spacing w:after="0"/>
              <w:rPr>
                <w:sz w:val="20"/>
                <w:szCs w:val="20"/>
                <w:color w:val="auto"/>
              </w:rPr>
            </w:pPr>
            <w:r>
              <w:rPr>
                <w:rFonts w:ascii="Arial" w:cs="Arial" w:eastAsia="Arial" w:hAnsi="Arial"/>
                <w:sz w:val="20"/>
                <w:szCs w:val="20"/>
                <w:color w:val="auto"/>
              </w:rPr>
              <w:t>Total</w:t>
            </w:r>
          </w:p>
        </w:tc>
        <w:tc>
          <w:tcPr>
            <w:tcW w:w="24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802,004</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100.0</w:t>
            </w:r>
          </w:p>
        </w:tc>
        <w:tc>
          <w:tcPr>
            <w:tcW w:w="260" w:type="dxa"/>
            <w:vAlign w:val="bottom"/>
          </w:tcPr>
          <w:p>
            <w:pPr>
              <w:spacing w:after="0"/>
              <w:rPr>
                <w:sz w:val="20"/>
                <w:szCs w:val="20"/>
                <w:color w:val="auto"/>
              </w:rPr>
            </w:pPr>
          </w:p>
        </w:tc>
        <w:tc>
          <w:tcPr>
            <w:tcW w:w="24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843,859</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100.0</w:t>
            </w:r>
          </w:p>
        </w:tc>
        <w:tc>
          <w:tcPr>
            <w:tcW w:w="100" w:type="dxa"/>
            <w:vAlign w:val="bottom"/>
          </w:tcPr>
          <w:p>
            <w:pPr>
              <w:spacing w:after="0"/>
              <w:rPr>
                <w:sz w:val="20"/>
                <w:szCs w:val="20"/>
                <w:color w:val="auto"/>
              </w:rPr>
            </w:pPr>
          </w:p>
        </w:tc>
      </w:tr>
      <w:tr>
        <w:trPr>
          <w:trHeight w:val="20"/>
        </w:trPr>
        <w:tc>
          <w:tcPr>
            <w:tcW w:w="4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26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March 31, 2018</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line="237" w:lineRule="auto"/>
        <w:rPr>
          <w:sz w:val="20"/>
          <w:szCs w:val="20"/>
          <w:color w:val="auto"/>
        </w:rPr>
      </w:pPr>
      <w:r>
        <w:rPr>
          <w:rFonts w:ascii="Arial" w:cs="Arial" w:eastAsia="Arial" w:hAnsi="Arial"/>
          <w:sz w:val="20"/>
          <w:szCs w:val="20"/>
          <w:color w:val="auto"/>
        </w:rPr>
        <w:t>First Quarter Ended March 31, 2018</w:t>
      </w:r>
    </w:p>
    <w:p>
      <w:pPr>
        <w:jc w:val="center"/>
        <w:spacing w:after="0"/>
        <w:rPr>
          <w:sz w:val="20"/>
          <w:szCs w:val="20"/>
          <w:color w:val="auto"/>
        </w:rPr>
      </w:pPr>
      <w:r>
        <w:rPr>
          <w:rFonts w:ascii="Arial" w:cs="Arial" w:eastAsia="Arial" w:hAnsi="Arial"/>
          <w:sz w:val="20"/>
          <w:szCs w:val="20"/>
          <w:color w:val="auto"/>
        </w:rPr>
        <w:t>(Continued)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300" w:type="dxa"/>
            <w:vAlign w:val="bottom"/>
            <w:tcBorders>
              <w:bottom w:val="single" w:sz="8" w:color="auto"/>
            </w:tcBorders>
            <w:gridSpan w:val="6"/>
          </w:tcPr>
          <w:p>
            <w:pPr>
              <w:jc w:val="center"/>
              <w:ind w:right="620"/>
              <w:spacing w:after="0"/>
              <w:rPr>
                <w:sz w:val="20"/>
                <w:szCs w:val="20"/>
                <w:color w:val="auto"/>
              </w:rPr>
            </w:pPr>
            <w:r>
              <w:rPr>
                <w:rFonts w:ascii="Arial" w:cs="Arial" w:eastAsia="Arial" w:hAnsi="Arial"/>
                <w:sz w:val="20"/>
                <w:szCs w:val="20"/>
                <w:color w:val="auto"/>
                <w:w w:val="89"/>
              </w:rPr>
              <w:t>Three-Months Ended March 31,</w:t>
            </w:r>
          </w:p>
        </w:tc>
        <w:tc>
          <w:tcPr>
            <w:tcW w:w="12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20"/>
                <w:szCs w:val="20"/>
                <w:color w:val="auto"/>
              </w:rPr>
              <w:t>2018</w:t>
            </w:r>
          </w:p>
        </w:tc>
        <w:tc>
          <w:tcPr>
            <w:tcW w:w="12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20"/>
                <w:szCs w:val="20"/>
                <w:color w:val="auto"/>
              </w:rPr>
              <w:t>2017</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162"/>
              <w:spacing w:after="0" w:line="217" w:lineRule="exact"/>
              <w:rPr>
                <w:sz w:val="20"/>
                <w:szCs w:val="20"/>
                <w:color w:val="auto"/>
              </w:rPr>
            </w:pPr>
            <w:r>
              <w:rPr>
                <w:rFonts w:ascii="Arial" w:cs="Arial" w:eastAsia="Arial" w:hAnsi="Arial"/>
                <w:sz w:val="20"/>
                <w:szCs w:val="20"/>
                <w:color w:val="auto"/>
              </w:rPr>
              <w:t>% of Total</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ind w:right="82"/>
              <w:spacing w:after="0" w:line="217" w:lineRule="exact"/>
              <w:rPr>
                <w:sz w:val="20"/>
                <w:szCs w:val="20"/>
                <w:color w:val="auto"/>
              </w:rPr>
            </w:pPr>
            <w:r>
              <w:rPr>
                <w:rFonts w:ascii="Arial" w:cs="Arial" w:eastAsia="Arial" w:hAnsi="Arial"/>
                <w:sz w:val="20"/>
                <w:szCs w:val="20"/>
                <w:color w:val="auto"/>
                <w:w w:val="93"/>
              </w:rPr>
              <w:t>% of 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gridSpan w:val="3"/>
          </w:tcPr>
          <w:p>
            <w:pPr>
              <w:jc w:val="right"/>
              <w:ind w:right="820"/>
              <w:spacing w:after="0"/>
              <w:rPr>
                <w:sz w:val="20"/>
                <w:szCs w:val="20"/>
                <w:color w:val="auto"/>
              </w:rPr>
            </w:pPr>
            <w:r>
              <w:rPr>
                <w:rFonts w:ascii="Arial" w:cs="Arial" w:eastAsia="Arial" w:hAnsi="Arial"/>
                <w:sz w:val="20"/>
                <w:szCs w:val="20"/>
                <w:color w:val="auto"/>
              </w:rPr>
              <w:t>Amount</w:t>
            </w:r>
          </w:p>
        </w:tc>
        <w:tc>
          <w:tcPr>
            <w:tcW w:w="1240" w:type="dxa"/>
            <w:vAlign w:val="bottom"/>
          </w:tcPr>
          <w:p>
            <w:pPr>
              <w:jc w:val="right"/>
              <w:ind w:right="202"/>
              <w:spacing w:after="0"/>
              <w:rPr>
                <w:sz w:val="20"/>
                <w:szCs w:val="20"/>
                <w:color w:val="auto"/>
              </w:rPr>
            </w:pPr>
            <w:r>
              <w:rPr>
                <w:rFonts w:ascii="Arial" w:cs="Arial" w:eastAsia="Arial" w:hAnsi="Arial"/>
                <w:sz w:val="20"/>
                <w:szCs w:val="20"/>
                <w:color w:val="auto"/>
              </w:rPr>
              <w:t>Revenues</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gridSpan w:val="3"/>
          </w:tcPr>
          <w:p>
            <w:pPr>
              <w:jc w:val="right"/>
              <w:ind w:right="800"/>
              <w:spacing w:after="0"/>
              <w:rPr>
                <w:sz w:val="20"/>
                <w:szCs w:val="20"/>
                <w:color w:val="auto"/>
              </w:rPr>
            </w:pPr>
            <w:r>
              <w:rPr>
                <w:rFonts w:ascii="Arial" w:cs="Arial" w:eastAsia="Arial" w:hAnsi="Arial"/>
                <w:sz w:val="20"/>
                <w:szCs w:val="20"/>
                <w:color w:val="auto"/>
              </w:rPr>
              <w:t>Amount</w:t>
            </w:r>
          </w:p>
        </w:tc>
        <w:tc>
          <w:tcPr>
            <w:tcW w:w="1320" w:type="dxa"/>
            <w:vAlign w:val="bottom"/>
            <w:gridSpan w:val="2"/>
          </w:tcPr>
          <w:p>
            <w:pPr>
              <w:jc w:val="center"/>
              <w:ind w:right="280"/>
              <w:spacing w:after="0"/>
              <w:rPr>
                <w:sz w:val="20"/>
                <w:szCs w:val="20"/>
                <w:color w:val="auto"/>
              </w:rPr>
            </w:pPr>
            <w:r>
              <w:rPr>
                <w:rFonts w:ascii="Arial" w:cs="Arial" w:eastAsia="Arial" w:hAnsi="Arial"/>
                <w:sz w:val="20"/>
                <w:szCs w:val="20"/>
                <w:color w:val="auto"/>
                <w:w w:val="84"/>
              </w:rPr>
              <w:t>Revenues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300" w:type="dxa"/>
            <w:vAlign w:val="bottom"/>
            <w:tcBorders>
              <w:top w:val="single" w:sz="8" w:color="auto"/>
            </w:tcBorders>
            <w:gridSpan w:val="6"/>
          </w:tcPr>
          <w:p>
            <w:pPr>
              <w:jc w:val="center"/>
              <w:ind w:right="620"/>
              <w:spacing w:after="0"/>
              <w:rPr>
                <w:sz w:val="20"/>
                <w:szCs w:val="20"/>
                <w:color w:val="auto"/>
              </w:rPr>
            </w:pPr>
            <w:r>
              <w:rPr>
                <w:rFonts w:ascii="Arial" w:cs="Arial" w:eastAsia="Arial" w:hAnsi="Arial"/>
                <w:sz w:val="20"/>
                <w:szCs w:val="20"/>
                <w:i w:val="1"/>
                <w:iCs w:val="1"/>
                <w:color w:val="auto"/>
                <w:w w:val="91"/>
              </w:rPr>
              <w:t>(Dollars in Thousands)</w:t>
            </w: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Gross profit (loss):</w:t>
            </w: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20"/>
                <w:szCs w:val="20"/>
                <w:color w:val="auto"/>
              </w:rPr>
              <w:t>Building Materials Business</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Mid-America Group</w:t>
            </w:r>
          </w:p>
        </w:tc>
        <w:tc>
          <w:tcPr>
            <w:tcW w:w="24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18,255</w:t>
            </w: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10.2</w:t>
            </w:r>
          </w:p>
        </w:tc>
        <w:tc>
          <w:tcPr>
            <w:tcW w:w="500" w:type="dxa"/>
            <w:vAlign w:val="bottom"/>
            <w:gridSpan w:val="2"/>
            <w:shd w:val="clear" w:color="auto" w:fill="CFF0FC"/>
          </w:tcPr>
          <w:p>
            <w:pPr>
              <w:jc w:val="right"/>
              <w:ind w:right="42"/>
              <w:spacing w:after="0"/>
              <w:rPr>
                <w:sz w:val="20"/>
                <w:szCs w:val="20"/>
                <w:color w:val="auto"/>
              </w:rPr>
            </w:pPr>
            <w:r>
              <w:rPr>
                <w:rFonts w:ascii="Arial" w:cs="Arial" w:eastAsia="Arial" w:hAnsi="Arial"/>
                <w:sz w:val="20"/>
                <w:szCs w:val="20"/>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26,285</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60" w:type="dxa"/>
            <w:vAlign w:val="bottom"/>
          </w:tcPr>
          <w:p>
            <w:pPr>
              <w:ind w:left="240"/>
              <w:spacing w:after="0"/>
              <w:rPr>
                <w:sz w:val="20"/>
                <w:szCs w:val="20"/>
                <w:color w:val="auto"/>
              </w:rPr>
            </w:pPr>
            <w:r>
              <w:rPr>
                <w:rFonts w:ascii="Arial" w:cs="Arial" w:eastAsia="Arial" w:hAnsi="Arial"/>
                <w:sz w:val="20"/>
                <w:szCs w:val="20"/>
                <w:color w:val="auto"/>
              </w:rPr>
              <w:t>Southeast Group</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6,167</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7.7</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14,369</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West Group</w:t>
            </w:r>
          </w:p>
        </w:tc>
        <w:tc>
          <w:tcPr>
            <w:tcW w:w="2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60,197</w:t>
            </w:r>
          </w:p>
        </w:tc>
        <w:tc>
          <w:tcPr>
            <w:tcW w:w="32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12.7</w:t>
            </w:r>
          </w:p>
        </w:tc>
        <w:tc>
          <w:tcPr>
            <w:tcW w:w="26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84,537</w:t>
            </w:r>
          </w:p>
        </w:tc>
        <w:tc>
          <w:tcPr>
            <w:tcW w:w="26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17.0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980" w:type="dxa"/>
            <w:vAlign w:val="bottom"/>
            <w:gridSpan w:val="2"/>
          </w:tcPr>
          <w:p>
            <w:pPr>
              <w:spacing w:after="0"/>
              <w:rPr>
                <w:sz w:val="20"/>
                <w:szCs w:val="20"/>
                <w:color w:val="auto"/>
              </w:rPr>
            </w:pPr>
            <w:r>
              <w:rPr>
                <w:rFonts w:ascii="Arial" w:cs="Arial" w:eastAsia="Arial" w:hAnsi="Arial"/>
                <w:sz w:val="20"/>
                <w:szCs w:val="20"/>
                <w:color w:val="auto"/>
              </w:rPr>
              <w:t>Total Building Materials Business</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84,619</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11.5</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125,191</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23,889</w:t>
            </w: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34.5</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22,315</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32.5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20"/>
                <w:szCs w:val="20"/>
                <w:color w:val="auto"/>
              </w:rPr>
              <w:t>Corporate</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1,884</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20"/>
                <w:szCs w:val="20"/>
                <w:color w:val="auto"/>
              </w:rPr>
              <w:t>(439)</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w:t>
            </w:r>
          </w:p>
        </w:tc>
        <w:tc>
          <w:tcPr>
            <w:tcW w:w="240" w:type="dxa"/>
            <w:vAlign w:val="bottom"/>
            <w:tcBorders>
              <w:top w:val="single" w:sz="8" w:color="auto"/>
              <w:bottom w:val="single" w:sz="8" w:color="auto"/>
            </w:tcBorders>
            <w:shd w:val="clear" w:color="auto" w:fill="CFF0FC"/>
          </w:tcPr>
          <w:p>
            <w:pPr>
              <w:jc w:val="right"/>
              <w:ind w:right="42"/>
              <w:spacing w:after="0"/>
              <w:rPr>
                <w:sz w:val="20"/>
                <w:szCs w:val="20"/>
                <w:color w:val="auto"/>
              </w:rPr>
            </w:pPr>
            <w:r>
              <w:rPr>
                <w:rFonts w:ascii="Arial" w:cs="Arial" w:eastAsia="Arial" w:hAnsi="Arial"/>
                <w:sz w:val="20"/>
                <w:szCs w:val="20"/>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110,392</w:t>
            </w:r>
          </w:p>
        </w:tc>
        <w:tc>
          <w:tcPr>
            <w:tcW w:w="320" w:type="dxa"/>
            <w:vAlign w:val="bottom"/>
            <w:tcBorders>
              <w:top w:val="single" w:sz="8" w:color="CFF0FC"/>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13.8</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42"/>
              <w:spacing w:after="0"/>
              <w:rPr>
                <w:sz w:val="20"/>
                <w:szCs w:val="20"/>
                <w:color w:val="auto"/>
              </w:rPr>
            </w:pPr>
            <w:r>
              <w:rPr>
                <w:rFonts w:ascii="Arial" w:cs="Arial" w:eastAsia="Arial" w:hAnsi="Arial"/>
                <w:sz w:val="20"/>
                <w:szCs w:val="20"/>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147,067</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17.4</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vMerge w:val="restart"/>
          </w:tcPr>
          <w:p>
            <w:pPr>
              <w:spacing w:after="0"/>
              <w:rPr>
                <w:sz w:val="19"/>
                <w:szCs w:val="19"/>
                <w:color w:val="auto"/>
              </w:rPr>
            </w:pPr>
          </w:p>
        </w:tc>
        <w:tc>
          <w:tcPr>
            <w:tcW w:w="4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vMerge w:val="continue"/>
          </w:tcPr>
          <w:p>
            <w:pPr>
              <w:spacing w:after="0"/>
              <w:rPr>
                <w:sz w:val="20"/>
                <w:szCs w:val="20"/>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Selling, general &amp; administrative expenses:</w:t>
            </w: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20"/>
                <w:szCs w:val="20"/>
                <w:color w:val="auto"/>
              </w:rPr>
              <w:t>Building Materials Business</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Mid-America Group</w:t>
            </w:r>
          </w:p>
        </w:tc>
        <w:tc>
          <w:tcPr>
            <w:tcW w:w="24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13,130</w:t>
            </w: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7.3</w:t>
            </w:r>
          </w:p>
        </w:tc>
        <w:tc>
          <w:tcPr>
            <w:tcW w:w="500" w:type="dxa"/>
            <w:vAlign w:val="bottom"/>
            <w:gridSpan w:val="2"/>
            <w:shd w:val="clear" w:color="auto" w:fill="CFF0FC"/>
          </w:tcPr>
          <w:p>
            <w:pPr>
              <w:jc w:val="right"/>
              <w:ind w:right="42"/>
              <w:spacing w:after="0"/>
              <w:rPr>
                <w:sz w:val="20"/>
                <w:szCs w:val="20"/>
                <w:color w:val="auto"/>
              </w:rPr>
            </w:pPr>
            <w:r>
              <w:rPr>
                <w:rFonts w:ascii="Arial" w:cs="Arial" w:eastAsia="Arial" w:hAnsi="Arial"/>
                <w:sz w:val="20"/>
                <w:szCs w:val="20"/>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13,544</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60" w:type="dxa"/>
            <w:vAlign w:val="bottom"/>
          </w:tcPr>
          <w:p>
            <w:pPr>
              <w:ind w:left="240"/>
              <w:spacing w:after="0"/>
              <w:rPr>
                <w:sz w:val="20"/>
                <w:szCs w:val="20"/>
                <w:color w:val="auto"/>
              </w:rPr>
            </w:pPr>
            <w:r>
              <w:rPr>
                <w:rFonts w:ascii="Arial" w:cs="Arial" w:eastAsia="Arial" w:hAnsi="Arial"/>
                <w:sz w:val="20"/>
                <w:szCs w:val="20"/>
                <w:color w:val="auto"/>
              </w:rPr>
              <w:t>Southeast Group</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4,416</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5.5</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4,352</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West Group</w:t>
            </w:r>
          </w:p>
        </w:tc>
        <w:tc>
          <w:tcPr>
            <w:tcW w:w="2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26,132</w:t>
            </w:r>
          </w:p>
        </w:tc>
        <w:tc>
          <w:tcPr>
            <w:tcW w:w="32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5.5</w:t>
            </w:r>
          </w:p>
        </w:tc>
        <w:tc>
          <w:tcPr>
            <w:tcW w:w="26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25,074</w:t>
            </w:r>
          </w:p>
        </w:tc>
        <w:tc>
          <w:tcPr>
            <w:tcW w:w="26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980" w:type="dxa"/>
            <w:vAlign w:val="bottom"/>
            <w:gridSpan w:val="2"/>
          </w:tcPr>
          <w:p>
            <w:pPr>
              <w:spacing w:after="0"/>
              <w:rPr>
                <w:sz w:val="20"/>
                <w:szCs w:val="20"/>
                <w:color w:val="auto"/>
              </w:rPr>
            </w:pPr>
            <w:r>
              <w:rPr>
                <w:rFonts w:ascii="Arial" w:cs="Arial" w:eastAsia="Arial" w:hAnsi="Arial"/>
                <w:sz w:val="20"/>
                <w:szCs w:val="20"/>
                <w:color w:val="auto"/>
              </w:rPr>
              <w:t>Total Building Materials Business</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43,678</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6.0</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42,970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2,602</w:t>
            </w: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3.8</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2,388</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6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Corporate</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23,841</w:t>
            </w:r>
          </w:p>
        </w:tc>
        <w:tc>
          <w:tcPr>
            <w:tcW w:w="3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24,177</w:t>
            </w:r>
          </w:p>
        </w:tc>
        <w:tc>
          <w:tcPr>
            <w:tcW w:w="26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w:t>
            </w:r>
          </w:p>
        </w:tc>
        <w:tc>
          <w:tcPr>
            <w:tcW w:w="24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20"/>
                <w:szCs w:val="20"/>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70,121</w:t>
            </w:r>
          </w:p>
        </w:tc>
        <w:tc>
          <w:tcPr>
            <w:tcW w:w="3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8.7</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20"/>
                <w:szCs w:val="20"/>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69,535</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vMerge w:val="restart"/>
          </w:tcPr>
          <w:p>
            <w:pPr>
              <w:spacing w:after="0"/>
              <w:rPr>
                <w:sz w:val="19"/>
                <w:szCs w:val="19"/>
                <w:color w:val="auto"/>
              </w:rPr>
            </w:pPr>
          </w:p>
        </w:tc>
        <w:tc>
          <w:tcPr>
            <w:tcW w:w="4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vMerge w:val="continue"/>
          </w:tcPr>
          <w:p>
            <w:pPr>
              <w:spacing w:after="0"/>
              <w:rPr>
                <w:sz w:val="20"/>
                <w:szCs w:val="20"/>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Earnings (Loss) from operations:</w:t>
            </w: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20"/>
                <w:szCs w:val="20"/>
                <w:color w:val="auto"/>
              </w:rPr>
              <w:t>Building Materials Business</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Mid-America Group</w:t>
            </w:r>
          </w:p>
        </w:tc>
        <w:tc>
          <w:tcPr>
            <w:tcW w:w="24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6,167</w:t>
            </w: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3.4</w:t>
            </w:r>
          </w:p>
        </w:tc>
        <w:tc>
          <w:tcPr>
            <w:tcW w:w="500" w:type="dxa"/>
            <w:vAlign w:val="bottom"/>
            <w:gridSpan w:val="2"/>
            <w:shd w:val="clear" w:color="auto" w:fill="CFF0FC"/>
          </w:tcPr>
          <w:p>
            <w:pPr>
              <w:jc w:val="right"/>
              <w:ind w:right="42"/>
              <w:spacing w:after="0"/>
              <w:rPr>
                <w:sz w:val="20"/>
                <w:szCs w:val="20"/>
                <w:color w:val="auto"/>
              </w:rPr>
            </w:pPr>
            <w:r>
              <w:rPr>
                <w:rFonts w:ascii="Arial" w:cs="Arial" w:eastAsia="Arial" w:hAnsi="Arial"/>
                <w:sz w:val="20"/>
                <w:szCs w:val="20"/>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13,342</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60" w:type="dxa"/>
            <w:vAlign w:val="bottom"/>
          </w:tcPr>
          <w:p>
            <w:pPr>
              <w:ind w:left="240"/>
              <w:spacing w:after="0"/>
              <w:rPr>
                <w:sz w:val="20"/>
                <w:szCs w:val="20"/>
                <w:color w:val="auto"/>
              </w:rPr>
            </w:pPr>
            <w:r>
              <w:rPr>
                <w:rFonts w:ascii="Arial" w:cs="Arial" w:eastAsia="Arial" w:hAnsi="Arial"/>
                <w:sz w:val="20"/>
                <w:szCs w:val="20"/>
                <w:color w:val="auto"/>
              </w:rPr>
              <w:t>Southeast Group</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2,041</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2.5</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10,115</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West Group</w:t>
            </w:r>
          </w:p>
        </w:tc>
        <w:tc>
          <w:tcPr>
            <w:tcW w:w="2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34,951</w:t>
            </w:r>
          </w:p>
        </w:tc>
        <w:tc>
          <w:tcPr>
            <w:tcW w:w="32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7.4</w:t>
            </w:r>
          </w:p>
        </w:tc>
        <w:tc>
          <w:tcPr>
            <w:tcW w:w="26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61,232</w:t>
            </w:r>
          </w:p>
        </w:tc>
        <w:tc>
          <w:tcPr>
            <w:tcW w:w="26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980" w:type="dxa"/>
            <w:vAlign w:val="bottom"/>
            <w:gridSpan w:val="2"/>
          </w:tcPr>
          <w:p>
            <w:pPr>
              <w:spacing w:after="0"/>
              <w:rPr>
                <w:sz w:val="20"/>
                <w:szCs w:val="20"/>
                <w:color w:val="auto"/>
              </w:rPr>
            </w:pPr>
            <w:r>
              <w:rPr>
                <w:rFonts w:ascii="Arial" w:cs="Arial" w:eastAsia="Arial" w:hAnsi="Arial"/>
                <w:sz w:val="20"/>
                <w:szCs w:val="20"/>
                <w:color w:val="auto"/>
              </w:rPr>
              <w:t>Total Building Materials Business</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43,159</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5.9</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84,689</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21,237</w:t>
            </w: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30.7</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19,881</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20"/>
                <w:szCs w:val="20"/>
                <w:color w:val="auto"/>
              </w:rPr>
              <w:t>Corporate</w:t>
            </w:r>
          </w:p>
        </w:tc>
        <w:tc>
          <w:tcPr>
            <w:tcW w:w="240" w:type="dxa"/>
            <w:vAlign w:val="bottom"/>
          </w:tcPr>
          <w:p>
            <w:pPr>
              <w:spacing w:after="0"/>
              <w:rPr>
                <w:sz w:val="20"/>
                <w:szCs w:val="20"/>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20"/>
                <w:szCs w:val="20"/>
                <w:color w:val="auto"/>
              </w:rPr>
              <w:t>(25,315)</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20"/>
                <w:szCs w:val="20"/>
                <w:color w:val="auto"/>
              </w:rPr>
              <w:t>(27,420)</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w:t>
            </w:r>
          </w:p>
        </w:tc>
        <w:tc>
          <w:tcPr>
            <w:tcW w:w="240" w:type="dxa"/>
            <w:vAlign w:val="bottom"/>
            <w:tcBorders>
              <w:top w:val="single" w:sz="8" w:color="auto"/>
              <w:bottom w:val="single" w:sz="8" w:color="auto"/>
            </w:tcBorders>
            <w:shd w:val="clear" w:color="auto" w:fill="CFF0FC"/>
          </w:tcPr>
          <w:p>
            <w:pPr>
              <w:jc w:val="right"/>
              <w:ind w:right="42"/>
              <w:spacing w:after="0"/>
              <w:rPr>
                <w:sz w:val="20"/>
                <w:szCs w:val="20"/>
                <w:color w:val="auto"/>
              </w:rPr>
            </w:pPr>
            <w:r>
              <w:rPr>
                <w:rFonts w:ascii="Arial" w:cs="Arial" w:eastAsia="Arial" w:hAnsi="Arial"/>
                <w:sz w:val="20"/>
                <w:szCs w:val="20"/>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39,081</w:t>
            </w:r>
          </w:p>
        </w:tc>
        <w:tc>
          <w:tcPr>
            <w:tcW w:w="320" w:type="dxa"/>
            <w:vAlign w:val="bottom"/>
            <w:tcBorders>
              <w:top w:val="single" w:sz="8" w:color="CFF0FC"/>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4.9</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42"/>
              <w:spacing w:after="0"/>
              <w:rPr>
                <w:sz w:val="20"/>
                <w:szCs w:val="20"/>
                <w:color w:val="auto"/>
              </w:rPr>
            </w:pPr>
            <w:r>
              <w:rPr>
                <w:rFonts w:ascii="Arial" w:cs="Arial" w:eastAsia="Arial" w:hAnsi="Arial"/>
                <w:sz w:val="20"/>
                <w:szCs w:val="20"/>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77,150</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9.1</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27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March 31, 2018</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line="237" w:lineRule="auto"/>
        <w:rPr>
          <w:sz w:val="20"/>
          <w:szCs w:val="20"/>
          <w:color w:val="auto"/>
        </w:rPr>
      </w:pPr>
      <w:r>
        <w:rPr>
          <w:rFonts w:ascii="Arial" w:cs="Arial" w:eastAsia="Arial" w:hAnsi="Arial"/>
          <w:sz w:val="20"/>
          <w:szCs w:val="20"/>
          <w:color w:val="auto"/>
        </w:rPr>
        <w:t>First Quarter Ended March 31, 2018</w:t>
      </w:r>
    </w:p>
    <w:p>
      <w:pPr>
        <w:jc w:val="center"/>
        <w:spacing w:after="0"/>
        <w:rPr>
          <w:sz w:val="20"/>
          <w:szCs w:val="20"/>
          <w:color w:val="auto"/>
        </w:rPr>
      </w:pPr>
      <w:r>
        <w:rPr>
          <w:rFonts w:ascii="Arial" w:cs="Arial" w:eastAsia="Arial" w:hAnsi="Arial"/>
          <w:sz w:val="20"/>
          <w:szCs w:val="20"/>
          <w:color w:val="auto"/>
        </w:rPr>
        <w:t>(Continued)</w:t>
      </w: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Building Materials Business</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color w:val="auto"/>
        </w:rPr>
        <w:t>Products and services revenues by product line for the Building Materials business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60" w:type="dxa"/>
            <w:vAlign w:val="bottom"/>
            <w:gridSpan w:val="8"/>
          </w:tcPr>
          <w:p>
            <w:pPr>
              <w:jc w:val="center"/>
              <w:ind w:right="340"/>
              <w:spacing w:after="0"/>
              <w:rPr>
                <w:sz w:val="20"/>
                <w:szCs w:val="20"/>
                <w:color w:val="auto"/>
              </w:rPr>
            </w:pPr>
            <w:r>
              <w:rPr>
                <w:rFonts w:ascii="Arial" w:cs="Arial" w:eastAsia="Arial" w:hAnsi="Arial"/>
                <w:sz w:val="20"/>
                <w:szCs w:val="20"/>
                <w:color w:val="auto"/>
                <w:w w:val="88"/>
              </w:rPr>
              <w:t>Three-Months Ended</w:t>
            </w:r>
          </w:p>
        </w:tc>
      </w:tr>
      <w:tr>
        <w:trPr>
          <w:trHeight w:val="244"/>
        </w:trPr>
        <w:tc>
          <w:tcPr>
            <w:tcW w:w="7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5"/>
          </w:tcPr>
          <w:p>
            <w:pPr>
              <w:jc w:val="center"/>
              <w:ind w:left="862"/>
              <w:spacing w:after="0"/>
              <w:rPr>
                <w:sz w:val="20"/>
                <w:szCs w:val="20"/>
                <w:color w:val="auto"/>
              </w:rPr>
            </w:pPr>
            <w:r>
              <w:rPr>
                <w:rFonts w:ascii="Arial" w:cs="Arial" w:eastAsia="Arial" w:hAnsi="Arial"/>
                <w:sz w:val="20"/>
                <w:szCs w:val="20"/>
                <w:color w:val="auto"/>
                <w:w w:val="92"/>
              </w:rPr>
              <w:t>March 31,</w:t>
            </w:r>
          </w:p>
        </w:tc>
        <w:tc>
          <w:tcPr>
            <w:tcW w:w="11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4"/>
        </w:trPr>
        <w:tc>
          <w:tcPr>
            <w:tcW w:w="7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42"/>
              <w:spacing w:after="0"/>
              <w:rPr>
                <w:sz w:val="20"/>
                <w:szCs w:val="20"/>
                <w:color w:val="auto"/>
              </w:rPr>
            </w:pPr>
            <w:r>
              <w:rPr>
                <w:rFonts w:ascii="Arial" w:cs="Arial" w:eastAsia="Arial" w:hAnsi="Arial"/>
                <w:sz w:val="20"/>
                <w:szCs w:val="20"/>
                <w:color w:val="auto"/>
              </w:rPr>
              <w:t>2018</w:t>
            </w: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color w:val="auto"/>
              </w:rPr>
              <w:t>2017</w:t>
            </w: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34"/>
        </w:trPr>
        <w:tc>
          <w:tcPr>
            <w:tcW w:w="7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40" w:type="dxa"/>
            <w:vAlign w:val="bottom"/>
            <w:gridSpan w:val="7"/>
          </w:tcPr>
          <w:p>
            <w:pPr>
              <w:jc w:val="center"/>
              <w:ind w:right="220"/>
              <w:spacing w:after="0"/>
              <w:rPr>
                <w:sz w:val="20"/>
                <w:szCs w:val="20"/>
                <w:color w:val="auto"/>
              </w:rPr>
            </w:pPr>
            <w:r>
              <w:rPr>
                <w:rFonts w:ascii="Arial" w:cs="Arial" w:eastAsia="Arial" w:hAnsi="Arial"/>
                <w:sz w:val="20"/>
                <w:szCs w:val="20"/>
                <w:i w:val="1"/>
                <w:iCs w:val="1"/>
                <w:color w:val="auto"/>
                <w:w w:val="90"/>
              </w:rPr>
              <w:t>(Dollars in Thousands)</w:t>
            </w:r>
          </w:p>
        </w:tc>
        <w:tc>
          <w:tcPr>
            <w:tcW w:w="120" w:type="dxa"/>
            <w:vAlign w:val="bottom"/>
          </w:tcPr>
          <w:p>
            <w:pPr>
              <w:spacing w:after="0"/>
              <w:rPr>
                <w:sz w:val="20"/>
                <w:szCs w:val="20"/>
                <w:color w:val="auto"/>
              </w:rPr>
            </w:pPr>
          </w:p>
        </w:tc>
      </w:tr>
      <w:tr>
        <w:trPr>
          <w:trHeight w:val="241"/>
        </w:trPr>
        <w:tc>
          <w:tcPr>
            <w:tcW w:w="770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Products and services revenues:</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41"/>
        </w:trPr>
        <w:tc>
          <w:tcPr>
            <w:tcW w:w="7700" w:type="dxa"/>
            <w:vAlign w:val="bottom"/>
          </w:tcPr>
          <w:p>
            <w:pPr>
              <w:ind w:left="260"/>
              <w:spacing w:after="0"/>
              <w:rPr>
                <w:sz w:val="20"/>
                <w:szCs w:val="20"/>
                <w:color w:val="auto"/>
              </w:rPr>
            </w:pPr>
            <w:r>
              <w:rPr>
                <w:rFonts w:ascii="Arial" w:cs="Arial" w:eastAsia="Arial" w:hAnsi="Arial"/>
                <w:sz w:val="20"/>
                <w:szCs w:val="20"/>
                <w:color w:val="auto"/>
              </w:rPr>
              <w:t>Aggregates</w:t>
            </w:r>
          </w:p>
        </w:tc>
        <w:tc>
          <w:tcPr>
            <w:tcW w:w="360" w:type="dxa"/>
            <w:vAlign w:val="bottom"/>
            <w:gridSpan w:val="2"/>
          </w:tcPr>
          <w:p>
            <w:pPr>
              <w:jc w:val="right"/>
              <w:ind w:right="22"/>
              <w:spacing w:after="0"/>
              <w:rPr>
                <w:sz w:val="20"/>
                <w:szCs w:val="20"/>
                <w:color w:val="auto"/>
              </w:rPr>
            </w:pPr>
            <w:r>
              <w:rPr>
                <w:rFonts w:ascii="Arial" w:cs="Arial" w:eastAsia="Arial" w:hAnsi="Arial"/>
                <w:sz w:val="20"/>
                <w:szCs w:val="20"/>
                <w:color w:val="auto"/>
              </w:rPr>
              <w:t>$</w:t>
            </w: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425,016</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jc w:val="right"/>
              <w:ind w:right="222"/>
              <w:spacing w:after="0"/>
              <w:rPr>
                <w:sz w:val="20"/>
                <w:szCs w:val="20"/>
                <w:color w:val="auto"/>
              </w:rPr>
            </w:pPr>
            <w:r>
              <w:rPr>
                <w:rFonts w:ascii="Arial" w:cs="Arial" w:eastAsia="Arial" w:hAnsi="Arial"/>
                <w:sz w:val="20"/>
                <w:szCs w:val="20"/>
                <w:color w:val="auto"/>
                <w:w w:val="71"/>
              </w:rPr>
              <w:t>$</w:t>
            </w:r>
          </w:p>
        </w:tc>
        <w:tc>
          <w:tcPr>
            <w:tcW w:w="1180" w:type="dxa"/>
            <w:vAlign w:val="bottom"/>
            <w:gridSpan w:val="2"/>
          </w:tcPr>
          <w:p>
            <w:pPr>
              <w:jc w:val="right"/>
              <w:ind w:right="20"/>
              <w:spacing w:after="0"/>
              <w:rPr>
                <w:sz w:val="20"/>
                <w:szCs w:val="20"/>
                <w:color w:val="auto"/>
              </w:rPr>
            </w:pPr>
            <w:r>
              <w:rPr>
                <w:rFonts w:ascii="Arial" w:cs="Arial" w:eastAsia="Arial" w:hAnsi="Arial"/>
                <w:sz w:val="20"/>
                <w:szCs w:val="20"/>
                <w:color w:val="auto"/>
              </w:rPr>
              <w:t>451,055</w:t>
            </w:r>
          </w:p>
        </w:tc>
        <w:tc>
          <w:tcPr>
            <w:tcW w:w="120" w:type="dxa"/>
            <w:vAlign w:val="bottom"/>
          </w:tcPr>
          <w:p>
            <w:pPr>
              <w:spacing w:after="0"/>
              <w:rPr>
                <w:sz w:val="20"/>
                <w:szCs w:val="20"/>
                <w:color w:val="auto"/>
              </w:rPr>
            </w:pPr>
          </w:p>
        </w:tc>
      </w:tr>
      <w:tr>
        <w:trPr>
          <w:trHeight w:val="241"/>
        </w:trPr>
        <w:tc>
          <w:tcPr>
            <w:tcW w:w="77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Cement</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89,183</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93,554</w:t>
            </w:r>
          </w:p>
        </w:tc>
        <w:tc>
          <w:tcPr>
            <w:tcW w:w="120" w:type="dxa"/>
            <w:vAlign w:val="bottom"/>
            <w:shd w:val="clear" w:color="auto" w:fill="CFF0FC"/>
          </w:tcPr>
          <w:p>
            <w:pPr>
              <w:spacing w:after="0"/>
              <w:rPr>
                <w:sz w:val="20"/>
                <w:szCs w:val="20"/>
                <w:color w:val="auto"/>
              </w:rPr>
            </w:pPr>
          </w:p>
        </w:tc>
      </w:tr>
      <w:tr>
        <w:trPr>
          <w:trHeight w:val="241"/>
        </w:trPr>
        <w:tc>
          <w:tcPr>
            <w:tcW w:w="7700" w:type="dxa"/>
            <w:vAlign w:val="bottom"/>
          </w:tcPr>
          <w:p>
            <w:pPr>
              <w:ind w:left="260"/>
              <w:spacing w:after="0"/>
              <w:rPr>
                <w:sz w:val="20"/>
                <w:szCs w:val="20"/>
                <w:color w:val="auto"/>
              </w:rPr>
            </w:pPr>
            <w:r>
              <w:rPr>
                <w:rFonts w:ascii="Arial" w:cs="Arial" w:eastAsia="Arial" w:hAnsi="Arial"/>
                <w:sz w:val="20"/>
                <w:szCs w:val="20"/>
                <w:color w:val="auto"/>
              </w:rPr>
              <w:t>Ready Mixed Concrete</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218,537</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20"/>
                <w:szCs w:val="20"/>
                <w:color w:val="auto"/>
              </w:rPr>
              <w:t>222,378</w:t>
            </w:r>
          </w:p>
        </w:tc>
        <w:tc>
          <w:tcPr>
            <w:tcW w:w="120" w:type="dxa"/>
            <w:vAlign w:val="bottom"/>
          </w:tcPr>
          <w:p>
            <w:pPr>
              <w:spacing w:after="0"/>
              <w:rPr>
                <w:sz w:val="20"/>
                <w:szCs w:val="20"/>
                <w:color w:val="auto"/>
              </w:rPr>
            </w:pPr>
          </w:p>
        </w:tc>
      </w:tr>
      <w:tr>
        <w:trPr>
          <w:trHeight w:val="241"/>
        </w:trPr>
        <w:tc>
          <w:tcPr>
            <w:tcW w:w="77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Asphalt and Paving</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16,365</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21,737</w:t>
            </w:r>
          </w:p>
        </w:tc>
        <w:tc>
          <w:tcPr>
            <w:tcW w:w="120" w:type="dxa"/>
            <w:vAlign w:val="bottom"/>
            <w:shd w:val="clear" w:color="auto" w:fill="CFF0FC"/>
          </w:tcPr>
          <w:p>
            <w:pPr>
              <w:spacing w:after="0"/>
              <w:rPr>
                <w:sz w:val="20"/>
                <w:szCs w:val="20"/>
                <w:color w:val="auto"/>
              </w:rPr>
            </w:pPr>
          </w:p>
        </w:tc>
      </w:tr>
      <w:tr>
        <w:trPr>
          <w:trHeight w:val="241"/>
        </w:trPr>
        <w:tc>
          <w:tcPr>
            <w:tcW w:w="7700" w:type="dxa"/>
            <w:vAlign w:val="bottom"/>
          </w:tcPr>
          <w:p>
            <w:pPr>
              <w:ind w:left="260"/>
              <w:spacing w:after="0"/>
              <w:rPr>
                <w:sz w:val="20"/>
                <w:szCs w:val="20"/>
                <w:color w:val="auto"/>
              </w:rPr>
            </w:pPr>
            <w:r>
              <w:rPr>
                <w:rFonts w:ascii="Arial" w:cs="Arial" w:eastAsia="Arial" w:hAnsi="Arial"/>
                <w:sz w:val="20"/>
                <w:szCs w:val="20"/>
                <w:color w:val="auto"/>
              </w:rPr>
              <w:t>Less: Interproduct revenues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3"/>
          </w:tcPr>
          <w:p>
            <w:pPr>
              <w:jc w:val="right"/>
              <w:ind w:right="180"/>
              <w:spacing w:after="0"/>
              <w:rPr>
                <w:sz w:val="20"/>
                <w:szCs w:val="20"/>
                <w:color w:val="auto"/>
              </w:rPr>
            </w:pPr>
            <w:r>
              <w:rPr>
                <w:rFonts w:ascii="Arial" w:cs="Arial" w:eastAsia="Arial" w:hAnsi="Arial"/>
                <w:sz w:val="20"/>
                <w:szCs w:val="20"/>
                <w:color w:val="auto"/>
              </w:rPr>
              <w:t>(60,665)</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20"/>
                <w:szCs w:val="20"/>
                <w:color w:val="auto"/>
              </w:rPr>
              <w:t>(60,710)</w:t>
            </w:r>
          </w:p>
        </w:tc>
      </w:tr>
      <w:tr>
        <w:trPr>
          <w:trHeight w:val="234"/>
        </w:trPr>
        <w:tc>
          <w:tcPr>
            <w:tcW w:w="7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140" w:type="dxa"/>
            <w:vAlign w:val="bottom"/>
            <w:tcBorders>
              <w:top w:val="single" w:sz="8" w:color="CFF0FC"/>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22"/>
              <w:spacing w:after="0"/>
              <w:rPr>
                <w:sz w:val="20"/>
                <w:szCs w:val="20"/>
                <w:color w:val="auto"/>
              </w:rPr>
            </w:pPr>
            <w:r>
              <w:rPr>
                <w:rFonts w:ascii="Arial" w:cs="Arial" w:eastAsia="Arial" w:hAnsi="Arial"/>
                <w:sz w:val="20"/>
                <w:szCs w:val="20"/>
                <w:color w:val="auto"/>
                <w:w w:val="71"/>
              </w:rPr>
              <w:t>$</w:t>
            </w:r>
          </w:p>
        </w:tc>
        <w:tc>
          <w:tcPr>
            <w:tcW w:w="13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rPr>
              <w:t>688,436</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20" w:type="dxa"/>
            <w:vAlign w:val="bottom"/>
            <w:tcBorders>
              <w:top w:val="single" w:sz="8" w:color="CFF0FC"/>
              <w:bottom w:val="single" w:sz="8" w:color="CFF0FC"/>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jc w:val="right"/>
              <w:ind w:right="222"/>
              <w:spacing w:after="0"/>
              <w:rPr>
                <w:sz w:val="20"/>
                <w:szCs w:val="20"/>
                <w:color w:val="auto"/>
              </w:rPr>
            </w:pPr>
            <w:r>
              <w:rPr>
                <w:rFonts w:ascii="Arial" w:cs="Arial" w:eastAsia="Arial" w:hAnsi="Arial"/>
                <w:sz w:val="20"/>
                <w:szCs w:val="20"/>
                <w:color w:val="auto"/>
                <w:w w:val="71"/>
              </w:rPr>
              <w:t>$</w:t>
            </w:r>
          </w:p>
        </w:tc>
        <w:tc>
          <w:tcPr>
            <w:tcW w:w="11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728,014</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7840" w:type="dxa"/>
            <w:vAlign w:val="bottom"/>
            <w:gridSpan w:val="2"/>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9700" w:type="dxa"/>
            <w:vAlign w:val="bottom"/>
            <w:gridSpan w:val="7"/>
          </w:tcPr>
          <w:p>
            <w:pPr>
              <w:spacing w:after="0"/>
              <w:rPr>
                <w:sz w:val="20"/>
                <w:szCs w:val="20"/>
                <w:color w:val="auto"/>
              </w:rPr>
            </w:pPr>
            <w:r>
              <w:rPr>
                <w:rFonts w:ascii="Arial" w:cs="Arial" w:eastAsia="Arial" w:hAnsi="Arial"/>
                <w:sz w:val="20"/>
                <w:szCs w:val="20"/>
                <w:color w:val="auto"/>
                <w:w w:val="93"/>
              </w:rPr>
              <w:t>The following tables present aggregates products volume and pricing variance data and shipments data by segment:</w:t>
            </w: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7"/>
        </w:trPr>
        <w:tc>
          <w:tcPr>
            <w:tcW w:w="7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60" w:type="dxa"/>
            <w:vAlign w:val="bottom"/>
            <w:gridSpan w:val="8"/>
          </w:tcPr>
          <w:p>
            <w:pPr>
              <w:jc w:val="right"/>
              <w:ind w:right="1120"/>
              <w:spacing w:after="0"/>
              <w:rPr>
                <w:sz w:val="20"/>
                <w:szCs w:val="20"/>
                <w:color w:val="auto"/>
              </w:rPr>
            </w:pPr>
            <w:r>
              <w:rPr>
                <w:rFonts w:ascii="Arial" w:cs="Arial" w:eastAsia="Arial" w:hAnsi="Arial"/>
                <w:sz w:val="20"/>
                <w:szCs w:val="20"/>
                <w:color w:val="auto"/>
              </w:rPr>
              <w:t>Three-Months Ended</w:t>
            </w:r>
          </w:p>
        </w:tc>
      </w:tr>
      <w:tr>
        <w:trPr>
          <w:trHeight w:val="244"/>
        </w:trPr>
        <w:tc>
          <w:tcPr>
            <w:tcW w:w="77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5"/>
          </w:tcPr>
          <w:p>
            <w:pPr>
              <w:jc w:val="right"/>
              <w:spacing w:after="0"/>
              <w:rPr>
                <w:sz w:val="20"/>
                <w:szCs w:val="20"/>
                <w:color w:val="auto"/>
              </w:rPr>
            </w:pPr>
            <w:r>
              <w:rPr>
                <w:rFonts w:ascii="Arial" w:cs="Arial" w:eastAsia="Arial" w:hAnsi="Arial"/>
                <w:sz w:val="20"/>
                <w:szCs w:val="20"/>
                <w:color w:val="auto"/>
              </w:rPr>
              <w:t>March 31, 2018</w:t>
            </w:r>
          </w:p>
        </w:tc>
        <w:tc>
          <w:tcPr>
            <w:tcW w:w="11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34"/>
        </w:trPr>
        <w:tc>
          <w:tcPr>
            <w:tcW w:w="7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gridSpan w:val="4"/>
          </w:tcPr>
          <w:p>
            <w:pPr>
              <w:ind w:left="100"/>
              <w:spacing w:after="0"/>
              <w:rPr>
                <w:sz w:val="20"/>
                <w:szCs w:val="20"/>
                <w:color w:val="auto"/>
              </w:rPr>
            </w:pPr>
            <w:r>
              <w:rPr>
                <w:rFonts w:ascii="Arial" w:cs="Arial" w:eastAsia="Arial" w:hAnsi="Arial"/>
                <w:sz w:val="20"/>
                <w:szCs w:val="20"/>
                <w:color w:val="auto"/>
              </w:rPr>
              <w:t>Volume</w:t>
            </w:r>
          </w:p>
        </w:tc>
        <w:tc>
          <w:tcPr>
            <w:tcW w:w="420" w:type="dxa"/>
            <w:vAlign w:val="bottom"/>
          </w:tcPr>
          <w:p>
            <w:pPr>
              <w:spacing w:after="0"/>
              <w:rPr>
                <w:sz w:val="20"/>
                <w:szCs w:val="20"/>
                <w:color w:val="auto"/>
              </w:rPr>
            </w:pPr>
          </w:p>
        </w:tc>
        <w:tc>
          <w:tcPr>
            <w:tcW w:w="1120" w:type="dxa"/>
            <w:vAlign w:val="bottom"/>
          </w:tcPr>
          <w:p>
            <w:pPr>
              <w:jc w:val="right"/>
              <w:ind w:right="402"/>
              <w:spacing w:after="0"/>
              <w:rPr>
                <w:sz w:val="20"/>
                <w:szCs w:val="20"/>
                <w:color w:val="auto"/>
              </w:rPr>
            </w:pPr>
            <w:r>
              <w:rPr>
                <w:rFonts w:ascii="Arial" w:cs="Arial" w:eastAsia="Arial" w:hAnsi="Arial"/>
                <w:sz w:val="20"/>
                <w:szCs w:val="20"/>
                <w:color w:val="auto"/>
                <w:w w:val="98"/>
              </w:rPr>
              <w:t>Pricing</w:t>
            </w:r>
          </w:p>
        </w:tc>
        <w:tc>
          <w:tcPr>
            <w:tcW w:w="180" w:type="dxa"/>
            <w:vAlign w:val="bottom"/>
            <w:gridSpan w:val="2"/>
          </w:tcPr>
          <w:p>
            <w:pPr>
              <w:spacing w:after="0"/>
              <w:rPr>
                <w:sz w:val="20"/>
                <w:szCs w:val="20"/>
                <w:color w:val="auto"/>
              </w:rPr>
            </w:pPr>
          </w:p>
        </w:tc>
      </w:tr>
      <w:tr>
        <w:trPr>
          <w:trHeight w:val="234"/>
        </w:trPr>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20"/>
                <w:szCs w:val="20"/>
                <w:b w:val="1"/>
                <w:bCs w:val="1"/>
                <w:color w:val="auto"/>
              </w:rPr>
              <w:t xml:space="preserve">Volume/Pricing variance </w:t>
            </w:r>
            <w:r>
              <w:rPr>
                <w:rFonts w:ascii="Arial" w:cs="Arial" w:eastAsia="Arial" w:hAnsi="Arial"/>
                <w:sz w:val="16"/>
                <w:szCs w:val="16"/>
                <w:color w:val="auto"/>
              </w:rPr>
              <w:t>(1)</w:t>
            </w:r>
          </w:p>
        </w:tc>
        <w:tc>
          <w:tcPr>
            <w:tcW w:w="14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CFF0FC"/>
            </w:tcBorders>
            <w:shd w:val="clear" w:color="auto" w:fill="CFF0FC"/>
          </w:tcPr>
          <w:p>
            <w:pPr>
              <w:spacing w:after="0"/>
              <w:rPr>
                <w:sz w:val="20"/>
                <w:szCs w:val="20"/>
                <w:color w:val="auto"/>
              </w:rPr>
            </w:pPr>
          </w:p>
        </w:tc>
        <w:tc>
          <w:tcPr>
            <w:tcW w:w="26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60" w:type="dxa"/>
            <w:vAlign w:val="bottom"/>
            <w:tcBorders>
              <w:top w:val="single" w:sz="8" w:color="CFF0FC"/>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r>
      <w:tr>
        <w:trPr>
          <w:trHeight w:val="241"/>
        </w:trPr>
        <w:tc>
          <w:tcPr>
            <w:tcW w:w="7700" w:type="dxa"/>
            <w:vAlign w:val="bottom"/>
          </w:tcPr>
          <w:p>
            <w:pPr>
              <w:ind w:left="260"/>
              <w:spacing w:after="0"/>
              <w:rPr>
                <w:sz w:val="20"/>
                <w:szCs w:val="20"/>
                <w:color w:val="auto"/>
              </w:rPr>
            </w:pPr>
            <w:r>
              <w:rPr>
                <w:rFonts w:ascii="Arial" w:cs="Arial" w:eastAsia="Arial" w:hAnsi="Arial"/>
                <w:sz w:val="20"/>
                <w:szCs w:val="20"/>
                <w:color w:val="auto"/>
              </w:rPr>
              <w:t>Mid-America Group</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3"/>
          </w:tcPr>
          <w:p>
            <w:pPr>
              <w:jc w:val="right"/>
              <w:ind w:right="200"/>
              <w:spacing w:after="0"/>
              <w:rPr>
                <w:sz w:val="20"/>
                <w:szCs w:val="20"/>
                <w:color w:val="auto"/>
              </w:rPr>
            </w:pPr>
            <w:r>
              <w:rPr>
                <w:rFonts w:ascii="Arial" w:cs="Arial" w:eastAsia="Arial" w:hAnsi="Arial"/>
                <w:sz w:val="20"/>
                <w:szCs w:val="20"/>
                <w:color w:val="auto"/>
              </w:rPr>
              <w:t>(9.9)%</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20"/>
                <w:szCs w:val="20"/>
                <w:color w:val="auto"/>
              </w:rPr>
              <w:t>4.9%</w:t>
            </w:r>
          </w:p>
        </w:tc>
      </w:tr>
      <w:tr>
        <w:trPr>
          <w:trHeight w:val="241"/>
        </w:trPr>
        <w:tc>
          <w:tcPr>
            <w:tcW w:w="77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Southeast Group</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20" w:type="dxa"/>
            <w:vAlign w:val="bottom"/>
            <w:gridSpan w:val="3"/>
            <w:shd w:val="clear" w:color="auto" w:fill="CFF0FC"/>
          </w:tcPr>
          <w:p>
            <w:pPr>
              <w:jc w:val="right"/>
              <w:ind w:right="200"/>
              <w:spacing w:after="0"/>
              <w:rPr>
                <w:sz w:val="20"/>
                <w:szCs w:val="20"/>
                <w:color w:val="auto"/>
              </w:rPr>
            </w:pPr>
            <w:r>
              <w:rPr>
                <w:rFonts w:ascii="Arial" w:cs="Arial" w:eastAsia="Arial" w:hAnsi="Arial"/>
                <w:sz w:val="20"/>
                <w:szCs w:val="20"/>
                <w:color w:val="auto"/>
              </w:rPr>
              <w:t>(12.4)%</w:t>
            </w:r>
          </w:p>
        </w:tc>
        <w:tc>
          <w:tcPr>
            <w:tcW w:w="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00" w:type="dxa"/>
            <w:vAlign w:val="bottom"/>
            <w:gridSpan w:val="3"/>
            <w:shd w:val="clear" w:color="auto" w:fill="CFF0FC"/>
          </w:tcPr>
          <w:p>
            <w:pPr>
              <w:jc w:val="right"/>
              <w:ind w:right="20"/>
              <w:spacing w:after="0"/>
              <w:rPr>
                <w:sz w:val="20"/>
                <w:szCs w:val="20"/>
                <w:color w:val="auto"/>
              </w:rPr>
            </w:pPr>
            <w:r>
              <w:rPr>
                <w:rFonts w:ascii="Arial" w:cs="Arial" w:eastAsia="Arial" w:hAnsi="Arial"/>
                <w:sz w:val="20"/>
                <w:szCs w:val="20"/>
                <w:color w:val="auto"/>
              </w:rPr>
              <w:t>2.2%</w:t>
            </w:r>
          </w:p>
        </w:tc>
      </w:tr>
      <w:tr>
        <w:trPr>
          <w:trHeight w:val="241"/>
        </w:trPr>
        <w:tc>
          <w:tcPr>
            <w:tcW w:w="7700" w:type="dxa"/>
            <w:vAlign w:val="bottom"/>
          </w:tcPr>
          <w:p>
            <w:pPr>
              <w:ind w:left="260"/>
              <w:spacing w:after="0"/>
              <w:rPr>
                <w:sz w:val="20"/>
                <w:szCs w:val="20"/>
                <w:color w:val="auto"/>
              </w:rPr>
            </w:pPr>
            <w:r>
              <w:rPr>
                <w:rFonts w:ascii="Arial" w:cs="Arial" w:eastAsia="Arial" w:hAnsi="Arial"/>
                <w:sz w:val="20"/>
                <w:szCs w:val="20"/>
                <w:color w:val="auto"/>
              </w:rPr>
              <w:t>West Group</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3"/>
          </w:tcPr>
          <w:p>
            <w:pPr>
              <w:jc w:val="right"/>
              <w:ind w:right="200"/>
              <w:spacing w:after="0"/>
              <w:rPr>
                <w:sz w:val="20"/>
                <w:szCs w:val="20"/>
                <w:color w:val="auto"/>
              </w:rPr>
            </w:pPr>
            <w:r>
              <w:rPr>
                <w:rFonts w:ascii="Arial" w:cs="Arial" w:eastAsia="Arial" w:hAnsi="Arial"/>
                <w:sz w:val="20"/>
                <w:szCs w:val="20"/>
                <w:color w:val="auto"/>
              </w:rPr>
              <w:t>(4.7)%</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20"/>
                <w:szCs w:val="20"/>
                <w:color w:val="auto"/>
              </w:rPr>
              <w:t>0.8%</w:t>
            </w:r>
          </w:p>
        </w:tc>
      </w:tr>
      <w:tr>
        <w:trPr>
          <w:trHeight w:val="241"/>
        </w:trPr>
        <w:tc>
          <w:tcPr>
            <w:tcW w:w="7700" w:type="dxa"/>
            <w:vAlign w:val="bottom"/>
            <w:shd w:val="clear" w:color="auto" w:fill="CFF0FC"/>
          </w:tcPr>
          <w:p>
            <w:pPr>
              <w:spacing w:after="0"/>
              <w:rPr>
                <w:sz w:val="20"/>
                <w:szCs w:val="20"/>
                <w:color w:val="auto"/>
              </w:rPr>
            </w:pPr>
            <w:r>
              <w:rPr>
                <w:rFonts w:ascii="Arial" w:cs="Arial" w:eastAsia="Arial" w:hAnsi="Arial"/>
                <w:sz w:val="20"/>
                <w:szCs w:val="20"/>
                <w:color w:val="auto"/>
              </w:rPr>
              <w:t>Aggregates Product Line</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20" w:type="dxa"/>
            <w:vAlign w:val="bottom"/>
            <w:gridSpan w:val="3"/>
            <w:shd w:val="clear" w:color="auto" w:fill="CFF0FC"/>
          </w:tcPr>
          <w:p>
            <w:pPr>
              <w:jc w:val="right"/>
              <w:ind w:right="200"/>
              <w:spacing w:after="0"/>
              <w:rPr>
                <w:sz w:val="20"/>
                <w:szCs w:val="20"/>
                <w:color w:val="auto"/>
              </w:rPr>
            </w:pPr>
            <w:r>
              <w:rPr>
                <w:rFonts w:ascii="Arial" w:cs="Arial" w:eastAsia="Arial" w:hAnsi="Arial"/>
                <w:sz w:val="20"/>
                <w:szCs w:val="20"/>
                <w:color w:val="auto"/>
              </w:rPr>
              <w:t>(7.9)%</w:t>
            </w:r>
          </w:p>
        </w:tc>
        <w:tc>
          <w:tcPr>
            <w:tcW w:w="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00" w:type="dxa"/>
            <w:vAlign w:val="bottom"/>
            <w:gridSpan w:val="3"/>
            <w:shd w:val="clear" w:color="auto" w:fill="CFF0FC"/>
          </w:tcPr>
          <w:p>
            <w:pPr>
              <w:jc w:val="right"/>
              <w:ind w:right="20"/>
              <w:spacing w:after="0"/>
              <w:rPr>
                <w:sz w:val="20"/>
                <w:szCs w:val="20"/>
                <w:color w:val="auto"/>
              </w:rPr>
            </w:pPr>
            <w:r>
              <w:rPr>
                <w:rFonts w:ascii="Arial" w:cs="Arial" w:eastAsia="Arial" w:hAnsi="Arial"/>
                <w:sz w:val="20"/>
                <w:szCs w:val="20"/>
                <w:color w:val="auto"/>
              </w:rPr>
              <w:t>2.3%</w:t>
            </w:r>
          </w:p>
        </w:tc>
      </w:tr>
    </w:tbl>
    <w:p>
      <w:pPr>
        <w:spacing w:after="0" w:line="90" w:lineRule="exact"/>
        <w:rPr>
          <w:sz w:val="20"/>
          <w:szCs w:val="20"/>
          <w:color w:val="auto"/>
        </w:rPr>
      </w:pPr>
    </w:p>
    <w:p>
      <w:pPr>
        <w:ind w:left="260" w:hanging="253"/>
        <w:spacing w:after="0"/>
        <w:tabs>
          <w:tab w:leader="none" w:pos="260" w:val="left"/>
        </w:tabs>
        <w:numPr>
          <w:ilvl w:val="0"/>
          <w:numId w:val="23"/>
        </w:numPr>
        <w:rPr>
          <w:rFonts w:ascii="Arial" w:cs="Arial" w:eastAsia="Arial" w:hAnsi="Arial"/>
          <w:sz w:val="17"/>
          <w:szCs w:val="17"/>
          <w:i w:val="1"/>
          <w:iCs w:val="1"/>
          <w:color w:val="auto"/>
        </w:rPr>
      </w:pPr>
      <w:r>
        <w:rPr>
          <w:rFonts w:ascii="Arial" w:cs="Arial" w:eastAsia="Arial" w:hAnsi="Arial"/>
          <w:sz w:val="20"/>
          <w:szCs w:val="20"/>
          <w:i w:val="1"/>
          <w:iCs w:val="1"/>
          <w:color w:val="auto"/>
        </w:rPr>
        <w:t>Volume/pricing variances reflect the percentage increase/(decrease) from the comparable period in the prior year.</w:t>
      </w:r>
    </w:p>
    <w:p>
      <w:pPr>
        <w:spacing w:after="0" w:line="319" w:lineRule="exact"/>
        <w:rPr>
          <w:sz w:val="20"/>
          <w:szCs w:val="20"/>
          <w:color w:val="auto"/>
        </w:rPr>
      </w:pPr>
    </w:p>
    <w:p>
      <w:pPr>
        <w:spacing w:after="0"/>
        <w:rPr>
          <w:sz w:val="20"/>
          <w:szCs w:val="20"/>
          <w:color w:val="auto"/>
        </w:rPr>
      </w:pPr>
      <w:r>
        <w:rPr>
          <w:rFonts w:ascii="Arial" w:cs="Arial" w:eastAsia="Arial" w:hAnsi="Arial"/>
          <w:sz w:val="20"/>
          <w:szCs w:val="20"/>
          <w:color w:val="auto"/>
        </w:rPr>
        <w:t>The average selling price by product line for the Building Materials business is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40" w:type="dxa"/>
            <w:vAlign w:val="bottom"/>
            <w:gridSpan w:val="4"/>
          </w:tcPr>
          <w:p>
            <w:pPr>
              <w:jc w:val="center"/>
              <w:ind w:right="440"/>
              <w:spacing w:after="0"/>
              <w:rPr>
                <w:sz w:val="20"/>
                <w:szCs w:val="20"/>
                <w:color w:val="auto"/>
              </w:rPr>
            </w:pPr>
            <w:r>
              <w:rPr>
                <w:rFonts w:ascii="Arial" w:cs="Arial" w:eastAsia="Arial" w:hAnsi="Arial"/>
                <w:sz w:val="20"/>
                <w:szCs w:val="20"/>
                <w:color w:val="auto"/>
                <w:w w:val="89"/>
              </w:rPr>
              <w:t>Three-Months Ended</w:t>
            </w: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44"/>
        </w:trPr>
        <w:tc>
          <w:tcPr>
            <w:tcW w:w="44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2"/>
          </w:tcPr>
          <w:p>
            <w:pPr>
              <w:jc w:val="center"/>
              <w:ind w:right="940"/>
              <w:spacing w:after="0"/>
              <w:rPr>
                <w:sz w:val="20"/>
                <w:szCs w:val="20"/>
                <w:color w:val="auto"/>
              </w:rPr>
            </w:pPr>
            <w:r>
              <w:rPr>
                <w:rFonts w:ascii="Arial" w:cs="Arial" w:eastAsia="Arial" w:hAnsi="Arial"/>
                <w:sz w:val="20"/>
                <w:szCs w:val="20"/>
                <w:color w:val="auto"/>
                <w:w w:val="89"/>
              </w:rPr>
              <w:t>March 31,</w:t>
            </w:r>
          </w:p>
        </w:tc>
        <w:tc>
          <w:tcPr>
            <w:tcW w:w="132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r>
      <w:tr>
        <w:trPr>
          <w:trHeight w:val="234"/>
        </w:trPr>
        <w:tc>
          <w:tcPr>
            <w:tcW w:w="4440" w:type="dxa"/>
            <w:vAlign w:val="bottom"/>
            <w:tcBorders>
              <w:bottom w:val="single" w:sz="8" w:color="CFF0FC"/>
            </w:tcBorders>
          </w:tcPr>
          <w:p>
            <w:pPr>
              <w:spacing w:after="0"/>
              <w:rPr>
                <w:sz w:val="20"/>
                <w:szCs w:val="20"/>
                <w:color w:val="auto"/>
              </w:rPr>
            </w:pPr>
          </w:p>
        </w:tc>
        <w:tc>
          <w:tcPr>
            <w:tcW w:w="1300" w:type="dxa"/>
            <w:vAlign w:val="bottom"/>
            <w:tcBorders>
              <w:bottom w:val="single" w:sz="8" w:color="CFF0FC"/>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2018</w:t>
            </w:r>
          </w:p>
        </w:tc>
        <w:tc>
          <w:tcPr>
            <w:tcW w:w="620" w:type="dxa"/>
            <w:vAlign w:val="bottom"/>
            <w:tcBorders>
              <w:bottom w:val="single" w:sz="8" w:color="auto"/>
            </w:tcBorders>
          </w:tcPr>
          <w:p>
            <w:pPr>
              <w:spacing w:after="0"/>
              <w:rPr>
                <w:sz w:val="20"/>
                <w:szCs w:val="20"/>
                <w:color w:val="auto"/>
              </w:rPr>
            </w:pPr>
          </w:p>
        </w:tc>
        <w:tc>
          <w:tcPr>
            <w:tcW w:w="3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582"/>
              <w:spacing w:after="0"/>
              <w:rPr>
                <w:sz w:val="20"/>
                <w:szCs w:val="20"/>
                <w:color w:val="auto"/>
              </w:rPr>
            </w:pPr>
            <w:r>
              <w:rPr>
                <w:rFonts w:ascii="Arial" w:cs="Arial" w:eastAsia="Arial" w:hAnsi="Arial"/>
                <w:sz w:val="20"/>
                <w:szCs w:val="20"/>
                <w:color w:val="auto"/>
              </w:rPr>
              <w:t>2017</w:t>
            </w:r>
          </w:p>
        </w:tc>
        <w:tc>
          <w:tcPr>
            <w:tcW w:w="380" w:type="dxa"/>
            <w:vAlign w:val="bottom"/>
            <w:tcBorders>
              <w:bottom w:val="single" w:sz="8" w:color="CFF0FC"/>
            </w:tcBorders>
          </w:tcPr>
          <w:p>
            <w:pPr>
              <w:spacing w:after="0"/>
              <w:rPr>
                <w:sz w:val="20"/>
                <w:szCs w:val="20"/>
                <w:color w:val="auto"/>
              </w:rPr>
            </w:pPr>
          </w:p>
        </w:tc>
        <w:tc>
          <w:tcPr>
            <w:tcW w:w="1320" w:type="dxa"/>
            <w:vAlign w:val="bottom"/>
            <w:tcBorders>
              <w:bottom w:val="single" w:sz="8" w:color="auto"/>
            </w:tcBorders>
          </w:tcPr>
          <w:p>
            <w:pPr>
              <w:ind w:left="240"/>
              <w:spacing w:after="0"/>
              <w:rPr>
                <w:sz w:val="20"/>
                <w:szCs w:val="20"/>
                <w:color w:val="auto"/>
              </w:rPr>
            </w:pPr>
            <w:r>
              <w:rPr>
                <w:rFonts w:ascii="Arial" w:cs="Arial" w:eastAsia="Arial" w:hAnsi="Arial"/>
                <w:sz w:val="20"/>
                <w:szCs w:val="20"/>
                <w:color w:val="auto"/>
              </w:rPr>
              <w:t>% Change</w:t>
            </w:r>
          </w:p>
        </w:tc>
        <w:tc>
          <w:tcPr>
            <w:tcW w:w="180" w:type="dxa"/>
            <w:vAlign w:val="bottom"/>
            <w:tcBorders>
              <w:bottom w:val="single" w:sz="8" w:color="CFF0FC"/>
            </w:tcBorders>
          </w:tcPr>
          <w:p>
            <w:pPr>
              <w:spacing w:after="0"/>
              <w:rPr>
                <w:sz w:val="20"/>
                <w:szCs w:val="20"/>
                <w:color w:val="auto"/>
              </w:rPr>
            </w:pPr>
          </w:p>
        </w:tc>
      </w:tr>
      <w:tr>
        <w:trPr>
          <w:trHeight w:val="234"/>
        </w:trPr>
        <w:tc>
          <w:tcPr>
            <w:tcW w:w="4440" w:type="dxa"/>
            <w:vAlign w:val="bottom"/>
            <w:shd w:val="clear" w:color="auto" w:fill="CFF0FC"/>
          </w:tcPr>
          <w:p>
            <w:pPr>
              <w:spacing w:after="0"/>
              <w:rPr>
                <w:sz w:val="20"/>
                <w:szCs w:val="20"/>
                <w:color w:val="auto"/>
              </w:rPr>
            </w:pPr>
            <w:r>
              <w:rPr>
                <w:rFonts w:ascii="Arial" w:cs="Arial" w:eastAsia="Arial" w:hAnsi="Arial"/>
                <w:sz w:val="20"/>
                <w:szCs w:val="20"/>
                <w:color w:val="auto"/>
              </w:rPr>
              <w:t>Aggregates (per ton)</w:t>
            </w:r>
          </w:p>
        </w:tc>
        <w:tc>
          <w:tcPr>
            <w:tcW w:w="1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922"/>
              <w:spacing w:after="0"/>
              <w:rPr>
                <w:sz w:val="20"/>
                <w:szCs w:val="20"/>
                <w:color w:val="auto"/>
              </w:rPr>
            </w:pPr>
            <w:r>
              <w:rPr>
                <w:rFonts w:ascii="Arial" w:cs="Arial" w:eastAsia="Arial" w:hAnsi="Arial"/>
                <w:sz w:val="20"/>
                <w:szCs w:val="2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14.04</w:t>
            </w:r>
          </w:p>
        </w:tc>
        <w:tc>
          <w:tcPr>
            <w:tcW w:w="3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13.73</w:t>
            </w:r>
          </w:p>
        </w:tc>
        <w:tc>
          <w:tcPr>
            <w:tcW w:w="38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2.3%</w:t>
            </w:r>
          </w:p>
        </w:tc>
      </w:tr>
      <w:tr>
        <w:trPr>
          <w:trHeight w:val="241"/>
        </w:trPr>
        <w:tc>
          <w:tcPr>
            <w:tcW w:w="4440" w:type="dxa"/>
            <w:vAlign w:val="bottom"/>
          </w:tcPr>
          <w:p>
            <w:pPr>
              <w:spacing w:after="0"/>
              <w:rPr>
                <w:sz w:val="20"/>
                <w:szCs w:val="20"/>
                <w:color w:val="auto"/>
              </w:rPr>
            </w:pPr>
            <w:r>
              <w:rPr>
                <w:rFonts w:ascii="Arial" w:cs="Arial" w:eastAsia="Arial" w:hAnsi="Arial"/>
                <w:sz w:val="20"/>
                <w:szCs w:val="20"/>
                <w:color w:val="auto"/>
              </w:rPr>
              <w:t>Cement (per ton)</w:t>
            </w:r>
          </w:p>
        </w:tc>
        <w:tc>
          <w:tcPr>
            <w:tcW w:w="2420" w:type="dxa"/>
            <w:vAlign w:val="bottom"/>
            <w:gridSpan w:val="2"/>
          </w:tcPr>
          <w:p>
            <w:pPr>
              <w:jc w:val="right"/>
              <w:ind w:right="922"/>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w w:val="98"/>
              </w:rPr>
              <w:t>106.86</w:t>
            </w:r>
          </w:p>
        </w:tc>
        <w:tc>
          <w:tcPr>
            <w:tcW w:w="5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560" w:type="dxa"/>
            <w:vAlign w:val="bottom"/>
          </w:tcPr>
          <w:p>
            <w:pPr>
              <w:jc w:val="right"/>
              <w:spacing w:after="0"/>
              <w:rPr>
                <w:sz w:val="20"/>
                <w:szCs w:val="20"/>
                <w:color w:val="auto"/>
              </w:rPr>
            </w:pPr>
            <w:r>
              <w:rPr>
                <w:rFonts w:ascii="Arial" w:cs="Arial" w:eastAsia="Arial" w:hAnsi="Arial"/>
                <w:sz w:val="20"/>
                <w:szCs w:val="20"/>
                <w:color w:val="auto"/>
              </w:rPr>
              <w:t>102.54</w:t>
            </w:r>
          </w:p>
        </w:tc>
        <w:tc>
          <w:tcPr>
            <w:tcW w:w="38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20"/>
                <w:szCs w:val="20"/>
                <w:color w:val="auto"/>
              </w:rPr>
              <w:t>4.2%</w:t>
            </w:r>
          </w:p>
        </w:tc>
      </w:tr>
      <w:tr>
        <w:trPr>
          <w:trHeight w:val="241"/>
        </w:trPr>
        <w:tc>
          <w:tcPr>
            <w:tcW w:w="4440" w:type="dxa"/>
            <w:vAlign w:val="bottom"/>
            <w:shd w:val="clear" w:color="auto" w:fill="CFF0FC"/>
          </w:tcPr>
          <w:p>
            <w:pPr>
              <w:spacing w:after="0"/>
              <w:rPr>
                <w:sz w:val="20"/>
                <w:szCs w:val="20"/>
                <w:color w:val="auto"/>
              </w:rPr>
            </w:pPr>
            <w:r>
              <w:rPr>
                <w:rFonts w:ascii="Arial" w:cs="Arial" w:eastAsia="Arial" w:hAnsi="Arial"/>
                <w:sz w:val="20"/>
                <w:szCs w:val="20"/>
                <w:color w:val="auto"/>
              </w:rPr>
              <w:t>Ready Mixed Concrete (per cubic yard)</w:t>
            </w:r>
          </w:p>
        </w:tc>
        <w:tc>
          <w:tcPr>
            <w:tcW w:w="2420" w:type="dxa"/>
            <w:vAlign w:val="bottom"/>
            <w:gridSpan w:val="2"/>
            <w:shd w:val="clear" w:color="auto" w:fill="CFF0FC"/>
          </w:tcPr>
          <w:p>
            <w:pPr>
              <w:jc w:val="right"/>
              <w:ind w:right="922"/>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8"/>
              </w:rPr>
              <w:t>106.34</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105.84</w:t>
            </w:r>
          </w:p>
        </w:tc>
        <w:tc>
          <w:tcPr>
            <w:tcW w:w="38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0.5%</w:t>
            </w:r>
          </w:p>
        </w:tc>
      </w:tr>
      <w:tr>
        <w:trPr>
          <w:trHeight w:val="249"/>
        </w:trPr>
        <w:tc>
          <w:tcPr>
            <w:tcW w:w="4440" w:type="dxa"/>
            <w:vAlign w:val="bottom"/>
          </w:tcPr>
          <w:p>
            <w:pPr>
              <w:spacing w:after="0"/>
              <w:rPr>
                <w:sz w:val="20"/>
                <w:szCs w:val="20"/>
                <w:color w:val="auto"/>
              </w:rPr>
            </w:pPr>
            <w:r>
              <w:rPr>
                <w:rFonts w:ascii="Arial" w:cs="Arial" w:eastAsia="Arial" w:hAnsi="Arial"/>
                <w:sz w:val="20"/>
                <w:szCs w:val="20"/>
                <w:color w:val="auto"/>
              </w:rPr>
              <w:t>Asphalt (per ton)</w:t>
            </w:r>
          </w:p>
        </w:tc>
        <w:tc>
          <w:tcPr>
            <w:tcW w:w="2420" w:type="dxa"/>
            <w:vAlign w:val="bottom"/>
            <w:gridSpan w:val="2"/>
          </w:tcPr>
          <w:p>
            <w:pPr>
              <w:jc w:val="right"/>
              <w:ind w:right="922"/>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42.81</w:t>
            </w:r>
          </w:p>
        </w:tc>
        <w:tc>
          <w:tcPr>
            <w:tcW w:w="5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560" w:type="dxa"/>
            <w:vAlign w:val="bottom"/>
          </w:tcPr>
          <w:p>
            <w:pPr>
              <w:jc w:val="right"/>
              <w:spacing w:after="0"/>
              <w:rPr>
                <w:sz w:val="20"/>
                <w:szCs w:val="20"/>
                <w:color w:val="auto"/>
              </w:rPr>
            </w:pPr>
            <w:r>
              <w:rPr>
                <w:rFonts w:ascii="Arial" w:cs="Arial" w:eastAsia="Arial" w:hAnsi="Arial"/>
                <w:sz w:val="20"/>
                <w:szCs w:val="20"/>
                <w:color w:val="auto"/>
              </w:rPr>
              <w:t>37.97</w:t>
            </w:r>
          </w:p>
        </w:tc>
        <w:tc>
          <w:tcPr>
            <w:tcW w:w="380" w:type="dxa"/>
            <w:vAlign w:val="bottom"/>
          </w:tcPr>
          <w:p>
            <w:pPr>
              <w:spacing w:after="0"/>
              <w:rPr>
                <w:sz w:val="21"/>
                <w:szCs w:val="21"/>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20"/>
                <w:szCs w:val="20"/>
                <w:color w:val="auto"/>
              </w:rPr>
              <w:t>12.7%</w:t>
            </w:r>
          </w:p>
        </w:tc>
      </w:tr>
    </w:tbl>
    <w:p>
      <w:pPr>
        <w:spacing w:after="0" w:line="189" w:lineRule="exact"/>
        <w:rPr>
          <w:sz w:val="20"/>
          <w:szCs w:val="20"/>
          <w:color w:val="auto"/>
        </w:rPr>
      </w:pPr>
    </w:p>
    <w:p>
      <w:pPr>
        <w:jc w:val="both"/>
        <w:spacing w:after="0" w:line="344" w:lineRule="auto"/>
        <w:rPr>
          <w:sz w:val="20"/>
          <w:szCs w:val="20"/>
          <w:color w:val="auto"/>
        </w:rPr>
      </w:pPr>
      <w:r>
        <w:rPr>
          <w:rFonts w:ascii="Arial" w:cs="Arial" w:eastAsia="Arial" w:hAnsi="Arial"/>
          <w:sz w:val="17"/>
          <w:szCs w:val="17"/>
          <w:color w:val="auto"/>
        </w:rPr>
        <w:t>Average selling prices improved across all product lines and geographies despite lower shipment volumes. Aggregates average selling price improvement was led by a 4.9% increase in the Mid-America Group, driven by continued price discipline and favorable product mix.</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28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March 31, 2018</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line="237" w:lineRule="auto"/>
        <w:rPr>
          <w:sz w:val="20"/>
          <w:szCs w:val="20"/>
          <w:color w:val="auto"/>
        </w:rPr>
      </w:pPr>
      <w:r>
        <w:rPr>
          <w:rFonts w:ascii="Arial" w:cs="Arial" w:eastAsia="Arial" w:hAnsi="Arial"/>
          <w:sz w:val="20"/>
          <w:szCs w:val="20"/>
          <w:color w:val="auto"/>
        </w:rPr>
        <w:t>First Quarter Ended March 31, 2018</w:t>
      </w:r>
    </w:p>
    <w:p>
      <w:pPr>
        <w:jc w:val="center"/>
        <w:spacing w:after="0"/>
        <w:rPr>
          <w:sz w:val="20"/>
          <w:szCs w:val="20"/>
          <w:color w:val="auto"/>
        </w:rPr>
      </w:pPr>
      <w:r>
        <w:rPr>
          <w:rFonts w:ascii="Arial" w:cs="Arial" w:eastAsia="Arial" w:hAnsi="Arial"/>
          <w:sz w:val="20"/>
          <w:szCs w:val="20"/>
          <w:color w:val="auto"/>
        </w:rPr>
        <w:t>(Continued)</w:t>
      </w:r>
    </w:p>
    <w:p>
      <w:pPr>
        <w:spacing w:after="0" w:line="356" w:lineRule="exact"/>
        <w:rPr>
          <w:sz w:val="20"/>
          <w:szCs w:val="20"/>
          <w:color w:val="auto"/>
        </w:rPr>
      </w:pPr>
    </w:p>
    <w:p>
      <w:pPr>
        <w:jc w:val="center"/>
        <w:ind w:left="7740"/>
        <w:spacing w:after="0"/>
        <w:rPr>
          <w:sz w:val="20"/>
          <w:szCs w:val="20"/>
          <w:color w:val="auto"/>
        </w:rPr>
      </w:pPr>
      <w:r>
        <w:rPr>
          <w:rFonts w:ascii="Arial" w:cs="Arial" w:eastAsia="Arial" w:hAnsi="Arial"/>
          <w:sz w:val="20"/>
          <w:szCs w:val="20"/>
          <w:color w:val="auto"/>
        </w:rPr>
        <w:t>Three-Months Ended</w:t>
      </w:r>
    </w:p>
    <w:p>
      <w:pPr>
        <w:spacing w:after="0" w:line="19" w:lineRule="exact"/>
        <w:rPr>
          <w:sz w:val="20"/>
          <w:szCs w:val="20"/>
          <w:color w:val="auto"/>
        </w:rPr>
      </w:pPr>
    </w:p>
    <w:p>
      <w:pPr>
        <w:jc w:val="center"/>
        <w:ind w:left="7740"/>
        <w:spacing w:after="0"/>
        <w:rPr>
          <w:sz w:val="20"/>
          <w:szCs w:val="20"/>
          <w:color w:val="auto"/>
        </w:rPr>
      </w:pPr>
      <w:r>
        <w:rPr>
          <w:rFonts w:ascii="Arial" w:cs="Arial" w:eastAsia="Arial" w:hAnsi="Arial"/>
          <w:sz w:val="20"/>
          <w:szCs w:val="20"/>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8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2018</w:t>
            </w:r>
          </w:p>
        </w:tc>
        <w:tc>
          <w:tcPr>
            <w:tcW w:w="186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20"/>
                <w:szCs w:val="20"/>
                <w:color w:val="auto"/>
              </w:rPr>
              <w:t>2017</w:t>
            </w:r>
          </w:p>
        </w:tc>
        <w:tc>
          <w:tcPr>
            <w:tcW w:w="580" w:type="dxa"/>
            <w:vAlign w:val="bottom"/>
            <w:tcBorders>
              <w:top w:val="single" w:sz="8" w:color="auto"/>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34"/>
        </w:trPr>
        <w:tc>
          <w:tcPr>
            <w:tcW w:w="7880" w:type="dxa"/>
            <w:vAlign w:val="bottom"/>
          </w:tcPr>
          <w:p>
            <w:pPr>
              <w:spacing w:after="0"/>
              <w:rPr>
                <w:sz w:val="20"/>
                <w:szCs w:val="20"/>
                <w:color w:val="auto"/>
              </w:rPr>
            </w:pPr>
          </w:p>
        </w:tc>
        <w:tc>
          <w:tcPr>
            <w:tcW w:w="2840" w:type="dxa"/>
            <w:vAlign w:val="bottom"/>
            <w:gridSpan w:val="4"/>
          </w:tcPr>
          <w:p>
            <w:pPr>
              <w:jc w:val="right"/>
              <w:ind w:right="340"/>
              <w:spacing w:after="0"/>
              <w:rPr>
                <w:sz w:val="20"/>
                <w:szCs w:val="20"/>
                <w:color w:val="auto"/>
              </w:rPr>
            </w:pPr>
            <w:r>
              <w:rPr>
                <w:rFonts w:ascii="Arial" w:cs="Arial" w:eastAsia="Arial" w:hAnsi="Arial"/>
                <w:sz w:val="20"/>
                <w:szCs w:val="20"/>
                <w:i w:val="1"/>
                <w:iCs w:val="1"/>
                <w:color w:val="auto"/>
              </w:rPr>
              <w:t>(Tons in Thousands)</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1"/>
        </w:trPr>
        <w:tc>
          <w:tcPr>
            <w:tcW w:w="8860" w:type="dxa"/>
            <w:vAlign w:val="bottom"/>
            <w:gridSpan w:val="2"/>
            <w:shd w:val="clear" w:color="auto" w:fill="CFF0FC"/>
          </w:tcPr>
          <w:p>
            <w:pPr>
              <w:spacing w:after="0"/>
              <w:rPr>
                <w:sz w:val="20"/>
                <w:szCs w:val="20"/>
                <w:color w:val="auto"/>
              </w:rPr>
            </w:pPr>
            <w:r>
              <w:rPr>
                <w:rFonts w:ascii="Arial" w:cs="Arial" w:eastAsia="Arial" w:hAnsi="Arial"/>
                <w:sz w:val="20"/>
                <w:szCs w:val="20"/>
                <w:b w:val="1"/>
                <w:bCs w:val="1"/>
                <w:color w:val="auto"/>
              </w:rPr>
              <w:t>Shipments</w:t>
            </w: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41"/>
        </w:trPr>
        <w:tc>
          <w:tcPr>
            <w:tcW w:w="8860" w:type="dxa"/>
            <w:vAlign w:val="bottom"/>
            <w:gridSpan w:val="2"/>
          </w:tcPr>
          <w:p>
            <w:pPr>
              <w:ind w:left="260"/>
              <w:spacing w:after="0"/>
              <w:rPr>
                <w:sz w:val="20"/>
                <w:szCs w:val="20"/>
                <w:color w:val="auto"/>
              </w:rPr>
            </w:pPr>
            <w:r>
              <w:rPr>
                <w:rFonts w:ascii="Arial" w:cs="Arial" w:eastAsia="Arial" w:hAnsi="Arial"/>
                <w:sz w:val="20"/>
                <w:szCs w:val="20"/>
                <w:color w:val="auto"/>
              </w:rPr>
              <w:t>Mid-America Group</w:t>
            </w:r>
          </w:p>
        </w:tc>
        <w:tc>
          <w:tcPr>
            <w:tcW w:w="580" w:type="dxa"/>
            <w:vAlign w:val="bottom"/>
          </w:tcPr>
          <w:p>
            <w:pPr>
              <w:jc w:val="right"/>
              <w:spacing w:after="0"/>
              <w:rPr>
                <w:sz w:val="20"/>
                <w:szCs w:val="20"/>
                <w:color w:val="auto"/>
              </w:rPr>
            </w:pPr>
            <w:r>
              <w:rPr>
                <w:rFonts w:ascii="Arial" w:cs="Arial" w:eastAsia="Arial" w:hAnsi="Arial"/>
                <w:sz w:val="20"/>
                <w:szCs w:val="20"/>
                <w:color w:val="auto"/>
                <w:w w:val="88"/>
              </w:rPr>
              <w:t>11,473</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w w:val="88"/>
              </w:rPr>
              <w:t>12,738</w:t>
            </w:r>
          </w:p>
        </w:tc>
        <w:tc>
          <w:tcPr>
            <w:tcW w:w="120" w:type="dxa"/>
            <w:vAlign w:val="bottom"/>
          </w:tcPr>
          <w:p>
            <w:pPr>
              <w:spacing w:after="0"/>
              <w:rPr>
                <w:sz w:val="20"/>
                <w:szCs w:val="20"/>
                <w:color w:val="auto"/>
              </w:rPr>
            </w:pPr>
          </w:p>
        </w:tc>
      </w:tr>
      <w:tr>
        <w:trPr>
          <w:trHeight w:val="241"/>
        </w:trPr>
        <w:tc>
          <w:tcPr>
            <w:tcW w:w="8860" w:type="dxa"/>
            <w:vAlign w:val="bottom"/>
            <w:gridSpan w:val="2"/>
            <w:shd w:val="clear" w:color="auto" w:fill="CFF0FC"/>
          </w:tcPr>
          <w:p>
            <w:pPr>
              <w:ind w:left="260"/>
              <w:spacing w:after="0"/>
              <w:rPr>
                <w:sz w:val="20"/>
                <w:szCs w:val="20"/>
                <w:color w:val="auto"/>
              </w:rPr>
            </w:pPr>
            <w:r>
              <w:rPr>
                <w:rFonts w:ascii="Arial" w:cs="Arial" w:eastAsia="Arial" w:hAnsi="Arial"/>
                <w:sz w:val="20"/>
                <w:szCs w:val="20"/>
                <w:color w:val="auto"/>
              </w:rPr>
              <w:t>Southeast Group</w:t>
            </w:r>
          </w:p>
        </w:tc>
        <w:tc>
          <w:tcPr>
            <w:tcW w:w="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4,405</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5,028</w:t>
            </w:r>
          </w:p>
        </w:tc>
        <w:tc>
          <w:tcPr>
            <w:tcW w:w="120" w:type="dxa"/>
            <w:vAlign w:val="bottom"/>
            <w:shd w:val="clear" w:color="auto" w:fill="CFF0FC"/>
          </w:tcPr>
          <w:p>
            <w:pPr>
              <w:spacing w:after="0"/>
              <w:rPr>
                <w:sz w:val="20"/>
                <w:szCs w:val="20"/>
                <w:color w:val="auto"/>
              </w:rPr>
            </w:pPr>
          </w:p>
        </w:tc>
      </w:tr>
      <w:tr>
        <w:trPr>
          <w:trHeight w:val="241"/>
        </w:trPr>
        <w:tc>
          <w:tcPr>
            <w:tcW w:w="8860" w:type="dxa"/>
            <w:vAlign w:val="bottom"/>
            <w:gridSpan w:val="2"/>
          </w:tcPr>
          <w:p>
            <w:pPr>
              <w:ind w:left="260"/>
              <w:spacing w:after="0"/>
              <w:rPr>
                <w:sz w:val="20"/>
                <w:szCs w:val="20"/>
                <w:color w:val="auto"/>
              </w:rPr>
            </w:pPr>
            <w:r>
              <w:rPr>
                <w:rFonts w:ascii="Arial" w:cs="Arial" w:eastAsia="Arial" w:hAnsi="Arial"/>
                <w:sz w:val="20"/>
                <w:szCs w:val="20"/>
                <w:color w:val="auto"/>
              </w:rPr>
              <w:t>West Group</w:t>
            </w:r>
          </w:p>
        </w:tc>
        <w:tc>
          <w:tcPr>
            <w:tcW w:w="580" w:type="dxa"/>
            <w:vAlign w:val="bottom"/>
          </w:tcPr>
          <w:p>
            <w:pPr>
              <w:jc w:val="right"/>
              <w:spacing w:after="0"/>
              <w:rPr>
                <w:sz w:val="20"/>
                <w:szCs w:val="20"/>
                <w:color w:val="auto"/>
              </w:rPr>
            </w:pPr>
            <w:r>
              <w:rPr>
                <w:rFonts w:ascii="Arial" w:cs="Arial" w:eastAsia="Arial" w:hAnsi="Arial"/>
                <w:sz w:val="20"/>
                <w:szCs w:val="20"/>
                <w:color w:val="auto"/>
                <w:w w:val="88"/>
              </w:rPr>
              <w:t>14,142</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w w:val="88"/>
              </w:rPr>
              <w:t>14,845</w:t>
            </w:r>
          </w:p>
        </w:tc>
        <w:tc>
          <w:tcPr>
            <w:tcW w:w="120" w:type="dxa"/>
            <w:vAlign w:val="bottom"/>
          </w:tcPr>
          <w:p>
            <w:pPr>
              <w:spacing w:after="0"/>
              <w:rPr>
                <w:sz w:val="20"/>
                <w:szCs w:val="20"/>
                <w:color w:val="auto"/>
              </w:rPr>
            </w:pPr>
          </w:p>
        </w:tc>
      </w:tr>
      <w:tr>
        <w:trPr>
          <w:trHeight w:val="234"/>
        </w:trPr>
        <w:tc>
          <w:tcPr>
            <w:tcW w:w="7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Aggregates Product Line</w:t>
            </w:r>
          </w:p>
        </w:tc>
        <w:tc>
          <w:tcPr>
            <w:tcW w:w="980" w:type="dxa"/>
            <w:vAlign w:val="bottom"/>
            <w:tcBorders>
              <w:top w:val="single" w:sz="8" w:color="auto"/>
              <w:bottom w:val="single" w:sz="8" w:color="auto"/>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88"/>
              </w:rPr>
              <w:t>30,020</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88"/>
              </w:rPr>
              <w:t>32,611</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78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shipments data for the Building Materials business by product line.</w:t>
      </w:r>
    </w:p>
    <w:p>
      <w:pPr>
        <w:spacing w:after="0" w:line="225" w:lineRule="exact"/>
        <w:rPr>
          <w:sz w:val="20"/>
          <w:szCs w:val="20"/>
          <w:color w:val="auto"/>
        </w:rPr>
      </w:pPr>
    </w:p>
    <w:p>
      <w:pPr>
        <w:jc w:val="center"/>
        <w:ind w:left="7740"/>
        <w:spacing w:after="0"/>
        <w:rPr>
          <w:sz w:val="20"/>
          <w:szCs w:val="20"/>
          <w:color w:val="auto"/>
        </w:rPr>
      </w:pPr>
      <w:r>
        <w:rPr>
          <w:rFonts w:ascii="Arial" w:cs="Arial" w:eastAsia="Arial" w:hAnsi="Arial"/>
          <w:sz w:val="20"/>
          <w:szCs w:val="20"/>
          <w:color w:val="auto"/>
        </w:rPr>
        <w:t>Three-Months Ended</w:t>
      </w:r>
    </w:p>
    <w:p>
      <w:pPr>
        <w:spacing w:after="0" w:line="19" w:lineRule="exact"/>
        <w:rPr>
          <w:sz w:val="20"/>
          <w:szCs w:val="20"/>
          <w:color w:val="auto"/>
        </w:rPr>
      </w:pPr>
    </w:p>
    <w:p>
      <w:pPr>
        <w:jc w:val="center"/>
        <w:ind w:left="7740"/>
        <w:spacing w:after="0"/>
        <w:rPr>
          <w:sz w:val="20"/>
          <w:szCs w:val="20"/>
          <w:color w:val="auto"/>
        </w:rPr>
      </w:pPr>
      <w:r>
        <w:rPr>
          <w:rFonts w:ascii="Arial" w:cs="Arial" w:eastAsia="Arial" w:hAnsi="Arial"/>
          <w:sz w:val="20"/>
          <w:szCs w:val="20"/>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80" w:type="dxa"/>
            <w:vAlign w:val="bottom"/>
            <w:gridSpan w:val="2"/>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2018</w:t>
            </w:r>
          </w:p>
        </w:tc>
        <w:tc>
          <w:tcPr>
            <w:tcW w:w="58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8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20"/>
                <w:szCs w:val="20"/>
                <w:color w:val="auto"/>
              </w:rPr>
              <w:t>2017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880" w:type="dxa"/>
            <w:vAlign w:val="bottom"/>
            <w:gridSpan w:val="2"/>
          </w:tcPr>
          <w:p>
            <w:pPr>
              <w:spacing w:after="0"/>
              <w:rPr>
                <w:sz w:val="20"/>
                <w:szCs w:val="20"/>
                <w:color w:val="auto"/>
              </w:rPr>
            </w:pPr>
            <w:r>
              <w:rPr>
                <w:rFonts w:ascii="Arial" w:cs="Arial" w:eastAsia="Arial" w:hAnsi="Arial"/>
                <w:sz w:val="20"/>
                <w:szCs w:val="20"/>
                <w:b w:val="1"/>
                <w:bCs w:val="1"/>
                <w:color w:val="auto"/>
              </w:rPr>
              <w:t>Shipments</w:t>
            </w: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4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Aggregates Product Line (in thousands):</w:t>
            </w: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40" w:type="dxa"/>
            <w:vAlign w:val="bottom"/>
            <w:gridSpan w:val="2"/>
          </w:tcPr>
          <w:p>
            <w:pPr>
              <w:ind w:left="240"/>
              <w:spacing w:after="0"/>
              <w:rPr>
                <w:sz w:val="20"/>
                <w:szCs w:val="20"/>
                <w:color w:val="auto"/>
              </w:rPr>
            </w:pPr>
            <w:r>
              <w:rPr>
                <w:rFonts w:ascii="Arial" w:cs="Arial" w:eastAsia="Arial" w:hAnsi="Arial"/>
                <w:sz w:val="20"/>
                <w:szCs w:val="20"/>
                <w:color w:val="auto"/>
              </w:rPr>
              <w:t>Tons to external customers</w:t>
            </w:r>
          </w:p>
        </w:tc>
        <w:tc>
          <w:tcPr>
            <w:tcW w:w="580" w:type="dxa"/>
            <w:vAlign w:val="bottom"/>
          </w:tcPr>
          <w:p>
            <w:pPr>
              <w:jc w:val="right"/>
              <w:spacing w:after="0"/>
              <w:rPr>
                <w:sz w:val="20"/>
                <w:szCs w:val="20"/>
                <w:color w:val="auto"/>
              </w:rPr>
            </w:pPr>
            <w:r>
              <w:rPr>
                <w:rFonts w:ascii="Arial" w:cs="Arial" w:eastAsia="Arial" w:hAnsi="Arial"/>
                <w:sz w:val="20"/>
                <w:szCs w:val="20"/>
                <w:color w:val="auto"/>
                <w:w w:val="88"/>
              </w:rPr>
              <w:t>27,877</w:t>
            </w:r>
          </w:p>
        </w:tc>
        <w:tc>
          <w:tcPr>
            <w:tcW w:w="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30,418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4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Internal tons used in other product lines</w:t>
            </w:r>
          </w:p>
        </w:tc>
        <w:tc>
          <w:tcPr>
            <w:tcW w:w="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2,143</w:t>
            </w:r>
          </w:p>
        </w:tc>
        <w:tc>
          <w:tcPr>
            <w:tcW w:w="280" w:type="dxa"/>
            <w:vAlign w:val="bottom"/>
            <w:shd w:val="clear" w:color="auto" w:fill="CFF0FC"/>
          </w:tcPr>
          <w:p>
            <w:pPr>
              <w:spacing w:after="0"/>
              <w:rPr>
                <w:sz w:val="20"/>
                <w:szCs w:val="20"/>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2,193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7880" w:type="dxa"/>
            <w:vAlign w:val="bottom"/>
            <w:gridSpan w:val="2"/>
          </w:tcPr>
          <w:p>
            <w:pPr>
              <w:spacing w:after="0"/>
              <w:rPr>
                <w:sz w:val="20"/>
                <w:szCs w:val="20"/>
                <w:color w:val="auto"/>
              </w:rPr>
            </w:pPr>
            <w:r>
              <w:rPr>
                <w:rFonts w:ascii="Arial" w:cs="Arial" w:eastAsia="Arial" w:hAnsi="Arial"/>
                <w:sz w:val="20"/>
                <w:szCs w:val="20"/>
                <w:color w:val="auto"/>
              </w:rPr>
              <w:t>Total aggregates tons</w:t>
            </w:r>
          </w:p>
        </w:tc>
        <w:tc>
          <w:tcPr>
            <w:tcW w:w="980" w:type="dxa"/>
            <w:vAlign w:val="bottom"/>
            <w:tcBorders>
              <w:top w:val="single" w:sz="8" w:color="auto"/>
              <w:bottom w:val="single" w:sz="8" w:color="auto"/>
            </w:tcBorders>
          </w:tcPr>
          <w:p>
            <w:pPr>
              <w:spacing w:after="0"/>
              <w:rPr>
                <w:sz w:val="23"/>
                <w:szCs w:val="2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88"/>
              </w:rPr>
              <w:t>30,020</w:t>
            </w:r>
          </w:p>
        </w:tc>
        <w:tc>
          <w:tcPr>
            <w:tcW w:w="280" w:type="dxa"/>
            <w:vAlign w:val="bottom"/>
          </w:tcPr>
          <w:p>
            <w:pPr>
              <w:spacing w:after="0"/>
              <w:rPr>
                <w:sz w:val="23"/>
                <w:szCs w:val="23"/>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32,611</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7860" w:type="dxa"/>
            <w:vAlign w:val="bottom"/>
            <w:tcBorders>
              <w:top w:val="single" w:sz="8" w:color="CFF0FC"/>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158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vMerge w:val="continue"/>
          </w:tcPr>
          <w:p>
            <w:pPr>
              <w:spacing w:after="0"/>
              <w:rPr>
                <w:sz w:val="20"/>
                <w:szCs w:val="20"/>
                <w:color w:val="auto"/>
              </w:rPr>
            </w:pPr>
          </w:p>
        </w:tc>
        <w:tc>
          <w:tcPr>
            <w:tcW w:w="8840" w:type="dxa"/>
            <w:vAlign w:val="bottom"/>
            <w:gridSpan w:val="2"/>
          </w:tcPr>
          <w:p>
            <w:pPr>
              <w:spacing w:after="0"/>
              <w:rPr>
                <w:sz w:val="20"/>
                <w:szCs w:val="20"/>
                <w:color w:val="auto"/>
              </w:rPr>
            </w:pPr>
            <w:r>
              <w:rPr>
                <w:rFonts w:ascii="Arial" w:cs="Arial" w:eastAsia="Arial" w:hAnsi="Arial"/>
                <w:sz w:val="20"/>
                <w:szCs w:val="20"/>
                <w:color w:val="auto"/>
              </w:rPr>
              <w:t>Cement (in thousands):</w:t>
            </w: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40" w:type="dxa"/>
            <w:vAlign w:val="bottom"/>
            <w:gridSpan w:val="2"/>
            <w:shd w:val="clear" w:color="auto" w:fill="CFF0FC"/>
          </w:tcPr>
          <w:p>
            <w:pPr>
              <w:ind w:left="100"/>
              <w:spacing w:after="0"/>
              <w:rPr>
                <w:sz w:val="20"/>
                <w:szCs w:val="20"/>
                <w:color w:val="auto"/>
              </w:rPr>
            </w:pPr>
            <w:r>
              <w:rPr>
                <w:rFonts w:ascii="Arial" w:cs="Arial" w:eastAsia="Arial" w:hAnsi="Arial"/>
                <w:sz w:val="20"/>
                <w:szCs w:val="20"/>
                <w:color w:val="auto"/>
              </w:rPr>
              <w:t>Tons to external customers</w:t>
            </w:r>
          </w:p>
        </w:tc>
        <w:tc>
          <w:tcPr>
            <w:tcW w:w="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527</w:t>
            </w:r>
          </w:p>
        </w:tc>
        <w:tc>
          <w:tcPr>
            <w:tcW w:w="280" w:type="dxa"/>
            <w:vAlign w:val="bottom"/>
            <w:shd w:val="clear" w:color="auto" w:fill="CFF0FC"/>
          </w:tcPr>
          <w:p>
            <w:pPr>
              <w:spacing w:after="0"/>
              <w:rPr>
                <w:sz w:val="20"/>
                <w:szCs w:val="20"/>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606</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40" w:type="dxa"/>
            <w:vAlign w:val="bottom"/>
            <w:gridSpan w:val="2"/>
          </w:tcPr>
          <w:p>
            <w:pPr>
              <w:ind w:left="100"/>
              <w:spacing w:after="0"/>
              <w:rPr>
                <w:sz w:val="20"/>
                <w:szCs w:val="20"/>
                <w:color w:val="auto"/>
              </w:rPr>
            </w:pPr>
            <w:r>
              <w:rPr>
                <w:rFonts w:ascii="Arial" w:cs="Arial" w:eastAsia="Arial" w:hAnsi="Arial"/>
                <w:sz w:val="20"/>
                <w:szCs w:val="20"/>
                <w:color w:val="auto"/>
              </w:rPr>
              <w:t>Internal tons used in ready mixed concrete</w:t>
            </w:r>
          </w:p>
        </w:tc>
        <w:tc>
          <w:tcPr>
            <w:tcW w:w="580" w:type="dxa"/>
            <w:vAlign w:val="bottom"/>
          </w:tcPr>
          <w:p>
            <w:pPr>
              <w:jc w:val="right"/>
              <w:spacing w:after="0"/>
              <w:rPr>
                <w:sz w:val="20"/>
                <w:szCs w:val="20"/>
                <w:color w:val="auto"/>
              </w:rPr>
            </w:pPr>
            <w:r>
              <w:rPr>
                <w:rFonts w:ascii="Arial" w:cs="Arial" w:eastAsia="Arial" w:hAnsi="Arial"/>
                <w:sz w:val="20"/>
                <w:szCs w:val="20"/>
                <w:color w:val="auto"/>
              </w:rPr>
              <w:t>298</w:t>
            </w:r>
          </w:p>
        </w:tc>
        <w:tc>
          <w:tcPr>
            <w:tcW w:w="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299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cement tons</w:t>
            </w:r>
          </w:p>
        </w:tc>
        <w:tc>
          <w:tcPr>
            <w:tcW w:w="980" w:type="dxa"/>
            <w:vAlign w:val="bottom"/>
            <w:tcBorders>
              <w:top w:val="single" w:sz="8" w:color="auto"/>
              <w:bottom w:val="single" w:sz="8" w:color="auto"/>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825</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905</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vMerge w:val="restart"/>
          </w:tcPr>
          <w:p>
            <w:pPr>
              <w:spacing w:after="0"/>
              <w:rPr>
                <w:sz w:val="19"/>
                <w:szCs w:val="19"/>
                <w:color w:val="auto"/>
              </w:rPr>
            </w:pPr>
          </w:p>
        </w:tc>
        <w:tc>
          <w:tcPr>
            <w:tcW w:w="7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vMerge w:val="continue"/>
          </w:tcPr>
          <w:p>
            <w:pPr>
              <w:spacing w:after="0"/>
              <w:rPr>
                <w:sz w:val="20"/>
                <w:szCs w:val="20"/>
                <w:color w:val="auto"/>
              </w:rPr>
            </w:pPr>
          </w:p>
        </w:tc>
        <w:tc>
          <w:tcPr>
            <w:tcW w:w="884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Ready Mixed Concrete (in thousands of cubic yards)</w:t>
            </w:r>
          </w:p>
        </w:tc>
        <w:tc>
          <w:tcPr>
            <w:tcW w:w="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2,009</w:t>
            </w:r>
          </w:p>
        </w:tc>
        <w:tc>
          <w:tcPr>
            <w:tcW w:w="280" w:type="dxa"/>
            <w:vAlign w:val="bottom"/>
            <w:shd w:val="clear" w:color="auto" w:fill="CFF0FC"/>
          </w:tcPr>
          <w:p>
            <w:pPr>
              <w:spacing w:after="0"/>
              <w:rPr>
                <w:sz w:val="20"/>
                <w:szCs w:val="20"/>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2,056</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vMerge w:val="restart"/>
          </w:tcPr>
          <w:p>
            <w:pPr>
              <w:spacing w:after="0"/>
              <w:rPr>
                <w:sz w:val="19"/>
                <w:szCs w:val="19"/>
                <w:color w:val="auto"/>
              </w:rPr>
            </w:pPr>
          </w:p>
        </w:tc>
        <w:tc>
          <w:tcPr>
            <w:tcW w:w="7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vMerge w:val="continue"/>
          </w:tcPr>
          <w:p>
            <w:pPr>
              <w:spacing w:after="0"/>
              <w:rPr>
                <w:sz w:val="20"/>
                <w:szCs w:val="20"/>
                <w:color w:val="auto"/>
              </w:rPr>
            </w:pPr>
          </w:p>
        </w:tc>
        <w:tc>
          <w:tcPr>
            <w:tcW w:w="884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Asphalt (in thousands):</w:t>
            </w: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40" w:type="dxa"/>
            <w:vAlign w:val="bottom"/>
            <w:gridSpan w:val="2"/>
          </w:tcPr>
          <w:p>
            <w:pPr>
              <w:ind w:left="240"/>
              <w:spacing w:after="0"/>
              <w:rPr>
                <w:sz w:val="20"/>
                <w:szCs w:val="20"/>
                <w:color w:val="auto"/>
              </w:rPr>
            </w:pPr>
            <w:r>
              <w:rPr>
                <w:rFonts w:ascii="Arial" w:cs="Arial" w:eastAsia="Arial" w:hAnsi="Arial"/>
                <w:sz w:val="20"/>
                <w:szCs w:val="20"/>
                <w:color w:val="auto"/>
              </w:rPr>
              <w:t>Tons to external customers</w:t>
            </w:r>
          </w:p>
        </w:tc>
        <w:tc>
          <w:tcPr>
            <w:tcW w:w="580" w:type="dxa"/>
            <w:vAlign w:val="bottom"/>
          </w:tcPr>
          <w:p>
            <w:pPr>
              <w:jc w:val="right"/>
              <w:spacing w:after="0"/>
              <w:rPr>
                <w:sz w:val="20"/>
                <w:szCs w:val="20"/>
                <w:color w:val="auto"/>
              </w:rPr>
            </w:pPr>
            <w:r>
              <w:rPr>
                <w:rFonts w:ascii="Arial" w:cs="Arial" w:eastAsia="Arial" w:hAnsi="Arial"/>
                <w:sz w:val="20"/>
                <w:szCs w:val="20"/>
                <w:color w:val="auto"/>
              </w:rPr>
              <w:t>116</w:t>
            </w:r>
          </w:p>
        </w:tc>
        <w:tc>
          <w:tcPr>
            <w:tcW w:w="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153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4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Internal tons used in paving business</w:t>
            </w:r>
          </w:p>
        </w:tc>
        <w:tc>
          <w:tcPr>
            <w:tcW w:w="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76</w:t>
            </w:r>
          </w:p>
        </w:tc>
        <w:tc>
          <w:tcPr>
            <w:tcW w:w="280" w:type="dxa"/>
            <w:vAlign w:val="bottom"/>
            <w:shd w:val="clear" w:color="auto" w:fill="CFF0FC"/>
          </w:tcPr>
          <w:p>
            <w:pPr>
              <w:spacing w:after="0"/>
              <w:rPr>
                <w:sz w:val="20"/>
                <w:szCs w:val="20"/>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880" w:type="dxa"/>
            <w:vAlign w:val="bottom"/>
            <w:gridSpan w:val="2"/>
          </w:tcPr>
          <w:p>
            <w:pPr>
              <w:spacing w:after="0"/>
              <w:rPr>
                <w:sz w:val="20"/>
                <w:szCs w:val="20"/>
                <w:color w:val="auto"/>
              </w:rPr>
            </w:pPr>
            <w:r>
              <w:rPr>
                <w:rFonts w:ascii="Arial" w:cs="Arial" w:eastAsia="Arial" w:hAnsi="Arial"/>
                <w:sz w:val="20"/>
                <w:szCs w:val="20"/>
                <w:color w:val="auto"/>
              </w:rPr>
              <w:t>Total asphalt tons</w:t>
            </w:r>
          </w:p>
        </w:tc>
        <w:tc>
          <w:tcPr>
            <w:tcW w:w="9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192</w:t>
            </w:r>
          </w:p>
        </w:tc>
        <w:tc>
          <w:tcPr>
            <w:tcW w:w="280" w:type="dxa"/>
            <w:vAlign w:val="bottom"/>
          </w:tcPr>
          <w:p>
            <w:pPr>
              <w:spacing w:after="0"/>
              <w:rPr>
                <w:sz w:val="20"/>
                <w:szCs w:val="20"/>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277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1"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Aggregates shipments returned to levels more in-line with historical trends and patterns. Winter weather traditionally limits the ability of outdoor contractors to perform work. First quarter aggregates shipments declined 7.9% compared with the prior-year quarter when the weather was unseasonably favorable. Additionally, the volume decline was impacted by transportation logistics issues in the first quarter 2018.</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29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March 31, 2018</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line="237" w:lineRule="auto"/>
        <w:rPr>
          <w:sz w:val="20"/>
          <w:szCs w:val="20"/>
          <w:color w:val="auto"/>
        </w:rPr>
      </w:pPr>
      <w:r>
        <w:rPr>
          <w:rFonts w:ascii="Arial" w:cs="Arial" w:eastAsia="Arial" w:hAnsi="Arial"/>
          <w:sz w:val="20"/>
          <w:szCs w:val="20"/>
          <w:color w:val="auto"/>
        </w:rPr>
        <w:t>First Quarter Ended March 31, 2018</w:t>
      </w:r>
    </w:p>
    <w:p>
      <w:pPr>
        <w:jc w:val="center"/>
        <w:spacing w:after="0"/>
        <w:rPr>
          <w:sz w:val="20"/>
          <w:szCs w:val="20"/>
          <w:color w:val="auto"/>
        </w:rPr>
      </w:pPr>
      <w:r>
        <w:rPr>
          <w:rFonts w:ascii="Arial" w:cs="Arial" w:eastAsia="Arial" w:hAnsi="Arial"/>
          <w:sz w:val="20"/>
          <w:szCs w:val="20"/>
          <w:color w:val="auto"/>
        </w:rPr>
        <w:t>(Continued)</w:t>
      </w:r>
    </w:p>
    <w:p>
      <w:pPr>
        <w:spacing w:after="0" w:line="23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 xml:space="preserve">Aggregates shipments to the infrastructure market decreased 11% as significant precipitation and cold temperatures delayed the start to the construction season. As state Departments of Transportation (DOTs) and contractors continue to address labor constraints and the construction industry benefits from further regulatory reform, management remains confident that infrastructure demand will improve from the funding provided by the </w:t>
      </w:r>
      <w:r>
        <w:rPr>
          <w:rFonts w:ascii="Arial" w:cs="Arial" w:eastAsia="Arial" w:hAnsi="Arial"/>
          <w:sz w:val="20"/>
          <w:szCs w:val="20"/>
          <w:i w:val="1"/>
          <w:iCs w:val="1"/>
          <w:color w:val="auto"/>
        </w:rPr>
        <w:t>Fixing America’s Surface Transportation Act</w:t>
      </w:r>
      <w:r>
        <w:rPr>
          <w:rFonts w:ascii="Arial" w:cs="Arial" w:eastAsia="Arial" w:hAnsi="Arial"/>
          <w:sz w:val="20"/>
          <w:szCs w:val="20"/>
          <w:color w:val="auto"/>
        </w:rPr>
        <w:t xml:space="preserve"> (FAST Act) and numerous state and local transportation initiatives. Overall, aggregates shipments to the infrastructure market comprised 36% of first-quarter aggregates volumes, well below the Company’s most recent five-year average of 43%.</w:t>
      </w:r>
    </w:p>
    <w:p>
      <w:pPr>
        <w:spacing w:after="0" w:line="86"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Aggregates shipments to the nonresidential market decreased 10% overall, driven by weather-impacted challenges in office and retail construction activity. Notably, the Mideast Division, and more specifically, the Ohio District, reported strong heavy industrial growth, as a large pipeline project commenced construction after obtaining long-awaited federal clearance. Continued project approvals, coupled with higher oil prices, underpins management’s expectation that the next wave of large energy-sector projects, particularly along the Gulf Coast, should notably contribute to increased aggregates consumption. The nonresidential market represented 31% of first-quarter aggregates shipments.</w:t>
      </w:r>
    </w:p>
    <w:p>
      <w:pPr>
        <w:spacing w:after="0" w:line="43"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Aggregates shipments to the residential market, which tends to be the least weather-constrained end use, were flat for the first quarter. The outlook for residential construction remains robust across the Company’s geographic footprint, driven by favorable demographics, job growth, land availability and efficient permitting. Notably, Texas, Florida, North Carolina, Georgia, Colorado and South Carolina, key geographies for the Building Materials business, comprised six of the top ten states for growth in single-family housing unit starts for the trailing-twelve-months ended March 2018. The residential market accounted for 24% of first-quarter aggregates shipments.</w:t>
      </w:r>
    </w:p>
    <w:p>
      <w:pPr>
        <w:spacing w:after="0" w:line="7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Aggregates shipments to the ChemRock/Rail market declined 11% versus the prior-year quarter. Lower ballast shipments reflect weather constraints and the timing of certain purchases by East Coast railroads in the prior-year quarter. Additionally, in line with expectations, agricultural lime shipments declined 8%, driven by more typical winter precipitation. The ChemRock/Rail market accounted for the remaining 9% of first-quarter aggregates shipments.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Magnesia Specialties Business</w:t>
      </w:r>
    </w:p>
    <w:p>
      <w:pPr>
        <w:spacing w:after="0" w:line="105"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Magnesia Specialties reported first-quarter total revenues of $69.3 million compared with $68.6 million. Gross profit was $23.9 million compared with $22.3 million and earnings from operations were $21.2 million compared with $19.9 million. Lower contract services and maintenance costs contributed to increased profitability.</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30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March 31, 2018</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line="237" w:lineRule="auto"/>
        <w:rPr>
          <w:sz w:val="20"/>
          <w:szCs w:val="20"/>
          <w:color w:val="auto"/>
        </w:rPr>
      </w:pPr>
      <w:r>
        <w:rPr>
          <w:rFonts w:ascii="Arial" w:cs="Arial" w:eastAsia="Arial" w:hAnsi="Arial"/>
          <w:sz w:val="20"/>
          <w:szCs w:val="20"/>
          <w:color w:val="auto"/>
        </w:rPr>
        <w:t>First Quarter Ended March 31, 2018</w:t>
      </w:r>
    </w:p>
    <w:p>
      <w:pPr>
        <w:jc w:val="center"/>
        <w:spacing w:after="0"/>
        <w:rPr>
          <w:sz w:val="20"/>
          <w:szCs w:val="20"/>
          <w:color w:val="auto"/>
        </w:rPr>
      </w:pPr>
      <w:r>
        <w:rPr>
          <w:rFonts w:ascii="Arial" w:cs="Arial" w:eastAsia="Arial" w:hAnsi="Arial"/>
          <w:sz w:val="20"/>
          <w:szCs w:val="20"/>
          <w:color w:val="auto"/>
        </w:rPr>
        <w:t>(Continued)</w:t>
      </w: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Gross Profit</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presents a rollforward of consolidated gross profit (dollars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40" w:type="dxa"/>
            <w:vAlign w:val="bottom"/>
            <w:shd w:val="clear" w:color="auto" w:fill="CFF0FC"/>
          </w:tcPr>
          <w:p>
            <w:pPr>
              <w:spacing w:after="0"/>
              <w:rPr>
                <w:sz w:val="20"/>
                <w:szCs w:val="20"/>
                <w:color w:val="auto"/>
              </w:rPr>
            </w:pPr>
            <w:r>
              <w:rPr>
                <w:rFonts w:ascii="Arial" w:cs="Arial" w:eastAsia="Arial" w:hAnsi="Arial"/>
                <w:sz w:val="20"/>
                <w:szCs w:val="20"/>
                <w:color w:val="auto"/>
              </w:rPr>
              <w:t>Consolidated gross profit, quarter ended March 31, 2017</w:t>
            </w:r>
          </w:p>
        </w:tc>
        <w:tc>
          <w:tcPr>
            <w:tcW w:w="108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00" w:type="dxa"/>
            <w:vAlign w:val="bottom"/>
            <w:gridSpan w:val="3"/>
            <w:shd w:val="clear" w:color="auto" w:fill="CFF0FC"/>
          </w:tcPr>
          <w:p>
            <w:pPr>
              <w:jc w:val="right"/>
              <w:ind w:right="342"/>
              <w:spacing w:after="0"/>
              <w:rPr>
                <w:sz w:val="20"/>
                <w:szCs w:val="20"/>
                <w:color w:val="auto"/>
              </w:rPr>
            </w:pPr>
            <w:r>
              <w:rPr>
                <w:rFonts w:ascii="Arial" w:cs="Arial" w:eastAsia="Arial" w:hAnsi="Arial"/>
                <w:sz w:val="20"/>
                <w:szCs w:val="20"/>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147,067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540" w:type="dxa"/>
            <w:vAlign w:val="bottom"/>
          </w:tcPr>
          <w:p>
            <w:pPr>
              <w:spacing w:after="0"/>
              <w:rPr>
                <w:sz w:val="20"/>
                <w:szCs w:val="20"/>
                <w:color w:val="auto"/>
              </w:rPr>
            </w:pPr>
            <w:r>
              <w:rPr>
                <w:rFonts w:ascii="Arial" w:cs="Arial" w:eastAsia="Arial" w:hAnsi="Arial"/>
                <w:sz w:val="20"/>
                <w:szCs w:val="20"/>
                <w:color w:val="auto"/>
              </w:rPr>
              <w:t>Aggregates product:</w:t>
            </w:r>
          </w:p>
        </w:tc>
        <w:tc>
          <w:tcPr>
            <w:tcW w:w="10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5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Volume</w:t>
            </w:r>
          </w:p>
        </w:tc>
        <w:tc>
          <w:tcPr>
            <w:tcW w:w="108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(36,976)</w:t>
            </w:r>
          </w:p>
        </w:tc>
        <w:tc>
          <w:tcPr>
            <w:tcW w:w="0" w:type="dxa"/>
            <w:vAlign w:val="bottom"/>
          </w:tcPr>
          <w:p>
            <w:pPr>
              <w:spacing w:after="0"/>
              <w:rPr>
                <w:sz w:val="1"/>
                <w:szCs w:val="1"/>
                <w:color w:val="auto"/>
              </w:rPr>
            </w:pPr>
          </w:p>
        </w:tc>
      </w:tr>
      <w:tr>
        <w:trPr>
          <w:trHeight w:val="241"/>
        </w:trPr>
        <w:tc>
          <w:tcPr>
            <w:tcW w:w="5540" w:type="dxa"/>
            <w:vAlign w:val="bottom"/>
          </w:tcPr>
          <w:p>
            <w:pPr>
              <w:ind w:left="260"/>
              <w:spacing w:after="0"/>
              <w:rPr>
                <w:sz w:val="20"/>
                <w:szCs w:val="20"/>
                <w:color w:val="auto"/>
              </w:rPr>
            </w:pPr>
            <w:r>
              <w:rPr>
                <w:rFonts w:ascii="Arial" w:cs="Arial" w:eastAsia="Arial" w:hAnsi="Arial"/>
                <w:sz w:val="20"/>
                <w:szCs w:val="20"/>
                <w:color w:val="auto"/>
              </w:rPr>
              <w:t>Pricing</w:t>
            </w:r>
          </w:p>
        </w:tc>
        <w:tc>
          <w:tcPr>
            <w:tcW w:w="10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10,956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5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Cost increase, net</w:t>
            </w:r>
          </w:p>
        </w:tc>
        <w:tc>
          <w:tcPr>
            <w:tcW w:w="108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540" w:type="dxa"/>
            <w:vAlign w:val="bottom"/>
          </w:tcPr>
          <w:p>
            <w:pPr>
              <w:spacing w:after="0"/>
              <w:rPr>
                <w:sz w:val="20"/>
                <w:szCs w:val="20"/>
                <w:color w:val="auto"/>
              </w:rPr>
            </w:pPr>
            <w:r>
              <w:rPr>
                <w:rFonts w:ascii="Arial" w:cs="Arial" w:eastAsia="Arial" w:hAnsi="Arial"/>
                <w:sz w:val="20"/>
                <w:szCs w:val="20"/>
                <w:color w:val="auto"/>
              </w:rPr>
              <w:t>Change in aggregates product gross profit</w:t>
            </w:r>
          </w:p>
        </w:tc>
        <w:tc>
          <w:tcPr>
            <w:tcW w:w="10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(25,952)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540" w:type="dxa"/>
            <w:vAlign w:val="bottom"/>
            <w:shd w:val="clear" w:color="auto" w:fill="CFF0FC"/>
          </w:tcPr>
          <w:p>
            <w:pPr>
              <w:spacing w:after="0"/>
              <w:rPr>
                <w:sz w:val="20"/>
                <w:szCs w:val="20"/>
                <w:color w:val="auto"/>
              </w:rPr>
            </w:pPr>
            <w:r>
              <w:rPr>
                <w:rFonts w:ascii="Arial" w:cs="Arial" w:eastAsia="Arial" w:hAnsi="Arial"/>
                <w:sz w:val="20"/>
                <w:szCs w:val="20"/>
                <w:color w:val="auto"/>
              </w:rPr>
              <w:t>Cement products and downstream products and services</w:t>
            </w:r>
          </w:p>
        </w:tc>
        <w:tc>
          <w:tcPr>
            <w:tcW w:w="108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(14,094)</w:t>
            </w:r>
          </w:p>
        </w:tc>
        <w:tc>
          <w:tcPr>
            <w:tcW w:w="0" w:type="dxa"/>
            <w:vAlign w:val="bottom"/>
          </w:tcPr>
          <w:p>
            <w:pPr>
              <w:spacing w:after="0"/>
              <w:rPr>
                <w:sz w:val="1"/>
                <w:szCs w:val="1"/>
                <w:color w:val="auto"/>
              </w:rPr>
            </w:pPr>
          </w:p>
        </w:tc>
      </w:tr>
      <w:tr>
        <w:trPr>
          <w:trHeight w:val="241"/>
        </w:trPr>
        <w:tc>
          <w:tcPr>
            <w:tcW w:w="5540" w:type="dxa"/>
            <w:vAlign w:val="bottom"/>
          </w:tcPr>
          <w:p>
            <w:pPr>
              <w:spacing w:after="0"/>
              <w:rPr>
                <w:sz w:val="20"/>
                <w:szCs w:val="20"/>
                <w:color w:val="auto"/>
              </w:rPr>
            </w:pPr>
            <w:r>
              <w:rPr>
                <w:rFonts w:ascii="Arial" w:cs="Arial" w:eastAsia="Arial" w:hAnsi="Arial"/>
                <w:sz w:val="20"/>
                <w:szCs w:val="20"/>
                <w:color w:val="auto"/>
              </w:rPr>
              <w:t>Magnesia Specialties products</w:t>
            </w:r>
          </w:p>
        </w:tc>
        <w:tc>
          <w:tcPr>
            <w:tcW w:w="10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1,709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540" w:type="dxa"/>
            <w:vAlign w:val="bottom"/>
            <w:shd w:val="clear" w:color="auto" w:fill="CFF0FC"/>
          </w:tcPr>
          <w:p>
            <w:pPr>
              <w:spacing w:after="0"/>
              <w:rPr>
                <w:sz w:val="20"/>
                <w:szCs w:val="20"/>
                <w:color w:val="auto"/>
              </w:rPr>
            </w:pPr>
            <w:r>
              <w:rPr>
                <w:rFonts w:ascii="Arial" w:cs="Arial" w:eastAsia="Arial" w:hAnsi="Arial"/>
                <w:sz w:val="20"/>
                <w:szCs w:val="20"/>
                <w:color w:val="auto"/>
              </w:rPr>
              <w:t>Corporate</w:t>
            </w:r>
          </w:p>
        </w:tc>
        <w:tc>
          <w:tcPr>
            <w:tcW w:w="108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2,323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540" w:type="dxa"/>
            <w:vAlign w:val="bottom"/>
          </w:tcPr>
          <w:p>
            <w:pPr>
              <w:spacing w:after="0"/>
              <w:rPr>
                <w:sz w:val="20"/>
                <w:szCs w:val="20"/>
                <w:color w:val="auto"/>
              </w:rPr>
            </w:pPr>
            <w:r>
              <w:rPr>
                <w:rFonts w:ascii="Arial" w:cs="Arial" w:eastAsia="Arial" w:hAnsi="Arial"/>
                <w:sz w:val="20"/>
                <w:szCs w:val="20"/>
                <w:color w:val="auto"/>
              </w:rPr>
              <w:t>Freight</w:t>
            </w:r>
          </w:p>
        </w:tc>
        <w:tc>
          <w:tcPr>
            <w:tcW w:w="10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20"/>
                <w:szCs w:val="20"/>
                <w:color w:val="auto"/>
              </w:rPr>
              <w:t>(661)</w:t>
            </w:r>
          </w:p>
        </w:tc>
        <w:tc>
          <w:tcPr>
            <w:tcW w:w="0" w:type="dxa"/>
            <w:vAlign w:val="bottom"/>
          </w:tcPr>
          <w:p>
            <w:pPr>
              <w:spacing w:after="0"/>
              <w:rPr>
                <w:sz w:val="1"/>
                <w:szCs w:val="1"/>
                <w:color w:val="auto"/>
              </w:rPr>
            </w:pPr>
          </w:p>
        </w:tc>
      </w:tr>
      <w:tr>
        <w:trPr>
          <w:trHeight w:val="234"/>
        </w:trPr>
        <w:tc>
          <w:tcPr>
            <w:tcW w:w="5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20"/>
                <w:szCs w:val="20"/>
                <w:color w:val="auto"/>
              </w:rPr>
              <w:t>Change in consolidated gross profit</w:t>
            </w:r>
          </w:p>
        </w:tc>
        <w:tc>
          <w:tcPr>
            <w:tcW w:w="1080" w:type="dxa"/>
            <w:vAlign w:val="bottom"/>
            <w:tcBorders>
              <w:top w:val="single" w:sz="8" w:color="CFF0FC"/>
            </w:tcBorders>
            <w:shd w:val="clear" w:color="auto" w:fill="CFF0FC"/>
          </w:tcPr>
          <w:p>
            <w:pPr>
              <w:spacing w:after="0"/>
              <w:rPr>
                <w:sz w:val="20"/>
                <w:szCs w:val="20"/>
                <w:color w:val="auto"/>
              </w:rPr>
            </w:pPr>
          </w:p>
        </w:tc>
        <w:tc>
          <w:tcPr>
            <w:tcW w:w="1340" w:type="dxa"/>
            <w:vAlign w:val="bottom"/>
            <w:tcBorders>
              <w:top w:val="single" w:sz="8" w:color="CFF0FC"/>
            </w:tcBorders>
            <w:shd w:val="clear" w:color="auto" w:fill="CFF0FC"/>
          </w:tcPr>
          <w:p>
            <w:pPr>
              <w:spacing w:after="0"/>
              <w:rPr>
                <w:sz w:val="20"/>
                <w:szCs w:val="20"/>
                <w:color w:val="auto"/>
              </w:rPr>
            </w:pPr>
          </w:p>
        </w:tc>
        <w:tc>
          <w:tcPr>
            <w:tcW w:w="820" w:type="dxa"/>
            <w:vAlign w:val="bottom"/>
            <w:tcBorders>
              <w:top w:val="single" w:sz="8" w:color="CFF0FC"/>
            </w:tcBorders>
            <w:shd w:val="clear" w:color="auto" w:fill="CFF0FC"/>
          </w:tcPr>
          <w:p>
            <w:pPr>
              <w:spacing w:after="0"/>
              <w:rPr>
                <w:sz w:val="20"/>
                <w:szCs w:val="20"/>
                <w:color w:val="auto"/>
              </w:rPr>
            </w:pPr>
          </w:p>
        </w:tc>
        <w:tc>
          <w:tcPr>
            <w:tcW w:w="36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540" w:type="dxa"/>
            <w:vAlign w:val="bottom"/>
            <w:tcBorders>
              <w:top w:val="single" w:sz="8" w:color="auto"/>
              <w:bottom w:val="single" w:sz="8" w:color="auto"/>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(36,675)</w:t>
            </w: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540" w:type="dxa"/>
            <w:vAlign w:val="bottom"/>
          </w:tcPr>
          <w:p>
            <w:pPr>
              <w:spacing w:after="0"/>
              <w:rPr>
                <w:sz w:val="20"/>
                <w:szCs w:val="20"/>
                <w:color w:val="auto"/>
              </w:rPr>
            </w:pPr>
            <w:r>
              <w:rPr>
                <w:rFonts w:ascii="Arial" w:cs="Arial" w:eastAsia="Arial" w:hAnsi="Arial"/>
                <w:sz w:val="20"/>
                <w:szCs w:val="20"/>
                <w:color w:val="auto"/>
              </w:rPr>
              <w:t>Consolidated gross profit, quarter ended March 31, 2018</w:t>
            </w:r>
          </w:p>
        </w:tc>
        <w:tc>
          <w:tcPr>
            <w:tcW w:w="10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Borders>
              <w:bottom w:val="single" w:sz="8" w:color="auto"/>
            </w:tcBorders>
          </w:tcPr>
          <w:p>
            <w:pPr>
              <w:jc w:val="right"/>
              <w:ind w:right="342"/>
              <w:spacing w:after="0"/>
              <w:rPr>
                <w:sz w:val="20"/>
                <w:szCs w:val="20"/>
                <w:color w:val="auto"/>
              </w:rPr>
            </w:pPr>
            <w:r>
              <w:rPr>
                <w:rFonts w:ascii="Arial" w:cs="Arial" w:eastAsia="Arial" w:hAnsi="Arial"/>
                <w:sz w:val="20"/>
                <w:szCs w:val="20"/>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110,392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20"/>
                <w:szCs w:val="20"/>
                <w:color w:val="auto"/>
              </w:rPr>
              <w:t>Gross profit (loss) by business is as follows:</w:t>
            </w:r>
          </w:p>
        </w:tc>
        <w:tc>
          <w:tcPr>
            <w:tcW w:w="10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54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5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980" w:type="dxa"/>
            <w:vAlign w:val="bottom"/>
            <w:gridSpan w:val="5"/>
          </w:tcPr>
          <w:p>
            <w:pPr>
              <w:jc w:val="center"/>
              <w:spacing w:after="0"/>
              <w:rPr>
                <w:sz w:val="20"/>
                <w:szCs w:val="20"/>
                <w:color w:val="auto"/>
              </w:rPr>
            </w:pPr>
            <w:r>
              <w:rPr>
                <w:rFonts w:ascii="Arial" w:cs="Arial" w:eastAsia="Arial" w:hAnsi="Arial"/>
                <w:sz w:val="20"/>
                <w:szCs w:val="20"/>
                <w:color w:val="auto"/>
                <w:w w:val="89"/>
              </w:rPr>
              <w:t>Three-Months Ended</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5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5"/>
          </w:tcPr>
          <w:p>
            <w:pPr>
              <w:jc w:val="center"/>
              <w:spacing w:after="0"/>
              <w:rPr>
                <w:sz w:val="20"/>
                <w:szCs w:val="20"/>
                <w:color w:val="auto"/>
              </w:rPr>
            </w:pPr>
            <w:r>
              <w:rPr>
                <w:rFonts w:ascii="Arial" w:cs="Arial" w:eastAsia="Arial" w:hAnsi="Arial"/>
                <w:sz w:val="20"/>
                <w:szCs w:val="20"/>
                <w:color w:val="auto"/>
                <w:w w:val="89"/>
              </w:rPr>
              <w:t>March 31,</w:t>
            </w:r>
          </w:p>
        </w:tc>
        <w:tc>
          <w:tcPr>
            <w:tcW w:w="13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5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2018</w:t>
            </w:r>
          </w:p>
        </w:tc>
        <w:tc>
          <w:tcPr>
            <w:tcW w:w="8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802"/>
              <w:spacing w:after="0"/>
              <w:rPr>
                <w:sz w:val="20"/>
                <w:szCs w:val="20"/>
                <w:color w:val="auto"/>
              </w:rPr>
            </w:pPr>
            <w:r>
              <w:rPr>
                <w:rFonts w:ascii="Arial" w:cs="Arial" w:eastAsia="Arial" w:hAnsi="Arial"/>
                <w:sz w:val="20"/>
                <w:szCs w:val="20"/>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5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980" w:type="dxa"/>
            <w:vAlign w:val="bottom"/>
            <w:gridSpan w:val="5"/>
          </w:tcPr>
          <w:p>
            <w:pPr>
              <w:jc w:val="center"/>
              <w:spacing w:after="0"/>
              <w:rPr>
                <w:sz w:val="20"/>
                <w:szCs w:val="20"/>
                <w:color w:val="auto"/>
              </w:rPr>
            </w:pPr>
            <w:r>
              <w:rPr>
                <w:rFonts w:ascii="Arial" w:cs="Arial" w:eastAsia="Arial" w:hAnsi="Arial"/>
                <w:sz w:val="20"/>
                <w:szCs w:val="20"/>
                <w:i w:val="1"/>
                <w:iCs w:val="1"/>
                <w:color w:val="auto"/>
                <w:w w:val="91"/>
              </w:rPr>
              <w:t>(Dollars in Thousands)</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54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Gross profit (loss):</w:t>
            </w:r>
          </w:p>
        </w:tc>
        <w:tc>
          <w:tcPr>
            <w:tcW w:w="108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540" w:type="dxa"/>
            <w:vAlign w:val="bottom"/>
          </w:tcPr>
          <w:p>
            <w:pPr>
              <w:spacing w:after="0"/>
              <w:rPr>
                <w:sz w:val="20"/>
                <w:szCs w:val="20"/>
                <w:color w:val="auto"/>
              </w:rPr>
            </w:pPr>
            <w:r>
              <w:rPr>
                <w:rFonts w:ascii="Arial" w:cs="Arial" w:eastAsia="Arial" w:hAnsi="Arial"/>
                <w:sz w:val="20"/>
                <w:szCs w:val="20"/>
                <w:color w:val="auto"/>
              </w:rPr>
              <w:t>Products and services:</w:t>
            </w:r>
          </w:p>
        </w:tc>
        <w:tc>
          <w:tcPr>
            <w:tcW w:w="10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540" w:type="dxa"/>
            <w:vAlign w:val="bottom"/>
            <w:shd w:val="clear" w:color="auto" w:fill="CFF0FC"/>
          </w:tcPr>
          <w:p>
            <w:pPr>
              <w:spacing w:after="0"/>
              <w:rPr>
                <w:sz w:val="20"/>
                <w:szCs w:val="20"/>
                <w:color w:val="auto"/>
              </w:rPr>
            </w:pPr>
            <w:r>
              <w:rPr>
                <w:rFonts w:ascii="Arial" w:cs="Arial" w:eastAsia="Arial" w:hAnsi="Arial"/>
                <w:sz w:val="20"/>
                <w:szCs w:val="20"/>
                <w:color w:val="auto"/>
              </w:rPr>
              <w:t>Building Materials Business</w:t>
            </w:r>
          </w:p>
        </w:tc>
        <w:tc>
          <w:tcPr>
            <w:tcW w:w="108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540" w:type="dxa"/>
            <w:vAlign w:val="bottom"/>
          </w:tcPr>
          <w:p>
            <w:pPr>
              <w:ind w:left="260"/>
              <w:spacing w:after="0"/>
              <w:rPr>
                <w:sz w:val="20"/>
                <w:szCs w:val="20"/>
                <w:color w:val="auto"/>
              </w:rPr>
            </w:pPr>
            <w:r>
              <w:rPr>
                <w:rFonts w:ascii="Arial" w:cs="Arial" w:eastAsia="Arial" w:hAnsi="Arial"/>
                <w:sz w:val="20"/>
                <w:szCs w:val="20"/>
                <w:color w:val="auto"/>
              </w:rPr>
              <w:t>Aggregates</w:t>
            </w:r>
          </w:p>
        </w:tc>
        <w:tc>
          <w:tcPr>
            <w:tcW w:w="2420" w:type="dxa"/>
            <w:vAlign w:val="bottom"/>
            <w:gridSpan w:val="2"/>
          </w:tcPr>
          <w:p>
            <w:pPr>
              <w:jc w:val="right"/>
              <w:ind w:right="1142"/>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53,002</w:t>
            </w:r>
          </w:p>
        </w:tc>
        <w:tc>
          <w:tcPr>
            <w:tcW w:w="360" w:type="dxa"/>
            <w:vAlign w:val="bottom"/>
          </w:tcPr>
          <w:p>
            <w:pPr>
              <w:spacing w:after="0"/>
              <w:rPr>
                <w:sz w:val="20"/>
                <w:szCs w:val="20"/>
                <w:color w:val="auto"/>
              </w:rPr>
            </w:pPr>
          </w:p>
        </w:tc>
        <w:tc>
          <w:tcPr>
            <w:tcW w:w="260" w:type="dxa"/>
            <w:vAlign w:val="bottom"/>
            <w:gridSpan w:val="2"/>
          </w:tcPr>
          <w:p>
            <w:pPr>
              <w:jc w:val="right"/>
              <w:ind w:right="84"/>
              <w:spacing w:after="0"/>
              <w:rPr>
                <w:sz w:val="20"/>
                <w:szCs w:val="20"/>
                <w:color w:val="auto"/>
              </w:rPr>
            </w:pPr>
            <w:r>
              <w:rPr>
                <w:rFonts w:ascii="Arial" w:cs="Arial" w:eastAsia="Arial" w:hAnsi="Arial"/>
                <w:sz w:val="20"/>
                <w:szCs w:val="20"/>
                <w:color w:val="auto"/>
                <w:w w:val="71"/>
              </w:rPr>
              <w:t>$</w:t>
            </w:r>
          </w:p>
        </w:tc>
        <w:tc>
          <w:tcPr>
            <w:tcW w:w="5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78,954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5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Cement</w:t>
            </w:r>
          </w:p>
        </w:tc>
        <w:tc>
          <w:tcPr>
            <w:tcW w:w="108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23,734</w:t>
            </w:r>
          </w:p>
        </w:tc>
        <w:tc>
          <w:tcPr>
            <w:tcW w:w="3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30,780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540" w:type="dxa"/>
            <w:vAlign w:val="bottom"/>
          </w:tcPr>
          <w:p>
            <w:pPr>
              <w:ind w:left="260"/>
              <w:spacing w:after="0"/>
              <w:rPr>
                <w:sz w:val="20"/>
                <w:szCs w:val="20"/>
                <w:color w:val="auto"/>
              </w:rPr>
            </w:pPr>
            <w:r>
              <w:rPr>
                <w:rFonts w:ascii="Arial" w:cs="Arial" w:eastAsia="Arial" w:hAnsi="Arial"/>
                <w:sz w:val="20"/>
                <w:szCs w:val="20"/>
                <w:color w:val="auto"/>
              </w:rPr>
              <w:t>Ready Mixed Concrete</w:t>
            </w:r>
          </w:p>
        </w:tc>
        <w:tc>
          <w:tcPr>
            <w:tcW w:w="10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15,641</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19,790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5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Asphalt and Paving</w:t>
            </w:r>
          </w:p>
        </w:tc>
        <w:tc>
          <w:tcPr>
            <w:tcW w:w="108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20"/>
                <w:szCs w:val="20"/>
                <w:color w:val="auto"/>
              </w:rPr>
              <w:t>(7,639)</w:t>
            </w: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(4,740)</w:t>
            </w:r>
          </w:p>
        </w:tc>
        <w:tc>
          <w:tcPr>
            <w:tcW w:w="0" w:type="dxa"/>
            <w:vAlign w:val="bottom"/>
          </w:tcPr>
          <w:p>
            <w:pPr>
              <w:spacing w:after="0"/>
              <w:rPr>
                <w:sz w:val="1"/>
                <w:szCs w:val="1"/>
                <w:color w:val="auto"/>
              </w:rPr>
            </w:pPr>
          </w:p>
        </w:tc>
      </w:tr>
      <w:tr>
        <w:trPr>
          <w:trHeight w:val="234"/>
        </w:trPr>
        <w:tc>
          <w:tcPr>
            <w:tcW w:w="5540" w:type="dxa"/>
            <w:vAlign w:val="bottom"/>
          </w:tcPr>
          <w:p>
            <w:pPr>
              <w:ind w:left="120"/>
              <w:spacing w:after="0"/>
              <w:rPr>
                <w:sz w:val="20"/>
                <w:szCs w:val="20"/>
                <w:color w:val="auto"/>
              </w:rPr>
            </w:pPr>
            <w:r>
              <w:rPr>
                <w:rFonts w:ascii="Arial" w:cs="Arial" w:eastAsia="Arial" w:hAnsi="Arial"/>
                <w:sz w:val="20"/>
                <w:szCs w:val="20"/>
                <w:color w:val="auto"/>
              </w:rPr>
              <w:t>Products and services</w:t>
            </w:r>
          </w:p>
        </w:tc>
        <w:tc>
          <w:tcPr>
            <w:tcW w:w="1080" w:type="dxa"/>
            <w:vAlign w:val="bottom"/>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84,738</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124,784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540" w:type="dxa"/>
            <w:vAlign w:val="bottom"/>
            <w:shd w:val="clear" w:color="auto" w:fill="CFF0FC"/>
          </w:tcPr>
          <w:p>
            <w:pPr>
              <w:ind w:left="120"/>
              <w:spacing w:after="0"/>
              <w:rPr>
                <w:sz w:val="20"/>
                <w:szCs w:val="20"/>
                <w:color w:val="auto"/>
              </w:rPr>
            </w:pPr>
            <w:r>
              <w:rPr>
                <w:rFonts w:ascii="Arial" w:cs="Arial" w:eastAsia="Arial" w:hAnsi="Arial"/>
                <w:sz w:val="20"/>
                <w:szCs w:val="20"/>
                <w:color w:val="auto"/>
              </w:rPr>
              <w:t>Freight</w:t>
            </w:r>
          </w:p>
        </w:tc>
        <w:tc>
          <w:tcPr>
            <w:tcW w:w="108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20"/>
                <w:szCs w:val="20"/>
                <w:color w:val="auto"/>
              </w:rPr>
              <w:t>(119)</w:t>
            </w: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407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540" w:type="dxa"/>
            <w:vAlign w:val="bottom"/>
          </w:tcPr>
          <w:p>
            <w:pPr>
              <w:spacing w:after="0"/>
              <w:rPr>
                <w:sz w:val="20"/>
                <w:szCs w:val="20"/>
                <w:color w:val="auto"/>
              </w:rPr>
            </w:pPr>
            <w:r>
              <w:rPr>
                <w:rFonts w:ascii="Arial" w:cs="Arial" w:eastAsia="Arial" w:hAnsi="Arial"/>
                <w:sz w:val="20"/>
                <w:szCs w:val="20"/>
                <w:color w:val="auto"/>
              </w:rPr>
              <w:t>Total Building Materials Business</w:t>
            </w:r>
          </w:p>
        </w:tc>
        <w:tc>
          <w:tcPr>
            <w:tcW w:w="1080" w:type="dxa"/>
            <w:vAlign w:val="bottom"/>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84,619</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125,191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540" w:type="dxa"/>
            <w:vAlign w:val="bottom"/>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108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540" w:type="dxa"/>
            <w:vAlign w:val="bottom"/>
          </w:tcPr>
          <w:p>
            <w:pPr>
              <w:ind w:left="120"/>
              <w:spacing w:after="0"/>
              <w:rPr>
                <w:sz w:val="20"/>
                <w:szCs w:val="20"/>
                <w:color w:val="auto"/>
              </w:rPr>
            </w:pPr>
            <w:r>
              <w:rPr>
                <w:rFonts w:ascii="Arial" w:cs="Arial" w:eastAsia="Arial" w:hAnsi="Arial"/>
                <w:sz w:val="20"/>
                <w:szCs w:val="20"/>
                <w:color w:val="auto"/>
              </w:rPr>
              <w:t>Products and services</w:t>
            </w:r>
          </w:p>
        </w:tc>
        <w:tc>
          <w:tcPr>
            <w:tcW w:w="10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25,063</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23,354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540" w:type="dxa"/>
            <w:vAlign w:val="bottom"/>
            <w:shd w:val="clear" w:color="auto" w:fill="CFF0FC"/>
          </w:tcPr>
          <w:p>
            <w:pPr>
              <w:ind w:left="120"/>
              <w:spacing w:after="0"/>
              <w:rPr>
                <w:sz w:val="20"/>
                <w:szCs w:val="20"/>
                <w:color w:val="auto"/>
              </w:rPr>
            </w:pPr>
            <w:r>
              <w:rPr>
                <w:rFonts w:ascii="Arial" w:cs="Arial" w:eastAsia="Arial" w:hAnsi="Arial"/>
                <w:sz w:val="20"/>
                <w:szCs w:val="20"/>
                <w:color w:val="auto"/>
              </w:rPr>
              <w:t>Freight</w:t>
            </w:r>
          </w:p>
        </w:tc>
        <w:tc>
          <w:tcPr>
            <w:tcW w:w="108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20"/>
                <w:szCs w:val="20"/>
                <w:color w:val="auto"/>
              </w:rPr>
              <w:t>(1,174)</w:t>
            </w: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(1,039)</w:t>
            </w:r>
          </w:p>
        </w:tc>
        <w:tc>
          <w:tcPr>
            <w:tcW w:w="0" w:type="dxa"/>
            <w:vAlign w:val="bottom"/>
          </w:tcPr>
          <w:p>
            <w:pPr>
              <w:spacing w:after="0"/>
              <w:rPr>
                <w:sz w:val="1"/>
                <w:szCs w:val="1"/>
                <w:color w:val="auto"/>
              </w:rPr>
            </w:pPr>
          </w:p>
        </w:tc>
      </w:tr>
      <w:tr>
        <w:trPr>
          <w:trHeight w:val="234"/>
        </w:trPr>
        <w:tc>
          <w:tcPr>
            <w:tcW w:w="5540" w:type="dxa"/>
            <w:vAlign w:val="bottom"/>
          </w:tcPr>
          <w:p>
            <w:pPr>
              <w:spacing w:after="0"/>
              <w:rPr>
                <w:sz w:val="20"/>
                <w:szCs w:val="20"/>
                <w:color w:val="auto"/>
              </w:rPr>
            </w:pPr>
            <w:r>
              <w:rPr>
                <w:rFonts w:ascii="Arial" w:cs="Arial" w:eastAsia="Arial" w:hAnsi="Arial"/>
                <w:sz w:val="20"/>
                <w:szCs w:val="20"/>
                <w:color w:val="auto"/>
              </w:rPr>
              <w:t>Total Magnesia Specialties</w:t>
            </w:r>
          </w:p>
        </w:tc>
        <w:tc>
          <w:tcPr>
            <w:tcW w:w="1080" w:type="dxa"/>
            <w:vAlign w:val="bottom"/>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23,889</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22,315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540" w:type="dxa"/>
            <w:vAlign w:val="bottom"/>
            <w:shd w:val="clear" w:color="auto" w:fill="CFF0FC"/>
          </w:tcPr>
          <w:p>
            <w:pPr>
              <w:spacing w:after="0"/>
              <w:rPr>
                <w:sz w:val="20"/>
                <w:szCs w:val="20"/>
                <w:color w:val="auto"/>
              </w:rPr>
            </w:pPr>
            <w:r>
              <w:rPr>
                <w:rFonts w:ascii="Arial" w:cs="Arial" w:eastAsia="Arial" w:hAnsi="Arial"/>
                <w:sz w:val="20"/>
                <w:szCs w:val="20"/>
                <w:color w:val="auto"/>
              </w:rPr>
              <w:t>Corporate</w:t>
            </w:r>
          </w:p>
        </w:tc>
        <w:tc>
          <w:tcPr>
            <w:tcW w:w="108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1,884</w:t>
            </w:r>
          </w:p>
        </w:tc>
        <w:tc>
          <w:tcPr>
            <w:tcW w:w="3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(439)</w:t>
            </w:r>
          </w:p>
        </w:tc>
        <w:tc>
          <w:tcPr>
            <w:tcW w:w="0" w:type="dxa"/>
            <w:vAlign w:val="bottom"/>
          </w:tcPr>
          <w:p>
            <w:pPr>
              <w:spacing w:after="0"/>
              <w:rPr>
                <w:sz w:val="1"/>
                <w:szCs w:val="1"/>
                <w:color w:val="auto"/>
              </w:rPr>
            </w:pPr>
          </w:p>
        </w:tc>
      </w:tr>
      <w:tr>
        <w:trPr>
          <w:trHeight w:val="234"/>
        </w:trPr>
        <w:tc>
          <w:tcPr>
            <w:tcW w:w="5540" w:type="dxa"/>
            <w:vAlign w:val="bottom"/>
          </w:tcPr>
          <w:p>
            <w:pPr>
              <w:spacing w:after="0"/>
              <w:rPr>
                <w:sz w:val="20"/>
                <w:szCs w:val="20"/>
                <w:color w:val="auto"/>
              </w:rPr>
            </w:pPr>
            <w:r>
              <w:rPr>
                <w:rFonts w:ascii="Arial" w:cs="Arial" w:eastAsia="Arial" w:hAnsi="Arial"/>
                <w:sz w:val="20"/>
                <w:szCs w:val="20"/>
                <w:color w:val="auto"/>
              </w:rPr>
              <w:t>Total</w:t>
            </w:r>
          </w:p>
        </w:tc>
        <w:tc>
          <w:tcPr>
            <w:tcW w:w="1080" w:type="dxa"/>
            <w:vAlign w:val="bottom"/>
          </w:tcPr>
          <w:p>
            <w:pPr>
              <w:spacing w:after="0"/>
              <w:rPr>
                <w:sz w:val="20"/>
                <w:szCs w:val="20"/>
                <w:color w:val="auto"/>
              </w:rPr>
            </w:pPr>
          </w:p>
        </w:tc>
        <w:tc>
          <w:tcPr>
            <w:tcW w:w="1340" w:type="dxa"/>
            <w:vAlign w:val="bottom"/>
            <w:tcBorders>
              <w:top w:val="single" w:sz="8" w:color="auto"/>
              <w:bottom w:val="single" w:sz="8" w:color="auto"/>
            </w:tcBorders>
          </w:tcPr>
          <w:p>
            <w:pPr>
              <w:jc w:val="right"/>
              <w:ind w:right="1142"/>
              <w:spacing w:after="0"/>
              <w:rPr>
                <w:sz w:val="20"/>
                <w:szCs w:val="20"/>
                <w:color w:val="auto"/>
              </w:rPr>
            </w:pPr>
            <w:r>
              <w:rPr>
                <w:rFonts w:ascii="Arial" w:cs="Arial" w:eastAsia="Arial" w:hAnsi="Arial"/>
                <w:sz w:val="20"/>
                <w:szCs w:val="2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110,392</w:t>
            </w:r>
          </w:p>
        </w:tc>
        <w:tc>
          <w:tcPr>
            <w:tcW w:w="3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147,067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31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March 31, 2018</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line="237" w:lineRule="auto"/>
        <w:rPr>
          <w:sz w:val="20"/>
          <w:szCs w:val="20"/>
          <w:color w:val="auto"/>
        </w:rPr>
      </w:pPr>
      <w:r>
        <w:rPr>
          <w:rFonts w:ascii="Arial" w:cs="Arial" w:eastAsia="Arial" w:hAnsi="Arial"/>
          <w:sz w:val="20"/>
          <w:szCs w:val="20"/>
          <w:color w:val="auto"/>
        </w:rPr>
        <w:t>First Quarter Ended March 31, 2018</w:t>
      </w:r>
    </w:p>
    <w:p>
      <w:pPr>
        <w:jc w:val="center"/>
        <w:spacing w:after="0"/>
        <w:rPr>
          <w:sz w:val="20"/>
          <w:szCs w:val="20"/>
          <w:color w:val="auto"/>
        </w:rPr>
      </w:pPr>
      <w:r>
        <w:rPr>
          <w:rFonts w:ascii="Arial" w:cs="Arial" w:eastAsia="Arial" w:hAnsi="Arial"/>
          <w:sz w:val="20"/>
          <w:szCs w:val="20"/>
          <w:color w:val="auto"/>
        </w:rPr>
        <w:t>(Continued)</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Cement outage costs, which reflect planned and unplanned plant shutdowns, were $7.3 million for the quarter compared with $4.4 million for the prior-year quarter.</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Consolidated Operating Results</w:t>
      </w:r>
    </w:p>
    <w:p>
      <w:pPr>
        <w:spacing w:after="0" w:line="105"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Consolidated SG&amp;A was 8.7% of total revenues compared with 8.2% in the prior-year quarter. The increase of 50 basis points reflects the negative impact of weather on total revenues. Earnings from operations for the quarter were $39.1 million compared with $77.2 million in 2017.</w:t>
      </w:r>
    </w:p>
    <w:p>
      <w:pPr>
        <w:spacing w:after="0" w:line="79" w:lineRule="exact"/>
        <w:rPr>
          <w:sz w:val="20"/>
          <w:szCs w:val="20"/>
          <w:color w:val="auto"/>
        </w:rPr>
      </w:pPr>
    </w:p>
    <w:p>
      <w:pPr>
        <w:jc w:val="both"/>
        <w:ind w:right="20"/>
        <w:spacing w:after="0" w:line="312" w:lineRule="auto"/>
        <w:rPr>
          <w:sz w:val="20"/>
          <w:szCs w:val="20"/>
          <w:color w:val="auto"/>
        </w:rPr>
      </w:pPr>
      <w:r>
        <w:rPr>
          <w:rFonts w:ascii="Arial" w:cs="Arial" w:eastAsia="Arial" w:hAnsi="Arial"/>
          <w:sz w:val="17"/>
          <w:szCs w:val="17"/>
          <w:color w:val="auto"/>
        </w:rPr>
        <w:t>Among other items, other operating expense, net, includes gains and losses on the sale of assets; recoveries and writeoffs related to customer accounts receivable; rental, royalty and services income; accretion expense, depreciation expense and gains and losses related to asset retirement obligations. For the first quarter, consolidated other operating expense, net, was $0.5 million in 2018 and $0.4 million in 2017.</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Other nonoperating income, net, includes interest income; pension and postretirement benefit cost, excluding service cost; foreign currency transaction gains and losses; equity in earnings or losses of nonconsolidated affiliates and other miscellaneous income. For the first quarter, nonoperating income, net, was $8.5 million and $0.5 million in 2018 and 2017, respectively. Nonoperating income, net, for 2018 reflects a $5.2 million increase in interest income and an increase in equity investment income.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LIQUIDITY AND CAPITAL RESOURCES</w:t>
      </w:r>
    </w:p>
    <w:p>
      <w:pPr>
        <w:spacing w:after="0" w:line="105"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Cash provided by operating activities for the three-months ended March 31 was $105.0 million in 2018 compared with $73.9 million in 2017. Operating cash flow is primarily derived from consolidated net earnings before deducting depreciation, depletion and amortization, and the impact of changes in working capital. Depreciation, depletion and amortization were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880" w:type="dxa"/>
            <w:vAlign w:val="bottom"/>
            <w:gridSpan w:val="4"/>
          </w:tcPr>
          <w:p>
            <w:pPr>
              <w:jc w:val="center"/>
              <w:ind w:left="482"/>
              <w:spacing w:after="0"/>
              <w:rPr>
                <w:sz w:val="20"/>
                <w:szCs w:val="20"/>
                <w:color w:val="auto"/>
              </w:rPr>
            </w:pPr>
            <w:r>
              <w:rPr>
                <w:rFonts w:ascii="Arial" w:cs="Arial" w:eastAsia="Arial" w:hAnsi="Arial"/>
                <w:sz w:val="20"/>
                <w:szCs w:val="20"/>
                <w:color w:val="auto"/>
                <w:w w:val="88"/>
              </w:rPr>
              <w:t>Three-Months Ended</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4"/>
        </w:trPr>
        <w:tc>
          <w:tcPr>
            <w:tcW w:w="446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center"/>
              <w:ind w:right="342"/>
              <w:spacing w:after="0"/>
              <w:rPr>
                <w:sz w:val="20"/>
                <w:szCs w:val="20"/>
                <w:color w:val="auto"/>
              </w:rPr>
            </w:pPr>
            <w:r>
              <w:rPr>
                <w:rFonts w:ascii="Arial" w:cs="Arial" w:eastAsia="Arial" w:hAnsi="Arial"/>
                <w:sz w:val="20"/>
                <w:szCs w:val="20"/>
                <w:color w:val="auto"/>
                <w:w w:val="92"/>
              </w:rPr>
              <w:t>March 31,</w:t>
            </w:r>
          </w:p>
        </w:tc>
        <w:tc>
          <w:tcPr>
            <w:tcW w:w="5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4"/>
        </w:trPr>
        <w:tc>
          <w:tcPr>
            <w:tcW w:w="44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2018</w:t>
            </w:r>
          </w:p>
        </w:tc>
        <w:tc>
          <w:tcPr>
            <w:tcW w:w="5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2017</w:t>
            </w:r>
          </w:p>
        </w:tc>
        <w:tc>
          <w:tcPr>
            <w:tcW w:w="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34"/>
        </w:trPr>
        <w:tc>
          <w:tcPr>
            <w:tcW w:w="44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880" w:type="dxa"/>
            <w:vAlign w:val="bottom"/>
            <w:gridSpan w:val="4"/>
          </w:tcPr>
          <w:p>
            <w:pPr>
              <w:jc w:val="center"/>
              <w:ind w:left="482"/>
              <w:spacing w:after="0"/>
              <w:rPr>
                <w:sz w:val="20"/>
                <w:szCs w:val="20"/>
                <w:color w:val="auto"/>
              </w:rPr>
            </w:pPr>
            <w:r>
              <w:rPr>
                <w:rFonts w:ascii="Arial" w:cs="Arial" w:eastAsia="Arial" w:hAnsi="Arial"/>
                <w:sz w:val="20"/>
                <w:szCs w:val="20"/>
                <w:i w:val="1"/>
                <w:iCs w:val="1"/>
                <w:color w:val="auto"/>
                <w:w w:val="90"/>
              </w:rPr>
              <w:t>(Dollars in Thousands)</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1"/>
        </w:trPr>
        <w:tc>
          <w:tcPr>
            <w:tcW w:w="4460" w:type="dxa"/>
            <w:vAlign w:val="bottom"/>
            <w:shd w:val="clear" w:color="auto" w:fill="CFF0FC"/>
          </w:tcPr>
          <w:p>
            <w:pPr>
              <w:spacing w:after="0"/>
              <w:rPr>
                <w:sz w:val="20"/>
                <w:szCs w:val="20"/>
                <w:color w:val="auto"/>
              </w:rPr>
            </w:pPr>
            <w:r>
              <w:rPr>
                <w:rFonts w:ascii="Arial" w:cs="Arial" w:eastAsia="Arial" w:hAnsi="Arial"/>
                <w:sz w:val="20"/>
                <w:szCs w:val="20"/>
                <w:color w:val="auto"/>
              </w:rPr>
              <w:t>Depreciation</w:t>
            </w:r>
          </w:p>
        </w:tc>
        <w:tc>
          <w:tcPr>
            <w:tcW w:w="4400" w:type="dxa"/>
            <w:vAlign w:val="bottom"/>
            <w:gridSpan w:val="2"/>
            <w:shd w:val="clear" w:color="auto" w:fill="CFF0FC"/>
          </w:tcPr>
          <w:p>
            <w:pPr>
              <w:jc w:val="right"/>
              <w:ind w:right="822"/>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8"/>
              </w:rPr>
              <w:t>69,151</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822"/>
              <w:spacing w:after="0"/>
              <w:rPr>
                <w:sz w:val="20"/>
                <w:szCs w:val="20"/>
                <w:color w:val="auto"/>
              </w:rPr>
            </w:pPr>
            <w:r>
              <w:rPr>
                <w:rFonts w:ascii="Arial" w:cs="Arial" w:eastAsia="Arial" w:hAnsi="Arial"/>
                <w:sz w:val="20"/>
                <w:szCs w:val="20"/>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8"/>
              </w:rPr>
              <w:t>62,988</w:t>
            </w:r>
          </w:p>
        </w:tc>
        <w:tc>
          <w:tcPr>
            <w:tcW w:w="120" w:type="dxa"/>
            <w:vAlign w:val="bottom"/>
            <w:shd w:val="clear" w:color="auto" w:fill="CFF0FC"/>
          </w:tcPr>
          <w:p>
            <w:pPr>
              <w:spacing w:after="0"/>
              <w:rPr>
                <w:sz w:val="20"/>
                <w:szCs w:val="20"/>
                <w:color w:val="auto"/>
              </w:rPr>
            </w:pPr>
          </w:p>
        </w:tc>
      </w:tr>
      <w:tr>
        <w:trPr>
          <w:trHeight w:val="241"/>
        </w:trPr>
        <w:tc>
          <w:tcPr>
            <w:tcW w:w="4460" w:type="dxa"/>
            <w:vAlign w:val="bottom"/>
          </w:tcPr>
          <w:p>
            <w:pPr>
              <w:spacing w:after="0"/>
              <w:rPr>
                <w:sz w:val="20"/>
                <w:szCs w:val="20"/>
                <w:color w:val="auto"/>
              </w:rPr>
            </w:pPr>
            <w:r>
              <w:rPr>
                <w:rFonts w:ascii="Arial" w:cs="Arial" w:eastAsia="Arial" w:hAnsi="Arial"/>
                <w:sz w:val="20"/>
                <w:szCs w:val="20"/>
                <w:color w:val="auto"/>
              </w:rPr>
              <w:t>Depletion</w:t>
            </w:r>
          </w:p>
        </w:tc>
        <w:tc>
          <w:tcPr>
            <w:tcW w:w="3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3,141</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rPr>
              <w:t>3,436</w:t>
            </w:r>
          </w:p>
        </w:tc>
        <w:tc>
          <w:tcPr>
            <w:tcW w:w="120" w:type="dxa"/>
            <w:vAlign w:val="bottom"/>
          </w:tcPr>
          <w:p>
            <w:pPr>
              <w:spacing w:after="0"/>
              <w:rPr>
                <w:sz w:val="20"/>
                <w:szCs w:val="20"/>
                <w:color w:val="auto"/>
              </w:rPr>
            </w:pPr>
          </w:p>
        </w:tc>
      </w:tr>
      <w:tr>
        <w:trPr>
          <w:trHeight w:val="241"/>
        </w:trPr>
        <w:tc>
          <w:tcPr>
            <w:tcW w:w="4460" w:type="dxa"/>
            <w:vAlign w:val="bottom"/>
            <w:shd w:val="clear" w:color="auto" w:fill="CFF0FC"/>
          </w:tcPr>
          <w:p>
            <w:pPr>
              <w:spacing w:after="0"/>
              <w:rPr>
                <w:sz w:val="20"/>
                <w:szCs w:val="20"/>
                <w:color w:val="auto"/>
              </w:rPr>
            </w:pPr>
            <w:r>
              <w:rPr>
                <w:rFonts w:ascii="Arial" w:cs="Arial" w:eastAsia="Arial" w:hAnsi="Arial"/>
                <w:sz w:val="20"/>
                <w:szCs w:val="20"/>
                <w:color w:val="auto"/>
              </w:rPr>
              <w:t>Amortization</w:t>
            </w:r>
          </w:p>
        </w:tc>
        <w:tc>
          <w:tcPr>
            <w:tcW w:w="3380" w:type="dxa"/>
            <w:vAlign w:val="bottom"/>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4,529</w:t>
            </w:r>
          </w:p>
        </w:tc>
        <w:tc>
          <w:tcPr>
            <w:tcW w:w="280" w:type="dxa"/>
            <w:vAlign w:val="bottom"/>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3,952</w:t>
            </w:r>
          </w:p>
        </w:tc>
        <w:tc>
          <w:tcPr>
            <w:tcW w:w="120" w:type="dxa"/>
            <w:vAlign w:val="bottom"/>
            <w:shd w:val="clear" w:color="auto" w:fill="CFF0FC"/>
          </w:tcPr>
          <w:p>
            <w:pPr>
              <w:spacing w:after="0"/>
              <w:rPr>
                <w:sz w:val="20"/>
                <w:szCs w:val="20"/>
                <w:color w:val="auto"/>
              </w:rPr>
            </w:pPr>
          </w:p>
        </w:tc>
      </w:tr>
      <w:tr>
        <w:trPr>
          <w:trHeight w:val="234"/>
        </w:trPr>
        <w:tc>
          <w:tcPr>
            <w:tcW w:w="44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020" w:type="dxa"/>
            <w:vAlign w:val="bottom"/>
            <w:tcBorders>
              <w:bottom w:val="single" w:sz="8" w:color="auto"/>
            </w:tcBorders>
          </w:tcPr>
          <w:p>
            <w:pPr>
              <w:jc w:val="right"/>
              <w:ind w:right="822"/>
              <w:spacing w:after="0"/>
              <w:rPr>
                <w:sz w:val="20"/>
                <w:szCs w:val="20"/>
                <w:color w:val="auto"/>
              </w:rPr>
            </w:pPr>
            <w:r>
              <w:rPr>
                <w:rFonts w:ascii="Arial" w:cs="Arial" w:eastAsia="Arial" w:hAnsi="Arial"/>
                <w:sz w:val="20"/>
                <w:szCs w:val="2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8"/>
              </w:rPr>
              <w:t>76,821</w:t>
            </w:r>
          </w:p>
        </w:tc>
        <w:tc>
          <w:tcPr>
            <w:tcW w:w="280" w:type="dxa"/>
            <w:vAlign w:val="bottom"/>
          </w:tcPr>
          <w:p>
            <w:pPr>
              <w:spacing w:after="0"/>
              <w:rPr>
                <w:sz w:val="20"/>
                <w:szCs w:val="20"/>
                <w:color w:val="auto"/>
              </w:rPr>
            </w:pPr>
          </w:p>
        </w:tc>
        <w:tc>
          <w:tcPr>
            <w:tcW w:w="1020" w:type="dxa"/>
            <w:vAlign w:val="bottom"/>
            <w:tcBorders>
              <w:bottom w:val="single" w:sz="8" w:color="auto"/>
            </w:tcBorders>
          </w:tcPr>
          <w:p>
            <w:pPr>
              <w:jc w:val="right"/>
              <w:ind w:right="822"/>
              <w:spacing w:after="0"/>
              <w:rPr>
                <w:sz w:val="20"/>
                <w:szCs w:val="20"/>
                <w:color w:val="auto"/>
              </w:rPr>
            </w:pPr>
            <w:r>
              <w:rPr>
                <w:rFonts w:ascii="Arial" w:cs="Arial" w:eastAsia="Arial" w:hAnsi="Arial"/>
                <w:sz w:val="20"/>
                <w:szCs w:val="2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8"/>
              </w:rPr>
              <w:t>70,376</w:t>
            </w:r>
          </w:p>
        </w:tc>
        <w:tc>
          <w:tcPr>
            <w:tcW w:w="120" w:type="dxa"/>
            <w:vAlign w:val="bottom"/>
          </w:tcPr>
          <w:p>
            <w:pPr>
              <w:spacing w:after="0"/>
              <w:rPr>
                <w:sz w:val="20"/>
                <w:szCs w:val="20"/>
                <w:color w:val="auto"/>
              </w:rPr>
            </w:pPr>
          </w:p>
        </w:tc>
      </w:tr>
      <w:tr>
        <w:trPr>
          <w:trHeight w:val="20"/>
        </w:trPr>
        <w:tc>
          <w:tcPr>
            <w:tcW w:w="44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seasonal nature of construction activity impacts the Company’s quarterly operating cash flow when compared with the full year. Full-year 2017 net cash provided by operating activities was $657.6 million, reflective of the reclassification of net proceeds and payments of corporate-owned life insurance of $0.3 million from operating activities to investing activities, compared with $73.9 million for the first three months of 2017.</w:t>
      </w:r>
    </w:p>
    <w:p>
      <w:pPr>
        <w:spacing w:after="0" w:line="8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During the three-months ended March 31, 2018, the Company paid $96.3 million for capital investments. Full-year capital spending is expected to approximate $450 million to $500 million.</w:t>
      </w:r>
    </w:p>
    <w:p>
      <w:pPr>
        <w:spacing w:after="0" w:line="69"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Company can repurchase its common stock through open-market purchases pursuant to authority granted by its Board of Directors or through private transactions at such prices and upon such terms as the Chief Executive Officer</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32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March 31, 2018</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line="237" w:lineRule="auto"/>
        <w:rPr>
          <w:sz w:val="20"/>
          <w:szCs w:val="20"/>
          <w:color w:val="auto"/>
        </w:rPr>
      </w:pPr>
      <w:r>
        <w:rPr>
          <w:rFonts w:ascii="Arial" w:cs="Arial" w:eastAsia="Arial" w:hAnsi="Arial"/>
          <w:sz w:val="20"/>
          <w:szCs w:val="20"/>
          <w:color w:val="auto"/>
        </w:rPr>
        <w:t>First Quarter Ended March 31, 2018</w:t>
      </w:r>
    </w:p>
    <w:p>
      <w:pPr>
        <w:jc w:val="center"/>
        <w:spacing w:after="0"/>
        <w:rPr>
          <w:sz w:val="20"/>
          <w:szCs w:val="20"/>
          <w:color w:val="auto"/>
        </w:rPr>
      </w:pPr>
      <w:r>
        <w:rPr>
          <w:rFonts w:ascii="Arial" w:cs="Arial" w:eastAsia="Arial" w:hAnsi="Arial"/>
          <w:sz w:val="20"/>
          <w:szCs w:val="20"/>
          <w:color w:val="auto"/>
        </w:rPr>
        <w:t>(Continued)</w:t>
      </w:r>
    </w:p>
    <w:p>
      <w:pPr>
        <w:spacing w:after="0" w:line="23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deems appropriate. The Company did not make any repurchases of common stock during the first quarter. At March 31, 2018, 14,669,000 shares of common stock were remaining under the Company’s repurchase authorization.</w:t>
      </w:r>
    </w:p>
    <w:p>
      <w:pPr>
        <w:spacing w:after="0" w:line="6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April 27, 2018, the Company successfully completed its previously announced acquisition of Bluegrass Materials Company (Bluegrass), the largest privately-held, pure-play aggregates company in the United States, for $1.625 billion in cash. Bluegrass’ operations include 23 active sites with more than 125 years of strategically-located, high-quality reserves in Georgia, South Carolina, Tennessee, Maryland, Kentucky and Pennsylvania. These operations complement the Company’s existing southeastern footprint and provides a new growth platform within the southern portion of the Northeast Megaregion. The Company reached an agreement with the U.S. Department of Justice (DOJ), approved by the district court for the District of Columbia, which resolves all competition issues with respect to the acquisition. Under the terms of the agreement with the DOJ, Martin Marietta divested its Forsyth aggregates quarry north of Atlanta, Georgia, and will divest Bluegrass’ Beaver Creek aggregates quarry in western Maryland. The acquisition reflects a stock transaction where the Company acquired 100% of the voting interest. The Company did not acquire any of Bluegrass’ cash and cash equivalents nor did it assume any of Bluegrass’ outstanding debt. The Company expects to realize annual synergies of approximately $15 million within twelve months of the transaction’s close date.</w:t>
      </w:r>
    </w:p>
    <w:p>
      <w:pPr>
        <w:spacing w:after="0" w:line="52"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The $700 million Revolving Facility requires the Company’s ratio of consolidated debt-to-consolidated EBITDA, as defined, for the trailing-twelve-month period (the Ratio) to not exceed 3.50x as of the end of any fiscal quarter, provided that the Company may exclude from the Ratio debt incurred in connection with certain acquisitions during the quarter or the three preceding quarters so long as the Ratio calculated without such exclusion does not exceed 3.75x. Additionally, if there are no amounts outstanding under the Revolving Facility and the $300 million Trade Receivable Facility, consolidated debt, including debt for which the Company is a co-borrower, may be reduced by the Company’s unrestricted cash and cash equivalents in excess of $50 million, such reduction not to exceed $200 million, for purposes of the covenant calculation.</w:t>
      </w:r>
    </w:p>
    <w:p>
      <w:pPr>
        <w:spacing w:after="0" w:line="45"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The Ratio is calculated as debt, including debt for which the Company is a co-borrower, divided by consolidated EBITDA, as defined by the Company’s Revolving Facility, for the trailing-twelve months. Consolidated EBITDA is generally defined as earnings before interest expense, income tax expense, and depreciation and amortization expense for continuing operations. Additionally, stock-based compensation expense is added back and interest income is deducted in the calculation of consolidated EBITDA. Certain other nonrecurring items, if they occur, can affect the calculation of consolidated EBITDA.</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33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FORM 10-Q</w:t>
      </w:r>
    </w:p>
    <w:p>
      <w:pPr>
        <w:jc w:val="center"/>
        <w:ind w:right="-19"/>
        <w:spacing w:after="0"/>
        <w:rPr>
          <w:sz w:val="20"/>
          <w:szCs w:val="20"/>
          <w:color w:val="auto"/>
        </w:rPr>
      </w:pPr>
      <w:r>
        <w:rPr>
          <w:rFonts w:ascii="Arial" w:cs="Arial" w:eastAsia="Arial" w:hAnsi="Arial"/>
          <w:sz w:val="20"/>
          <w:szCs w:val="20"/>
          <w:color w:val="auto"/>
        </w:rPr>
        <w:t>For the Quarter March 31, 2018</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RESULTS OF OPERATIONS</w:t>
      </w:r>
    </w:p>
    <w:p>
      <w:pPr>
        <w:jc w:val="center"/>
        <w:ind w:right="-19"/>
        <w:spacing w:after="0" w:line="237" w:lineRule="auto"/>
        <w:rPr>
          <w:sz w:val="20"/>
          <w:szCs w:val="20"/>
          <w:color w:val="auto"/>
        </w:rPr>
      </w:pPr>
      <w:r>
        <w:rPr>
          <w:rFonts w:ascii="Arial" w:cs="Arial" w:eastAsia="Arial" w:hAnsi="Arial"/>
          <w:sz w:val="20"/>
          <w:szCs w:val="20"/>
          <w:color w:val="auto"/>
        </w:rPr>
        <w:t>First Quarter Ended March 31, 2018</w:t>
      </w:r>
    </w:p>
    <w:p>
      <w:pPr>
        <w:jc w:val="center"/>
        <w:ind w:right="-19"/>
        <w:spacing w:after="0"/>
        <w:rPr>
          <w:sz w:val="20"/>
          <w:szCs w:val="20"/>
          <w:color w:val="auto"/>
        </w:rPr>
      </w:pPr>
      <w:r>
        <w:rPr>
          <w:rFonts w:ascii="Arial" w:cs="Arial" w:eastAsia="Arial" w:hAnsi="Arial"/>
          <w:sz w:val="20"/>
          <w:szCs w:val="20"/>
          <w:color w:val="auto"/>
        </w:rPr>
        <w:t>(Continued)</w:t>
      </w:r>
    </w:p>
    <w:p>
      <w:pPr>
        <w:spacing w:after="0" w:line="236"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At March 31, 2018, the Company’s ratio of consolidated debt-to-consolidated EBITDA, as defined by the Company’s Revolving Facility, for the trailing-twelve months was 1.62 times and was calculated as follows: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2960"/>
        <w:spacing w:after="0" w:line="255" w:lineRule="auto"/>
        <w:rPr>
          <w:sz w:val="20"/>
          <w:szCs w:val="20"/>
          <w:color w:val="auto"/>
        </w:rPr>
      </w:pPr>
      <w:r>
        <w:rPr>
          <w:rFonts w:ascii="Arial" w:cs="Arial" w:eastAsia="Arial" w:hAnsi="Arial"/>
          <w:sz w:val="20"/>
          <w:szCs w:val="20"/>
          <w:color w:val="auto"/>
        </w:rPr>
        <w:t>Earnings from continuing operations attributable to Martin Marietta Add 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-307340</wp:posOffset>
            </wp:positionV>
            <wp:extent cx="7247890" cy="153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789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-1905</wp:posOffset>
            </wp:positionV>
            <wp:extent cx="7247890" cy="153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7890" cy="153035"/>
                    </a:xfrm>
                    <a:prstGeom prst="rect">
                      <a:avLst/>
                    </a:prstGeom>
                    <a:noFill/>
                  </pic:spPr>
                </pic:pic>
              </a:graphicData>
            </a:graphic>
          </wp:anchor>
        </w:drawing>
      </w:r>
    </w:p>
    <w:p>
      <w:pPr>
        <w:ind w:left="260"/>
        <w:spacing w:after="0"/>
        <w:rPr>
          <w:sz w:val="20"/>
          <w:szCs w:val="20"/>
          <w:color w:val="auto"/>
        </w:rPr>
      </w:pPr>
      <w:r>
        <w:rPr>
          <w:rFonts w:ascii="Arial" w:cs="Arial" w:eastAsia="Arial" w:hAnsi="Arial"/>
          <w:sz w:val="20"/>
          <w:szCs w:val="20"/>
          <w:color w:val="auto"/>
        </w:rPr>
        <w:t>Interest expense</w:t>
      </w:r>
    </w:p>
    <w:p>
      <w:pPr>
        <w:spacing w:after="0" w:line="11" w:lineRule="exact"/>
        <w:rPr>
          <w:sz w:val="20"/>
          <w:szCs w:val="20"/>
          <w:color w:val="auto"/>
        </w:rPr>
      </w:pPr>
    </w:p>
    <w:p>
      <w:pPr>
        <w:ind w:left="260"/>
        <w:spacing w:after="0"/>
        <w:rPr>
          <w:sz w:val="20"/>
          <w:szCs w:val="20"/>
          <w:color w:val="auto"/>
        </w:rPr>
      </w:pPr>
      <w:r>
        <w:rPr>
          <w:rFonts w:ascii="Arial" w:cs="Arial" w:eastAsia="Arial" w:hAnsi="Arial"/>
          <w:sz w:val="20"/>
          <w:szCs w:val="20"/>
          <w:color w:val="auto"/>
        </w:rPr>
        <w:t>Depreciation, depletion and 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247890" cy="153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7890" cy="153035"/>
                    </a:xfrm>
                    <a:prstGeom prst="rect">
                      <a:avLst/>
                    </a:prstGeom>
                    <a:noFill/>
                  </pic:spPr>
                </pic:pic>
              </a:graphicData>
            </a:graphic>
          </wp:anchor>
        </w:drawing>
      </w:r>
    </w:p>
    <w:p>
      <w:pPr>
        <w:ind w:left="260"/>
        <w:spacing w:after="0"/>
        <w:rPr>
          <w:sz w:val="20"/>
          <w:szCs w:val="20"/>
          <w:color w:val="auto"/>
        </w:rPr>
      </w:pPr>
      <w:r>
        <w:rPr>
          <w:rFonts w:ascii="Arial" w:cs="Arial" w:eastAsia="Arial" w:hAnsi="Arial"/>
          <w:sz w:val="20"/>
          <w:szCs w:val="20"/>
          <w:color w:val="auto"/>
        </w:rPr>
        <w:t>Stock-based compensation expense</w:t>
      </w:r>
    </w:p>
    <w:p>
      <w:pPr>
        <w:spacing w:after="0" w:line="11" w:lineRule="exact"/>
        <w:rPr>
          <w:sz w:val="20"/>
          <w:szCs w:val="20"/>
          <w:color w:val="auto"/>
        </w:rPr>
      </w:pPr>
    </w:p>
    <w:p>
      <w:pPr>
        <w:ind w:left="260"/>
        <w:spacing w:after="0"/>
        <w:rPr>
          <w:sz w:val="20"/>
          <w:szCs w:val="20"/>
          <w:color w:val="auto"/>
        </w:rPr>
      </w:pPr>
      <w:r>
        <w:rPr>
          <w:rFonts w:ascii="Arial" w:cs="Arial" w:eastAsia="Arial" w:hAnsi="Arial"/>
          <w:sz w:val="20"/>
          <w:szCs w:val="20"/>
          <w:color w:val="auto"/>
        </w:rPr>
        <w:t>Acquisition-related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247890" cy="153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7890" cy="153035"/>
                    </a:xfrm>
                    <a:prstGeom prst="rect">
                      <a:avLst/>
                    </a:prstGeom>
                    <a:noFill/>
                  </pic:spPr>
                </pic:pic>
              </a:graphicData>
            </a:graphic>
          </wp:anchor>
        </w:drawing>
      </w:r>
    </w:p>
    <w:p>
      <w:pPr>
        <w:ind w:left="260"/>
        <w:spacing w:after="0"/>
        <w:rPr>
          <w:sz w:val="20"/>
          <w:szCs w:val="20"/>
          <w:color w:val="auto"/>
        </w:rPr>
      </w:pPr>
      <w:r>
        <w:rPr>
          <w:rFonts w:ascii="Arial" w:cs="Arial" w:eastAsia="Arial" w:hAnsi="Arial"/>
          <w:sz w:val="20"/>
          <w:szCs w:val="20"/>
          <w:color w:val="auto"/>
        </w:rPr>
        <w:t>Deduct:</w:t>
      </w:r>
    </w:p>
    <w:p>
      <w:pPr>
        <w:spacing w:after="0" w:line="11" w:lineRule="exact"/>
        <w:rPr>
          <w:sz w:val="20"/>
          <w:szCs w:val="20"/>
          <w:color w:val="auto"/>
        </w:rPr>
      </w:pPr>
    </w:p>
    <w:p>
      <w:pPr>
        <w:ind w:left="260"/>
        <w:spacing w:after="0"/>
        <w:rPr>
          <w:sz w:val="20"/>
          <w:szCs w:val="20"/>
          <w:color w:val="auto"/>
        </w:rPr>
      </w:pPr>
      <w:r>
        <w:rPr>
          <w:rFonts w:ascii="Arial" w:cs="Arial" w:eastAsia="Arial" w:hAnsi="Arial"/>
          <w:sz w:val="20"/>
          <w:szCs w:val="20"/>
          <w:color w:val="auto"/>
        </w:rPr>
        <w:t>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247890" cy="153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7890" cy="153035"/>
                    </a:xfrm>
                    <a:prstGeom prst="rect">
                      <a:avLst/>
                    </a:prstGeom>
                    <a:noFill/>
                  </pic:spPr>
                </pic:pic>
              </a:graphicData>
            </a:graphic>
          </wp:anchor>
        </w:drawing>
      </w:r>
    </w:p>
    <w:p>
      <w:pPr>
        <w:ind w:left="260"/>
        <w:spacing w:after="0"/>
        <w:rPr>
          <w:sz w:val="20"/>
          <w:szCs w:val="20"/>
          <w:color w:val="auto"/>
        </w:rPr>
      </w:pPr>
      <w:r>
        <w:rPr>
          <w:rFonts w:ascii="Arial" w:cs="Arial" w:eastAsia="Arial" w:hAnsi="Arial"/>
          <w:sz w:val="20"/>
          <w:szCs w:val="20"/>
          <w:color w:val="auto"/>
        </w:rPr>
        <w:t>Income tax benefit</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Consolidated EBITDA, as defined by the Company’s Revolving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39370</wp:posOffset>
            </wp:positionV>
            <wp:extent cx="7247890" cy="3225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7890" cy="322580"/>
                    </a:xfrm>
                    <a:prstGeom prst="rect">
                      <a:avLst/>
                    </a:prstGeom>
                    <a:noFill/>
                  </pic:spPr>
                </pic:pic>
              </a:graphicData>
            </a:graphic>
          </wp:anchor>
        </w:drawing>
      </w:r>
    </w:p>
    <w:p>
      <w:pPr>
        <w:spacing w:after="0" w:line="66" w:lineRule="exact"/>
        <w:rPr>
          <w:sz w:val="20"/>
          <w:szCs w:val="20"/>
          <w:color w:val="auto"/>
        </w:rPr>
      </w:pPr>
    </w:p>
    <w:p>
      <w:pPr>
        <w:ind w:left="260" w:right="3060" w:hanging="244"/>
        <w:spacing w:after="0" w:line="279" w:lineRule="auto"/>
        <w:rPr>
          <w:sz w:val="20"/>
          <w:szCs w:val="20"/>
          <w:color w:val="auto"/>
        </w:rPr>
      </w:pPr>
      <w:r>
        <w:rPr>
          <w:rFonts w:ascii="Arial" w:cs="Arial" w:eastAsia="Arial" w:hAnsi="Arial"/>
          <w:sz w:val="19"/>
          <w:szCs w:val="19"/>
          <w:color w:val="auto"/>
        </w:rPr>
        <w:t>Consolidated net debt, as defined and including debt for which the Company is a co-borrower, at March 31, 2018</w:t>
      </w:r>
    </w:p>
    <w:p>
      <w:pPr>
        <w:ind w:left="260" w:right="2440" w:hanging="244"/>
        <w:spacing w:after="0" w:line="247" w:lineRule="auto"/>
        <w:rPr>
          <w:sz w:val="20"/>
          <w:szCs w:val="20"/>
          <w:color w:val="auto"/>
        </w:rPr>
      </w:pPr>
      <w:r>
        <w:rPr>
          <w:rFonts w:ascii="Arial" w:cs="Arial" w:eastAsia="Arial" w:hAnsi="Arial"/>
          <w:sz w:val="20"/>
          <w:szCs w:val="20"/>
          <w:color w:val="auto"/>
        </w:rPr>
        <w:t>Consolidated debt-to-consolidated EBITDA, as defined by the Company’s Revolving Facility, at March 31, 2018 for the trailing-twelve months EBITDA</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80" w:type="dxa"/>
            <w:vAlign w:val="bottom"/>
            <w:gridSpan w:val="2"/>
          </w:tcPr>
          <w:p>
            <w:pPr>
              <w:jc w:val="center"/>
              <w:ind w:right="260"/>
              <w:spacing w:after="0"/>
              <w:rPr>
                <w:sz w:val="20"/>
                <w:szCs w:val="20"/>
                <w:color w:val="auto"/>
              </w:rPr>
            </w:pPr>
            <w:r>
              <w:rPr>
                <w:rFonts w:ascii="Arial" w:cs="Arial" w:eastAsia="Arial" w:hAnsi="Arial"/>
                <w:sz w:val="20"/>
                <w:szCs w:val="20"/>
                <w:color w:val="auto"/>
                <w:w w:val="92"/>
              </w:rPr>
              <w:t>April 1, 2017 to</w:t>
            </w:r>
          </w:p>
        </w:tc>
      </w:tr>
      <w:tr>
        <w:trPr>
          <w:trHeight w:val="244"/>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80" w:type="dxa"/>
            <w:vAlign w:val="bottom"/>
            <w:gridSpan w:val="2"/>
          </w:tcPr>
          <w:p>
            <w:pPr>
              <w:jc w:val="center"/>
              <w:ind w:right="260"/>
              <w:spacing w:after="0"/>
              <w:rPr>
                <w:sz w:val="20"/>
                <w:szCs w:val="20"/>
                <w:color w:val="auto"/>
              </w:rPr>
            </w:pPr>
            <w:r>
              <w:rPr>
                <w:rFonts w:ascii="Arial" w:cs="Arial" w:eastAsia="Arial" w:hAnsi="Arial"/>
                <w:sz w:val="20"/>
                <w:szCs w:val="20"/>
                <w:color w:val="auto"/>
                <w:w w:val="89"/>
              </w:rPr>
              <w:t>March 31, 2018</w:t>
            </w:r>
          </w:p>
        </w:tc>
      </w:tr>
      <w:tr>
        <w:trPr>
          <w:trHeight w:val="231"/>
        </w:trPr>
        <w:tc>
          <w:tcPr>
            <w:tcW w:w="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120" w:type="dxa"/>
            <w:vAlign w:val="bottom"/>
            <w:tcBorders>
              <w:top w:val="single" w:sz="8" w:color="auto"/>
            </w:tcBorders>
          </w:tcPr>
          <w:p>
            <w:pPr>
              <w:jc w:val="center"/>
              <w:ind w:right="82"/>
              <w:spacing w:after="0"/>
              <w:rPr>
                <w:sz w:val="20"/>
                <w:szCs w:val="20"/>
                <w:color w:val="auto"/>
              </w:rPr>
            </w:pPr>
            <w:r>
              <w:rPr>
                <w:rFonts w:ascii="Arial" w:cs="Arial" w:eastAsia="Arial" w:hAnsi="Arial"/>
                <w:sz w:val="20"/>
                <w:szCs w:val="20"/>
                <w:i w:val="1"/>
                <w:iCs w:val="1"/>
                <w:color w:val="auto"/>
                <w:w w:val="91"/>
              </w:rPr>
              <w:t>(Dollars in thousands)</w:t>
            </w:r>
          </w:p>
        </w:tc>
        <w:tc>
          <w:tcPr>
            <w:tcW w:w="60" w:type="dxa"/>
            <w:vAlign w:val="bottom"/>
          </w:tcPr>
          <w:p>
            <w:pPr>
              <w:spacing w:after="0"/>
              <w:rPr>
                <w:sz w:val="20"/>
                <w:szCs w:val="20"/>
                <w:color w:val="auto"/>
              </w:rPr>
            </w:pPr>
          </w:p>
        </w:tc>
      </w:tr>
      <w:tr>
        <w:trPr>
          <w:trHeight w:val="249"/>
        </w:trPr>
        <w:tc>
          <w:tcPr>
            <w:tcW w:w="180" w:type="dxa"/>
            <w:vAlign w:val="bottom"/>
            <w:gridSpan w:val="2"/>
          </w:tcPr>
          <w:p>
            <w:pPr>
              <w:jc w:val="right"/>
              <w:ind w:right="4"/>
              <w:spacing w:after="0"/>
              <w:rPr>
                <w:sz w:val="20"/>
                <w:szCs w:val="20"/>
                <w:color w:val="auto"/>
              </w:rPr>
            </w:pPr>
            <w:r>
              <w:rPr>
                <w:rFonts w:ascii="Arial" w:cs="Arial" w:eastAsia="Arial" w:hAnsi="Arial"/>
                <w:sz w:val="20"/>
                <w:szCs w:val="20"/>
                <w:color w:val="auto"/>
                <w:w w:val="71"/>
              </w:rPr>
              <w:t>$</w:t>
            </w:r>
          </w:p>
        </w:tc>
        <w:tc>
          <w:tcPr>
            <w:tcW w:w="2120" w:type="dxa"/>
            <w:vAlign w:val="bottom"/>
          </w:tcPr>
          <w:p>
            <w:pPr>
              <w:jc w:val="right"/>
              <w:spacing w:after="0"/>
              <w:rPr>
                <w:sz w:val="20"/>
                <w:szCs w:val="20"/>
                <w:color w:val="auto"/>
              </w:rPr>
            </w:pPr>
            <w:r>
              <w:rPr>
                <w:rFonts w:ascii="Arial" w:cs="Arial" w:eastAsia="Arial" w:hAnsi="Arial"/>
                <w:sz w:val="20"/>
                <w:szCs w:val="20"/>
                <w:color w:val="auto"/>
              </w:rPr>
              <w:t>681,031</w:t>
            </w:r>
          </w:p>
        </w:tc>
        <w:tc>
          <w:tcPr>
            <w:tcW w:w="60" w:type="dxa"/>
            <w:vAlign w:val="bottom"/>
          </w:tcPr>
          <w:p>
            <w:pPr>
              <w:spacing w:after="0"/>
              <w:rPr>
                <w:sz w:val="21"/>
                <w:szCs w:val="21"/>
                <w:color w:val="auto"/>
              </w:rPr>
            </w:pPr>
          </w:p>
        </w:tc>
      </w:tr>
      <w:tr>
        <w:trPr>
          <w:trHeight w:val="474"/>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105,723</w:t>
            </w:r>
          </w:p>
        </w:tc>
        <w:tc>
          <w:tcPr>
            <w:tcW w:w="60" w:type="dxa"/>
            <w:vAlign w:val="bottom"/>
          </w:tcPr>
          <w:p>
            <w:pPr>
              <w:spacing w:after="0"/>
              <w:rPr>
                <w:sz w:val="24"/>
                <w:szCs w:val="24"/>
                <w:color w:val="auto"/>
              </w:rPr>
            </w:pPr>
          </w:p>
        </w:tc>
      </w:tr>
      <w:tr>
        <w:trPr>
          <w:trHeight w:val="241"/>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299,822</w:t>
            </w:r>
          </w:p>
        </w:tc>
        <w:tc>
          <w:tcPr>
            <w:tcW w:w="60" w:type="dxa"/>
            <w:vAlign w:val="bottom"/>
          </w:tcPr>
          <w:p>
            <w:pPr>
              <w:spacing w:after="0"/>
              <w:rPr>
                <w:sz w:val="20"/>
                <w:szCs w:val="20"/>
                <w:color w:val="auto"/>
              </w:rPr>
            </w:pPr>
          </w:p>
        </w:tc>
      </w:tr>
      <w:tr>
        <w:trPr>
          <w:trHeight w:val="241"/>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29,945</w:t>
            </w:r>
          </w:p>
        </w:tc>
        <w:tc>
          <w:tcPr>
            <w:tcW w:w="6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9,292</w:t>
            </w:r>
          </w:p>
        </w:tc>
        <w:tc>
          <w:tcPr>
            <w:tcW w:w="60" w:type="dxa"/>
            <w:vAlign w:val="bottom"/>
          </w:tcPr>
          <w:p>
            <w:pPr>
              <w:spacing w:after="0"/>
              <w:rPr>
                <w:sz w:val="21"/>
                <w:szCs w:val="21"/>
                <w:color w:val="auto"/>
              </w:rPr>
            </w:pPr>
          </w:p>
        </w:tc>
      </w:tr>
      <w:tr>
        <w:trPr>
          <w:trHeight w:val="474"/>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80" w:type="dxa"/>
            <w:vAlign w:val="bottom"/>
            <w:gridSpan w:val="2"/>
          </w:tcPr>
          <w:p>
            <w:pPr>
              <w:jc w:val="right"/>
              <w:spacing w:after="0"/>
              <w:rPr>
                <w:sz w:val="20"/>
                <w:szCs w:val="20"/>
                <w:color w:val="auto"/>
              </w:rPr>
            </w:pPr>
            <w:r>
              <w:rPr>
                <w:rFonts w:ascii="Arial" w:cs="Arial" w:eastAsia="Arial" w:hAnsi="Arial"/>
                <w:sz w:val="20"/>
                <w:szCs w:val="20"/>
                <w:color w:val="auto"/>
              </w:rPr>
              <w:t>(5,814)</w:t>
            </w:r>
          </w:p>
        </w:tc>
      </w:tr>
      <w:tr>
        <w:trPr>
          <w:trHeight w:val="244"/>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80" w:type="dxa"/>
            <w:vAlign w:val="bottom"/>
            <w:gridSpan w:val="2"/>
          </w:tcPr>
          <w:p>
            <w:pPr>
              <w:jc w:val="right"/>
              <w:spacing w:after="0"/>
              <w:rPr>
                <w:sz w:val="20"/>
                <w:szCs w:val="20"/>
                <w:color w:val="auto"/>
              </w:rPr>
            </w:pPr>
            <w:r>
              <w:rPr>
                <w:rFonts w:ascii="Arial" w:cs="Arial" w:eastAsia="Arial" w:hAnsi="Arial"/>
                <w:sz w:val="20"/>
                <w:szCs w:val="20"/>
                <w:color w:val="auto"/>
              </w:rPr>
              <w:t>(106,599)</w:t>
            </w:r>
          </w:p>
        </w:tc>
      </w:tr>
      <w:tr>
        <w:trPr>
          <w:trHeight w:val="234"/>
        </w:trPr>
        <w:tc>
          <w:tcPr>
            <w:tcW w:w="20" w:type="dxa"/>
            <w:vAlign w:val="bottom"/>
            <w:tcBorders>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2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1,013,400</w:t>
            </w:r>
          </w:p>
        </w:tc>
        <w:tc>
          <w:tcPr>
            <w:tcW w:w="6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48"/>
        </w:trPr>
        <w:tc>
          <w:tcPr>
            <w:tcW w:w="180" w:type="dxa"/>
            <w:vAlign w:val="bottom"/>
            <w:gridSpan w:val="2"/>
          </w:tcPr>
          <w:p>
            <w:pPr>
              <w:jc w:val="right"/>
              <w:ind w:right="4"/>
              <w:spacing w:after="0"/>
              <w:rPr>
                <w:sz w:val="20"/>
                <w:szCs w:val="20"/>
                <w:color w:val="auto"/>
              </w:rPr>
            </w:pPr>
            <w:r>
              <w:rPr>
                <w:rFonts w:ascii="Arial" w:cs="Arial" w:eastAsia="Arial" w:hAnsi="Arial"/>
                <w:sz w:val="20"/>
                <w:szCs w:val="20"/>
                <w:color w:val="auto"/>
                <w:w w:val="71"/>
              </w:rPr>
              <w:t>$</w:t>
            </w:r>
          </w:p>
        </w:tc>
        <w:tc>
          <w:tcPr>
            <w:tcW w:w="2120" w:type="dxa"/>
            <w:vAlign w:val="bottom"/>
          </w:tcPr>
          <w:p>
            <w:pPr>
              <w:jc w:val="right"/>
              <w:spacing w:after="0"/>
              <w:rPr>
                <w:sz w:val="20"/>
                <w:szCs w:val="20"/>
                <w:color w:val="auto"/>
              </w:rPr>
            </w:pPr>
            <w:r>
              <w:rPr>
                <w:rFonts w:ascii="Arial" w:cs="Arial" w:eastAsia="Arial" w:hAnsi="Arial"/>
                <w:sz w:val="20"/>
                <w:szCs w:val="20"/>
                <w:color w:val="auto"/>
              </w:rPr>
              <w:t>1,643,372</w:t>
            </w:r>
          </w:p>
        </w:tc>
        <w:tc>
          <w:tcPr>
            <w:tcW w:w="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76"/>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80" w:type="dxa"/>
            <w:vAlign w:val="bottom"/>
            <w:gridSpan w:val="2"/>
          </w:tcPr>
          <w:p>
            <w:pPr>
              <w:jc w:val="right"/>
              <w:ind w:right="80"/>
              <w:spacing w:after="0"/>
              <w:rPr>
                <w:sz w:val="20"/>
                <w:szCs w:val="20"/>
                <w:color w:val="auto"/>
              </w:rPr>
            </w:pPr>
            <w:r>
              <w:rPr>
                <w:rFonts w:ascii="Arial" w:cs="Arial" w:eastAsia="Arial" w:hAnsi="Arial"/>
                <w:sz w:val="20"/>
                <w:szCs w:val="20"/>
                <w:color w:val="auto"/>
              </w:rPr>
              <w:t>1.62x</w:t>
            </w: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280" w:space="720"/>
            <w:col w:w="2420"/>
          </w:cols>
          <w:pgMar w:left="240" w:top="121" w:right="239" w:bottom="1440" w:gutter="0" w:footer="0" w:header="0"/>
          <w:type w:val="continuous"/>
        </w:sectPr>
      </w:pPr>
    </w:p>
    <w:p>
      <w:pPr>
        <w:spacing w:after="0" w:line="2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Trade Receivable Facility contains a cross-default provision to the Company’s other debt agreements. In the event of a default on the Ratio, the lenders can terminate the Revolving Facility and Trade Receivable Facility and declare any outstanding balances as immediately due. Outstanding amounts on the Trade Receivable Facility have been classified as a current liability on the Company’s consolidated balance sheet.</w:t>
      </w:r>
    </w:p>
    <w:p>
      <w:pPr>
        <w:spacing w:after="0" w:line="86"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Cash on hand, along with the Company’s projected internal cash flows and availability of financing resources, including its access to debt and equity capital markets, is expected to continue to be sufficient to provide the capital resources necessary to support anticipated operating needs, cover debt service requirements, address near-term debt maturities, meet capital expenditures and discretionary investment needs, and certain acquisition opportunities that may arise and allow for payment of dividends for the foreseeable future. The Company financed the Bluegrass acquisition using proceeds from issuances of senior notes in December 2017 and borrowings under credit facilities. Any future significant strategic acquisition for cash would likely require an appropriate balance of newly-issued equity with debt in order to maintain a composite investment-grade credit rating. Subsequent to borrowings made to partially finance the Bluegrass acquisition, the Company had $502.7 million of unused borrowing capacity under its Revolving Facility and Trade Receivable Facility, subject to complying with the related leverage covenant. The Revolving Facility expires on December 5, 2021 and the Trade Receivable Facility expires on September 26, 2018.</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color w:val="auto"/>
        </w:rPr>
        <w:t>The Company repaid the $300 million of 6.60% Senior Notes with cash on hand on April 16, 2018, the maturity date.</w:t>
      </w:r>
    </w:p>
    <w:p>
      <w:pPr>
        <w:spacing w:after="0" w:line="10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On April 17, 2018, the Company and its wholly-owned subsidiary amended its Trade Receivable Facility to increase the facility limit to $400,000,000.</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Page 34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4" w:name="page35"/>
    <w:bookmarkEnd w:id="34"/>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March 31, 2018</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line="237" w:lineRule="auto"/>
        <w:rPr>
          <w:sz w:val="20"/>
          <w:szCs w:val="20"/>
          <w:color w:val="auto"/>
        </w:rPr>
      </w:pPr>
      <w:r>
        <w:rPr>
          <w:rFonts w:ascii="Arial" w:cs="Arial" w:eastAsia="Arial" w:hAnsi="Arial"/>
          <w:sz w:val="20"/>
          <w:szCs w:val="20"/>
          <w:color w:val="auto"/>
        </w:rPr>
        <w:t>First Quarter Ended March 31, 2018</w:t>
      </w:r>
    </w:p>
    <w:p>
      <w:pPr>
        <w:jc w:val="center"/>
        <w:spacing w:after="0"/>
        <w:rPr>
          <w:sz w:val="20"/>
          <w:szCs w:val="20"/>
          <w:color w:val="auto"/>
        </w:rPr>
      </w:pPr>
      <w:r>
        <w:rPr>
          <w:rFonts w:ascii="Arial" w:cs="Arial" w:eastAsia="Arial" w:hAnsi="Arial"/>
          <w:sz w:val="20"/>
          <w:szCs w:val="20"/>
          <w:color w:val="auto"/>
        </w:rPr>
        <w:t>(Continued)</w:t>
      </w:r>
    </w:p>
    <w:p>
      <w:pPr>
        <w:spacing w:after="0" w:line="236"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On May 22, 2017, the Company issued $300 million aggregate principal amount of Floating Rate Senior Notes due in 2020 and $300 million aggregate principal amount of 3.450% Senior Notes due in 2027. On December 20, 2017, the Company issued $300 million aggregate principal amount of Floating Rate Senior Notes due 2019, $500 million aggregate principal amount of 3.500% Senior Notes due 2027 and $600 million aggregate principal amount of 4.250% Senior Notes due 2047. The Company repaid $300 million aggregate principal amount of Floating Rate Senior at its maturity in June 2017.</w:t>
      </w:r>
    </w:p>
    <w:p>
      <w:pPr>
        <w:spacing w:after="0" w:line="85"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The Company is exposed to the credit markets, through the interest cost related to its variable-rate debt, which included borrowings under its Revolving Facility and Trade Receivable Facility and the obligations in respect of the Floating Rate Notes. The Company is currently rated at an investment-grade level by all three credit rating agencies.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TRENDS AND RISKS</w:t>
      </w:r>
    </w:p>
    <w:p>
      <w:pPr>
        <w:spacing w:after="0" w:line="10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Company outlined the risks associated with its business in its Annual Report on Form 10-K for the year ended December 31, 2017. Management continues to evaluate its exposure to all operating risks on an ongoing basis.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OUTLOOK</w:t>
      </w:r>
    </w:p>
    <w:p>
      <w:pPr>
        <w:spacing w:after="0" w:line="105"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The Company remains optimistic about the Company’s about its near-term and long-term outlook given its continued ability to successfully execute its strategic business plan and the largely positive trends in the markets it serves. The Company expects growth in all three primary construction end-use markets as the current broad-based recovery continues on a steady and extended basis.</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color w:val="auto"/>
        </w:rPr>
        <w:t>Management reaffirms its full-year 2018 guidance for its legacy business. Specifically:</w:t>
      </w:r>
    </w:p>
    <w:p>
      <w:pPr>
        <w:spacing w:after="0" w:line="105" w:lineRule="exact"/>
        <w:rPr>
          <w:sz w:val="20"/>
          <w:szCs w:val="20"/>
          <w:color w:val="auto"/>
        </w:rPr>
      </w:pPr>
    </w:p>
    <w:p>
      <w:pPr>
        <w:ind w:left="760" w:right="260" w:hanging="378"/>
        <w:spacing w:after="0" w:line="245" w:lineRule="auto"/>
        <w:tabs>
          <w:tab w:leader="none" w:pos="760" w:val="left"/>
        </w:tabs>
        <w:numPr>
          <w:ilvl w:val="0"/>
          <w:numId w:val="24"/>
        </w:numPr>
        <w:rPr>
          <w:rFonts w:ascii="Arial" w:cs="Arial" w:eastAsia="Arial" w:hAnsi="Arial"/>
          <w:sz w:val="20"/>
          <w:szCs w:val="20"/>
          <w:color w:val="007DC6"/>
        </w:rPr>
      </w:pPr>
      <w:r>
        <w:rPr>
          <w:rFonts w:ascii="Arial" w:cs="Arial" w:eastAsia="Arial" w:hAnsi="Arial"/>
          <w:sz w:val="20"/>
          <w:szCs w:val="20"/>
          <w:color w:val="auto"/>
        </w:rPr>
        <w:t>Heritage aggregates average selling price is expected to increase in a range of 3% to 5% and shipments by end-use market compared with 2017 levels are as follows:</w:t>
      </w:r>
    </w:p>
    <w:p>
      <w:pPr>
        <w:spacing w:after="0" w:line="1" w:lineRule="exact"/>
        <w:rPr>
          <w:rFonts w:ascii="Arial" w:cs="Arial" w:eastAsia="Arial" w:hAnsi="Arial"/>
          <w:sz w:val="20"/>
          <w:szCs w:val="20"/>
          <w:color w:val="007DC6"/>
        </w:rPr>
      </w:pPr>
    </w:p>
    <w:p>
      <w:pPr>
        <w:ind w:left="1140" w:hanging="384"/>
        <w:spacing w:after="0" w:line="237" w:lineRule="auto"/>
        <w:tabs>
          <w:tab w:leader="none" w:pos="1140" w:val="left"/>
        </w:tabs>
        <w:numPr>
          <w:ilvl w:val="1"/>
          <w:numId w:val="24"/>
        </w:numPr>
        <w:rPr>
          <w:rFonts w:ascii="Arial" w:cs="Arial" w:eastAsia="Arial" w:hAnsi="Arial"/>
          <w:sz w:val="20"/>
          <w:szCs w:val="20"/>
          <w:color w:val="auto"/>
        </w:rPr>
      </w:pPr>
      <w:r>
        <w:rPr>
          <w:rFonts w:ascii="Arial" w:cs="Arial" w:eastAsia="Arial" w:hAnsi="Arial"/>
          <w:sz w:val="20"/>
          <w:szCs w:val="20"/>
          <w:color w:val="auto"/>
        </w:rPr>
        <w:t>Infrastructure shipments to increase in the mid-single digits.</w:t>
      </w:r>
    </w:p>
    <w:p>
      <w:pPr>
        <w:ind w:left="1140" w:hanging="384"/>
        <w:spacing w:after="0" w:line="237" w:lineRule="auto"/>
        <w:tabs>
          <w:tab w:leader="none" w:pos="1140" w:val="left"/>
        </w:tabs>
        <w:numPr>
          <w:ilvl w:val="1"/>
          <w:numId w:val="24"/>
        </w:numPr>
        <w:rPr>
          <w:rFonts w:ascii="Arial" w:cs="Arial" w:eastAsia="Arial" w:hAnsi="Arial"/>
          <w:sz w:val="20"/>
          <w:szCs w:val="20"/>
          <w:color w:val="auto"/>
        </w:rPr>
      </w:pPr>
      <w:r>
        <w:rPr>
          <w:rFonts w:ascii="Arial" w:cs="Arial" w:eastAsia="Arial" w:hAnsi="Arial"/>
          <w:sz w:val="20"/>
          <w:szCs w:val="20"/>
          <w:color w:val="auto"/>
        </w:rPr>
        <w:t>Nonresidential shipments to increase in the low- to mid-single digits.</w:t>
      </w:r>
    </w:p>
    <w:p>
      <w:pPr>
        <w:ind w:left="1140" w:hanging="384"/>
        <w:spacing w:after="0" w:line="237" w:lineRule="auto"/>
        <w:tabs>
          <w:tab w:leader="none" w:pos="1140" w:val="left"/>
        </w:tabs>
        <w:numPr>
          <w:ilvl w:val="1"/>
          <w:numId w:val="24"/>
        </w:numPr>
        <w:rPr>
          <w:rFonts w:ascii="Arial" w:cs="Arial" w:eastAsia="Arial" w:hAnsi="Arial"/>
          <w:sz w:val="20"/>
          <w:szCs w:val="20"/>
          <w:color w:val="auto"/>
        </w:rPr>
      </w:pPr>
      <w:r>
        <w:rPr>
          <w:rFonts w:ascii="Arial" w:cs="Arial" w:eastAsia="Arial" w:hAnsi="Arial"/>
          <w:sz w:val="20"/>
          <w:szCs w:val="20"/>
          <w:color w:val="auto"/>
        </w:rPr>
        <w:t>Residential shipments to increase in the high-single digits.</w:t>
      </w:r>
    </w:p>
    <w:p>
      <w:pPr>
        <w:ind w:left="1140" w:hanging="384"/>
        <w:spacing w:after="0"/>
        <w:tabs>
          <w:tab w:leader="none" w:pos="1140" w:val="left"/>
        </w:tabs>
        <w:numPr>
          <w:ilvl w:val="1"/>
          <w:numId w:val="24"/>
        </w:numPr>
        <w:rPr>
          <w:rFonts w:ascii="Arial" w:cs="Arial" w:eastAsia="Arial" w:hAnsi="Arial"/>
          <w:sz w:val="20"/>
          <w:szCs w:val="20"/>
          <w:color w:val="auto"/>
        </w:rPr>
      </w:pPr>
      <w:r>
        <w:rPr>
          <w:rFonts w:ascii="Arial" w:cs="Arial" w:eastAsia="Arial" w:hAnsi="Arial"/>
          <w:sz w:val="20"/>
          <w:szCs w:val="20"/>
          <w:color w:val="auto"/>
        </w:rPr>
        <w:t>ChemRock/Rail shipments to remain stable.</w:t>
      </w:r>
    </w:p>
    <w:p>
      <w:pPr>
        <w:spacing w:after="0" w:line="316" w:lineRule="exact"/>
        <w:rPr>
          <w:sz w:val="20"/>
          <w:szCs w:val="20"/>
          <w:color w:val="auto"/>
        </w:rPr>
      </w:pPr>
    </w:p>
    <w:p>
      <w:pPr>
        <w:spacing w:after="0"/>
        <w:rPr>
          <w:sz w:val="20"/>
          <w:szCs w:val="20"/>
          <w:color w:val="auto"/>
        </w:rPr>
      </w:pPr>
      <w:r>
        <w:rPr>
          <w:rFonts w:ascii="Arial" w:cs="Arial" w:eastAsia="Arial" w:hAnsi="Arial"/>
          <w:sz w:val="20"/>
          <w:szCs w:val="20"/>
          <w:color w:val="auto"/>
        </w:rPr>
        <w:t>OTHER MATTERS</w:t>
      </w:r>
    </w:p>
    <w:p>
      <w:pPr>
        <w:spacing w:after="0" w:line="105"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If you are interested in Martin Marietta stock, management recommends that, at a minimum, you read the Company’s current annual report and Forms 10-K, 10-Q and 8-K reports to the Securities and Exchange Commission (SEC) over the past year. The Company’s recent proxy statement for the annual meeting of shareholders also contains important information. These and other materials that have been filed with the SEC are accessible through the Company’s website at www.martinmarietta.com and are also available at the SEC’s website at www.sec.gov. You may also write or call the Company’s Corporate Secretary, who will provide copies of such reports.</w:t>
      </w:r>
    </w:p>
    <w:p>
      <w:pPr>
        <w:spacing w:after="0" w:line="70"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Investors are cautioned that all statements in this Form 10-Q that relate to the future involve risks and uncertainties, and are based on assumptions that the Company believes in good faith are reasonable but which may be materially different from actual results. These statements, which are forward-looking statements under the Private Securities Litigation Reform Act of 1995, give the investor the Company’s expectations or forecasts of future events. You can identify these statements by the fact that they do not relate only to historical or current facts. They may use words such</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35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March 31, 2018</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line="237" w:lineRule="auto"/>
        <w:rPr>
          <w:sz w:val="20"/>
          <w:szCs w:val="20"/>
          <w:color w:val="auto"/>
        </w:rPr>
      </w:pPr>
      <w:r>
        <w:rPr>
          <w:rFonts w:ascii="Arial" w:cs="Arial" w:eastAsia="Arial" w:hAnsi="Arial"/>
          <w:sz w:val="20"/>
          <w:szCs w:val="20"/>
          <w:color w:val="auto"/>
        </w:rPr>
        <w:t>First Quarter Ended March 31, 2018</w:t>
      </w:r>
    </w:p>
    <w:p>
      <w:pPr>
        <w:jc w:val="center"/>
        <w:spacing w:after="0"/>
        <w:rPr>
          <w:sz w:val="20"/>
          <w:szCs w:val="20"/>
          <w:color w:val="auto"/>
        </w:rPr>
      </w:pPr>
      <w:r>
        <w:rPr>
          <w:rFonts w:ascii="Arial" w:cs="Arial" w:eastAsia="Arial" w:hAnsi="Arial"/>
          <w:sz w:val="20"/>
          <w:szCs w:val="20"/>
          <w:color w:val="auto"/>
        </w:rPr>
        <w:t>(Continued)</w:t>
      </w:r>
    </w:p>
    <w:p>
      <w:pPr>
        <w:spacing w:after="0" w:line="236" w:lineRule="exact"/>
        <w:rPr>
          <w:sz w:val="20"/>
          <w:szCs w:val="20"/>
          <w:color w:val="auto"/>
        </w:rPr>
      </w:pPr>
    </w:p>
    <w:p>
      <w:pPr>
        <w:jc w:val="both"/>
        <w:ind w:right="20"/>
        <w:spacing w:after="0" w:line="344" w:lineRule="auto"/>
        <w:rPr>
          <w:sz w:val="20"/>
          <w:szCs w:val="20"/>
          <w:color w:val="auto"/>
        </w:rPr>
      </w:pPr>
      <w:r>
        <w:rPr>
          <w:rFonts w:ascii="Arial" w:cs="Arial" w:eastAsia="Arial" w:hAnsi="Arial"/>
          <w:sz w:val="17"/>
          <w:szCs w:val="17"/>
          <w:color w:val="auto"/>
        </w:rPr>
        <w:t>as "anticipate," "expect," "should be," "believe," “will,” and other words of similar meaning in connection with future events or future operating or financial performance. Any or all of management’s forward-looking statements here and in other publications may turn out to be wrong.</w:t>
      </w:r>
    </w:p>
    <w:p>
      <w:pPr>
        <w:spacing w:after="0" w:line="2" w:lineRule="exact"/>
        <w:rPr>
          <w:sz w:val="20"/>
          <w:szCs w:val="20"/>
          <w:color w:val="auto"/>
        </w:rPr>
      </w:pPr>
    </w:p>
    <w:p>
      <w:pPr>
        <w:jc w:val="both"/>
        <w:spacing w:after="0" w:line="229" w:lineRule="exact"/>
        <w:rPr>
          <w:sz w:val="20"/>
          <w:szCs w:val="20"/>
          <w:color w:val="auto"/>
        </w:rPr>
      </w:pPr>
      <w:r>
        <w:rPr>
          <w:rFonts w:ascii="Arial" w:cs="Arial" w:eastAsia="Arial" w:hAnsi="Arial"/>
          <w:sz w:val="17"/>
          <w:szCs w:val="17"/>
          <w:color w:val="auto"/>
        </w:rPr>
        <w:t>The Company’s outlook is subject to various risks and uncertainties, and is based on assumptions that the Company believes in good faith are reasonable but which may be materially different from actual results. Factors that the Company currently believes could cause actual results to differ materially from the forward-looking statements in this Form 10-Q (including the outlook) include, but are not limited to: include, the performance of the United States economy, including shipment declines resulting from economic events beyond the Company’s control; widespread decline in aggregates pricing, including a decline in aggregates volume negatively affecting aggregates price; the history of both cement and ready mixed concrete being subject to significant changes in supply, demand and price fluctuations; the termination, capping and/or reduction or suspension of the federal and/or state gasoline tax(es) or other revenue related to infrastructure construction; the level and timing of federal, and state or local transportation funding, most particularly in Texas, North Carolina, Iowa, Colorado, Georgia and Maryland, including a significant change in the funding patterns for federal, state and/or local infrastructure projects or the United States Congress’ inability to reach agreement among themselves or with the current Administration on policy issues that impact the federal budget; the ability of states and/or other entities to finance approved projects either with tax revenues or alternative financing structures; levels of construction spending in the markets the Company serves, volatility in the commencement of infrastructure projects and other funding pressures that impact profitability; a reduction in defense spending, and the subsequent impact on construction activity on or near military bases; a decline in the commercial component of the nonresidential construction market, notably office and retail space; a slowdown decline in energy-related construction activity resulting from a sustained period of low global oil prices or changes in oil production patterns in response to this decline, particularly in Texas; a slowdown in residential construction recovery; unfavorable weather conditions, particularly Atlantic Ocean and Gulf Coast hurricane activity, the late start to spring or the early onset of winter and the impact of a drought or excessive rainfall in the markets served by the Company, any of which can significantly affect production schedules, volumes and profitability; the volatility of fuel costs, particularly diesel fuel, and the impact on the cost, or the availability generally, of other consumables, namely steel, explosives, tires and conveyor belts, and with respect to the Company’s Magnesia Specialties business, natural gas; continued increases in the cost of other repair and supply parts; construction labor shortages and/or supply</w:t>
      </w:r>
      <w:r>
        <w:rPr>
          <w:rFonts w:ascii="MS PGothic" w:cs="MS PGothic" w:eastAsia="MS PGothic" w:hAnsi="MS PGothic"/>
          <w:sz w:val="17"/>
          <w:szCs w:val="17"/>
          <w:color w:val="auto"/>
        </w:rPr>
        <w:t>‐</w:t>
      </w:r>
      <w:r>
        <w:rPr>
          <w:rFonts w:ascii="Arial" w:cs="Arial" w:eastAsia="Arial" w:hAnsi="Arial"/>
          <w:sz w:val="17"/>
          <w:szCs w:val="17"/>
          <w:color w:val="auto"/>
        </w:rPr>
        <w:t>chain challenges; unexpected equipment failures, unscheduled maintenance, industrial accident or other prolonged and/or significant disruption to production facilities; increasing governmental regulation, including environmental laws; transportation availability or a sustained reduction in capital investment by the railroads, notably the availability of railcars, and locomotive power and the condition of rail infrastructure to move trains to supply the Company’s Texas, Colorado, Florida, North Carolina and the Gulf Coast markets, including the movement of essential dolomitic lime for magnesia chemicals to the Company’s plant in Manistee, Michigan and its customers; increased transportation costs, including increases from higher or fluctuating passed-through energy costs or fuel surcharges, and other costs to comply with tightening regulations, as well as higher volumes of rail and water shipments; availability of trucks and licensed drivers for transport of the Company’s materials; availability and cost of construction equipment in the United States; weakening in the steel industry markets served by the Company’s dolomitic lime products; a trade dispute with one or more nations impacting the U.S. economy, including the impact of tariffs on the steel industry; unplanned changes in costs or realignment of customers that introduce volatility to earnings, including that of the Magnesia Specialties business that is running at capacity; proper functioning of information technology and automated operating systems to manage or support operations; inflation and its effect on both production and interest costs; the concentration of customers in construction markets and the</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36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March 31, 2018</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line="237" w:lineRule="auto"/>
        <w:rPr>
          <w:sz w:val="20"/>
          <w:szCs w:val="20"/>
          <w:color w:val="auto"/>
        </w:rPr>
      </w:pPr>
      <w:r>
        <w:rPr>
          <w:rFonts w:ascii="Arial" w:cs="Arial" w:eastAsia="Arial" w:hAnsi="Arial"/>
          <w:sz w:val="20"/>
          <w:szCs w:val="20"/>
          <w:color w:val="auto"/>
        </w:rPr>
        <w:t>First Quarter Ended March 31, 2018</w:t>
      </w:r>
    </w:p>
    <w:p>
      <w:pPr>
        <w:jc w:val="center"/>
        <w:spacing w:after="0"/>
        <w:rPr>
          <w:sz w:val="20"/>
          <w:szCs w:val="20"/>
          <w:color w:val="auto"/>
        </w:rPr>
      </w:pPr>
      <w:r>
        <w:rPr>
          <w:rFonts w:ascii="Arial" w:cs="Arial" w:eastAsia="Arial" w:hAnsi="Arial"/>
          <w:sz w:val="20"/>
          <w:szCs w:val="20"/>
          <w:color w:val="auto"/>
        </w:rPr>
        <w:t>(Continued)</w:t>
      </w:r>
    </w:p>
    <w:p>
      <w:pPr>
        <w:spacing w:after="0" w:line="236"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increased risk of potential losses on customer receivables; the impact of the level of demand in the Company’s end-use markets, production levels and management of production costs on the operating leverage and therefore profitability of the Company; the possibility that the expected synergies from acquisitions (including the acquisition of Bluegrass) will not be realized or will not be realized within the expected time period, including achieving anticipated profitability to maintain compliance with the Company’s leverage ratio debt covenant; changes in tax laws, the interpretation of such laws and/or administrative practices that would increase the Company’s tax rate; violation of the Company’s debt covenant if price and/or volumes return to previous levels of instability; downward pressure on the Company’s common stock price and its impact on goodwill impairment evaluations; reduction of the Company’s credit rating to non-investment grade resulting from strategic acquisitions; and other risk factors listed from time to time found in the Company’s filings with the SEC. Other factors besides those listed here may also adversely affect the Company, and may be material to the Company. The Company assumes no obligation to update any such forward-looking statements.</w:t>
      </w:r>
    </w:p>
    <w:p>
      <w:pPr>
        <w:spacing w:after="0" w:line="79"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You should consider these forward-looking statements in light of risk factors discussed in our Annual Report on Form 10-K for the year ended December 31, 2017, the Current Report on Form 8-K filed on March 16, 2018 and other periodic filings made with the SEC. All of the Company’s forward-looking statements should be considered in light of these factors. In addition, other risks and uncertainties not presently known to the Company or that the Company considers immaterial could affect the accuracy of the Company’s forward-looking statements.</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color w:val="auto"/>
        </w:rPr>
        <w:t>INVESTOR ACCESS TO COMPANY FILINGS</w:t>
      </w:r>
    </w:p>
    <w:p>
      <w:pPr>
        <w:spacing w:after="0" w:line="10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Shareholders may obtain, without charge, a copy of Martin Marietta’s Annual Report on Form 10-K, as filed with the Securities and Exchange Commission for the fiscal year ended December 31, 2017, by writing to:</w:t>
      </w:r>
    </w:p>
    <w:p>
      <w:pPr>
        <w:spacing w:after="0" w:line="69" w:lineRule="exact"/>
        <w:rPr>
          <w:sz w:val="20"/>
          <w:szCs w:val="20"/>
          <w:color w:val="auto"/>
        </w:rPr>
      </w:pPr>
    </w:p>
    <w:p>
      <w:pPr>
        <w:ind w:left="260"/>
        <w:spacing w:after="0"/>
        <w:rPr>
          <w:sz w:val="20"/>
          <w:szCs w:val="20"/>
          <w:color w:val="auto"/>
        </w:rPr>
      </w:pPr>
      <w:r>
        <w:rPr>
          <w:rFonts w:ascii="Arial" w:cs="Arial" w:eastAsia="Arial" w:hAnsi="Arial"/>
          <w:sz w:val="20"/>
          <w:szCs w:val="20"/>
          <w:color w:val="auto"/>
        </w:rPr>
        <w:t>Martin Marietta</w:t>
      </w:r>
    </w:p>
    <w:p>
      <w:pPr>
        <w:spacing w:after="0" w:line="11" w:lineRule="exact"/>
        <w:rPr>
          <w:sz w:val="20"/>
          <w:szCs w:val="20"/>
          <w:color w:val="auto"/>
        </w:rPr>
      </w:pPr>
    </w:p>
    <w:p>
      <w:pPr>
        <w:ind w:left="260"/>
        <w:spacing w:after="0"/>
        <w:rPr>
          <w:sz w:val="20"/>
          <w:szCs w:val="20"/>
          <w:color w:val="auto"/>
        </w:rPr>
      </w:pPr>
      <w:r>
        <w:rPr>
          <w:rFonts w:ascii="Arial" w:cs="Arial" w:eastAsia="Arial" w:hAnsi="Arial"/>
          <w:sz w:val="20"/>
          <w:szCs w:val="20"/>
          <w:color w:val="auto"/>
        </w:rPr>
        <w:t>Attn: Corporate Secretary</w:t>
      </w:r>
    </w:p>
    <w:p>
      <w:pPr>
        <w:ind w:left="260"/>
        <w:spacing w:after="0" w:line="237" w:lineRule="auto"/>
        <w:rPr>
          <w:sz w:val="20"/>
          <w:szCs w:val="20"/>
          <w:color w:val="auto"/>
        </w:rPr>
      </w:pPr>
      <w:r>
        <w:rPr>
          <w:rFonts w:ascii="Arial" w:cs="Arial" w:eastAsia="Arial" w:hAnsi="Arial"/>
          <w:sz w:val="20"/>
          <w:szCs w:val="20"/>
          <w:color w:val="auto"/>
        </w:rPr>
        <w:t>2710 Wycliff Road</w:t>
      </w:r>
    </w:p>
    <w:p>
      <w:pPr>
        <w:ind w:left="260"/>
        <w:spacing w:after="0"/>
        <w:rPr>
          <w:sz w:val="20"/>
          <w:szCs w:val="20"/>
          <w:color w:val="auto"/>
        </w:rPr>
      </w:pPr>
      <w:r>
        <w:rPr>
          <w:rFonts w:ascii="Arial" w:cs="Arial" w:eastAsia="Arial" w:hAnsi="Arial"/>
          <w:sz w:val="20"/>
          <w:szCs w:val="20"/>
          <w:color w:val="auto"/>
        </w:rPr>
        <w:t>Raleigh, North Carolina 27607-3033</w:t>
      </w:r>
    </w:p>
    <w:p>
      <w:pPr>
        <w:spacing w:after="0" w:line="89"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Additionally, Martin Marietta’s Annual Report, press releases and filings with the Securities and Exchange Commission, including Forms 10-K, 10-Q, 8-K and 11-K, can generally be accessed via the Company’s website. Filings with the Securities and Exchange Commission accessed via the website are available through a link with the Electronic Data Gathering, Analysis, and Retrieval (EDGAR) system. Accordingly, access to such filings is available upon EDGAR placing the related document in its database. Investor relations contact information is as follows:</w:t>
      </w:r>
    </w:p>
    <w:p>
      <w:pPr>
        <w:spacing w:after="0" w:line="36" w:lineRule="exact"/>
        <w:rPr>
          <w:sz w:val="20"/>
          <w:szCs w:val="20"/>
          <w:color w:val="auto"/>
        </w:rPr>
      </w:pPr>
    </w:p>
    <w:p>
      <w:pPr>
        <w:ind w:left="260"/>
        <w:spacing w:after="0"/>
        <w:rPr>
          <w:sz w:val="20"/>
          <w:szCs w:val="20"/>
          <w:color w:val="auto"/>
        </w:rPr>
      </w:pPr>
      <w:r>
        <w:rPr>
          <w:rFonts w:ascii="Arial" w:cs="Arial" w:eastAsia="Arial" w:hAnsi="Arial"/>
          <w:sz w:val="20"/>
          <w:szCs w:val="20"/>
          <w:color w:val="auto"/>
        </w:rPr>
        <w:t>Telephone: (919) 510-4776</w:t>
      </w:r>
    </w:p>
    <w:p>
      <w:pPr>
        <w:spacing w:after="0" w:line="13" w:lineRule="exact"/>
        <w:rPr>
          <w:sz w:val="20"/>
          <w:szCs w:val="20"/>
          <w:color w:val="auto"/>
        </w:rPr>
      </w:pPr>
    </w:p>
    <w:p>
      <w:pPr>
        <w:ind w:left="260"/>
        <w:spacing w:after="0"/>
        <w:rPr>
          <w:sz w:val="20"/>
          <w:szCs w:val="20"/>
          <w:color w:val="auto"/>
        </w:rPr>
      </w:pPr>
      <w:r>
        <w:rPr>
          <w:rFonts w:ascii="Arial" w:cs="Arial" w:eastAsia="Arial" w:hAnsi="Arial"/>
          <w:sz w:val="20"/>
          <w:szCs w:val="20"/>
          <w:color w:val="auto"/>
        </w:rPr>
        <w:t>Website address: www.martinmarietta.com</w:t>
      </w:r>
    </w:p>
    <w:p>
      <w:pPr>
        <w:spacing w:after="0" w:line="89" w:lineRule="exact"/>
        <w:rPr>
          <w:sz w:val="20"/>
          <w:szCs w:val="20"/>
          <w:color w:val="auto"/>
        </w:rPr>
      </w:pPr>
    </w:p>
    <w:p>
      <w:pPr>
        <w:spacing w:after="0"/>
        <w:rPr>
          <w:sz w:val="20"/>
          <w:szCs w:val="20"/>
          <w:color w:val="auto"/>
        </w:rPr>
      </w:pPr>
      <w:r>
        <w:rPr>
          <w:rFonts w:ascii="Arial" w:cs="Arial" w:eastAsia="Arial" w:hAnsi="Arial"/>
          <w:sz w:val="20"/>
          <w:szCs w:val="20"/>
          <w:color w:val="auto"/>
        </w:rPr>
        <w:t>Information included on the Company’s website is not incorporated into, or otherwise create a part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37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2018</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Item 3. Quantitative and Qualitative Disclosures About Market Risk.</w:t>
      </w:r>
    </w:p>
    <w:p>
      <w:pPr>
        <w:spacing w:after="0" w:line="105" w:lineRule="exact"/>
        <w:rPr>
          <w:sz w:val="20"/>
          <w:szCs w:val="20"/>
          <w:color w:val="auto"/>
        </w:rPr>
      </w:pPr>
    </w:p>
    <w:p>
      <w:pPr>
        <w:jc w:val="both"/>
        <w:ind w:right="20"/>
        <w:spacing w:after="0" w:line="344" w:lineRule="auto"/>
        <w:rPr>
          <w:sz w:val="20"/>
          <w:szCs w:val="20"/>
          <w:color w:val="auto"/>
        </w:rPr>
      </w:pPr>
      <w:r>
        <w:rPr>
          <w:rFonts w:ascii="Arial" w:cs="Arial" w:eastAsia="Arial" w:hAnsi="Arial"/>
          <w:sz w:val="17"/>
          <w:szCs w:val="17"/>
          <w:color w:val="auto"/>
        </w:rPr>
        <w:t>The Company’s operations are highly dependent upon the interest rate-sensitive construction and steelmaking industries. Consequently, these marketplaces could experience lower levels of economic activity in an environment of rising interest rates or escalating costs.</w:t>
      </w:r>
    </w:p>
    <w:p>
      <w:pPr>
        <w:spacing w:after="0" w:line="2"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Management has considered the current economic environment and its potential impact to the Company’s business. Demand for aggregates products, particularly in the infrastructure construction market, is affected by federal and state budget and deficit issues. Further, delays or cancellations of capital projects in the nonresidential and residential construction markets could occur if companies and consumers are unable to obtain financing for construction projects or if consumer confidence continues to be eroded by economic uncertainty.</w:t>
      </w:r>
    </w:p>
    <w:p>
      <w:pPr>
        <w:spacing w:after="0" w:line="36"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Demand in the residential construction market is affected by interest rates. The Federal Reserve raised the federal funds rate to 1.7% during the three-months ended March 31, 2018. The residential construction market accounted for 21% of the Company’s aggregates product line shipments in 2017.</w:t>
      </w:r>
    </w:p>
    <w:p>
      <w:pPr>
        <w:spacing w:after="0" w:line="79"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Aside from these inherent risks from within its operations, the Company’s earnings are also affected by changes in short-term interest rates. However, rising interest rates are not necessarily predictive of weaker operating results. Historically, the Company’s profitability increased during periods of rising interest rates. In essence, the Company’s underlying business generally serves as a natural hedge to rising interest rates.</w:t>
      </w:r>
    </w:p>
    <w:p>
      <w:pPr>
        <w:spacing w:after="0" w:line="2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i w:val="1"/>
          <w:iCs w:val="1"/>
          <w:color w:val="auto"/>
        </w:rPr>
        <w:t xml:space="preserve">Variable-Rate Borrowing Facilities. </w:t>
      </w:r>
      <w:r>
        <w:rPr>
          <w:rFonts w:ascii="Arial" w:cs="Arial" w:eastAsia="Arial" w:hAnsi="Arial"/>
          <w:sz w:val="20"/>
          <w:szCs w:val="20"/>
          <w:color w:val="auto"/>
        </w:rPr>
        <w:t>At March 31, 2018, the Company had a $700 million Credit Agreement and a $300 million Trade</w:t>
      </w:r>
      <w:r>
        <w:rPr>
          <w:rFonts w:ascii="Arial" w:cs="Arial" w:eastAsia="Arial" w:hAnsi="Arial"/>
          <w:sz w:val="20"/>
          <w:szCs w:val="20"/>
          <w:i w:val="1"/>
          <w:iCs w:val="1"/>
          <w:color w:val="auto"/>
        </w:rPr>
        <w:t xml:space="preserve"> </w:t>
      </w:r>
      <w:r>
        <w:rPr>
          <w:rFonts w:ascii="Arial" w:cs="Arial" w:eastAsia="Arial" w:hAnsi="Arial"/>
          <w:sz w:val="20"/>
          <w:szCs w:val="20"/>
          <w:color w:val="auto"/>
        </w:rPr>
        <w:t>Receivable Facility. The Company also has $600 million variable-rate senior notes. Borrowings under these facilities bear interest at a variable interest rate. A hypothetical 100-basis-point increase in interest rates on borrowings of $600.0 million, which was the collective outstanding balance at March 31, 2018, would increase interest expense by $6.0 million on an annual basis.</w:t>
      </w:r>
    </w:p>
    <w:p>
      <w:pPr>
        <w:spacing w:after="0" w:line="86" w:lineRule="exact"/>
        <w:rPr>
          <w:sz w:val="20"/>
          <w:szCs w:val="20"/>
          <w:color w:val="auto"/>
        </w:rPr>
      </w:pPr>
    </w:p>
    <w:p>
      <w:pPr>
        <w:jc w:val="both"/>
        <w:spacing w:after="0" w:line="301" w:lineRule="auto"/>
        <w:rPr>
          <w:sz w:val="20"/>
          <w:szCs w:val="20"/>
          <w:color w:val="auto"/>
        </w:rPr>
      </w:pPr>
      <w:r>
        <w:rPr>
          <w:rFonts w:ascii="Arial" w:cs="Arial" w:eastAsia="Arial" w:hAnsi="Arial"/>
          <w:sz w:val="17"/>
          <w:szCs w:val="17"/>
          <w:i w:val="1"/>
          <w:iCs w:val="1"/>
          <w:color w:val="auto"/>
        </w:rPr>
        <w:t xml:space="preserve">Pension Expense. </w:t>
      </w:r>
      <w:r>
        <w:rPr>
          <w:rFonts w:ascii="Arial" w:cs="Arial" w:eastAsia="Arial" w:hAnsi="Arial"/>
          <w:sz w:val="17"/>
          <w:szCs w:val="17"/>
          <w:color w:val="auto"/>
        </w:rPr>
        <w:t>The Company’s results of operations are affected by its pension expense. Assumptions that affect pension expense include the</w:t>
      </w:r>
      <w:r>
        <w:rPr>
          <w:rFonts w:ascii="Arial" w:cs="Arial" w:eastAsia="Arial" w:hAnsi="Arial"/>
          <w:sz w:val="17"/>
          <w:szCs w:val="17"/>
          <w:i w:val="1"/>
          <w:iCs w:val="1"/>
          <w:color w:val="auto"/>
        </w:rPr>
        <w:t xml:space="preserve"> </w:t>
      </w:r>
      <w:r>
        <w:rPr>
          <w:rFonts w:ascii="Arial" w:cs="Arial" w:eastAsia="Arial" w:hAnsi="Arial"/>
          <w:sz w:val="17"/>
          <w:szCs w:val="17"/>
          <w:color w:val="auto"/>
        </w:rPr>
        <w:t>discount rate and, for the qualified defined benefit pension plan only, the expected long-term rate of return on assets. Therefore, the Company has interest rate risk associated with these factors. The impact of hypothetical changes in these assumptions on the Company’s annual pension expense is discussed in the Company’s Annual Report on Form 10-K for the year ended December 31, 2017.</w:t>
      </w:r>
    </w:p>
    <w:p>
      <w:pPr>
        <w:spacing w:after="0" w:line="36" w:lineRule="exact"/>
        <w:rPr>
          <w:sz w:val="20"/>
          <w:szCs w:val="20"/>
          <w:color w:val="auto"/>
        </w:rPr>
      </w:pPr>
    </w:p>
    <w:p>
      <w:pPr>
        <w:jc w:val="both"/>
        <w:spacing w:after="0" w:line="242" w:lineRule="auto"/>
        <w:rPr>
          <w:sz w:val="20"/>
          <w:szCs w:val="20"/>
          <w:color w:val="auto"/>
        </w:rPr>
      </w:pPr>
      <w:r>
        <w:rPr>
          <w:rFonts w:ascii="Arial" w:cs="Arial" w:eastAsia="Arial" w:hAnsi="Arial"/>
          <w:sz w:val="20"/>
          <w:szCs w:val="20"/>
          <w:i w:val="1"/>
          <w:iCs w:val="1"/>
          <w:color w:val="auto"/>
        </w:rPr>
        <w:t>Energy Costs</w:t>
      </w:r>
      <w:r>
        <w:rPr>
          <w:rFonts w:ascii="Arial" w:cs="Arial" w:eastAsia="Arial" w:hAnsi="Arial"/>
          <w:sz w:val="20"/>
          <w:szCs w:val="20"/>
          <w:color w:val="auto"/>
        </w:rPr>
        <w:t>. Energy costs, including diesel fuel, natural gas, coal and liquid asphalt, represent significant production costs of the</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The cement operations and Magnesia Specialties business have fixed price agreements covering 100% of its 2018 coal requirements. Energy prices for the three-months ended March 31, 2018 increased 20% over the prior-year quarter. A hypothetical 20% change in the Company’s energy prices for the full year 2018 as compared with 2017, assuming constant volumes, would change full year 2018 energy expense by $50.0 million.</w:t>
      </w:r>
    </w:p>
    <w:p>
      <w:pPr>
        <w:spacing w:after="0" w:line="85" w:lineRule="exact"/>
        <w:rPr>
          <w:sz w:val="20"/>
          <w:szCs w:val="20"/>
          <w:color w:val="auto"/>
        </w:rPr>
      </w:pPr>
    </w:p>
    <w:p>
      <w:pPr>
        <w:jc w:val="both"/>
        <w:spacing w:after="0" w:line="290" w:lineRule="auto"/>
        <w:rPr>
          <w:sz w:val="20"/>
          <w:szCs w:val="20"/>
          <w:color w:val="auto"/>
        </w:rPr>
      </w:pPr>
      <w:r>
        <w:rPr>
          <w:rFonts w:ascii="Arial" w:cs="Arial" w:eastAsia="Arial" w:hAnsi="Arial"/>
          <w:sz w:val="17"/>
          <w:szCs w:val="17"/>
          <w:i w:val="1"/>
          <w:iCs w:val="1"/>
          <w:color w:val="auto"/>
        </w:rPr>
        <w:t xml:space="preserve">Commodity Risk. </w:t>
      </w:r>
      <w:r>
        <w:rPr>
          <w:rFonts w:ascii="Arial" w:cs="Arial" w:eastAsia="Arial" w:hAnsi="Arial"/>
          <w:sz w:val="17"/>
          <w:szCs w:val="17"/>
          <w:color w:val="auto"/>
        </w:rPr>
        <w:t>Cement is a commodity and competition is based principally on price, which is highly sensitive to changes in supply and</w:t>
      </w:r>
      <w:r>
        <w:rPr>
          <w:rFonts w:ascii="Arial" w:cs="Arial" w:eastAsia="Arial" w:hAnsi="Arial"/>
          <w:sz w:val="17"/>
          <w:szCs w:val="17"/>
          <w:i w:val="1"/>
          <w:iCs w:val="1"/>
          <w:color w:val="auto"/>
        </w:rPr>
        <w:t xml:space="preserve"> </w:t>
      </w:r>
      <w:r>
        <w:rPr>
          <w:rFonts w:ascii="Arial" w:cs="Arial" w:eastAsia="Arial" w:hAnsi="Arial"/>
          <w:sz w:val="17"/>
          <w:szCs w:val="17"/>
          <w:color w:val="auto"/>
        </w:rPr>
        <w:t>demand. Prices are often subject to material changes in response to relatively minor fluctuations in supply and demand, general economic conditions and other market conditions beyond the Company’s control. Increases in the production capacity of industry participants or increases in cement imports tend to create an oversupply of such products leading to an imbalance between supply and demand, which can have a negative impact on product prices. There can be no assurance that prices for products sold will not decline in the future or that such declines will not have a material adverse effect on the Company’s business, financial condition and results of operations. Assuming total revenues for cement for full-year 2018 of $415 million to $445 million, a hypothetical 10% change in sales price would impact net sales by $41.5 million to $44.5 million.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38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line="237" w:lineRule="auto"/>
        <w:rPr>
          <w:sz w:val="20"/>
          <w:szCs w:val="20"/>
          <w:color w:val="auto"/>
        </w:rPr>
      </w:pPr>
      <w:r>
        <w:rPr>
          <w:rFonts w:ascii="Arial" w:cs="Arial" w:eastAsia="Arial" w:hAnsi="Arial"/>
          <w:sz w:val="20"/>
          <w:szCs w:val="20"/>
          <w:color w:val="auto"/>
        </w:rPr>
        <w:t>For the Quarter Ended March 31, 2018</w:t>
      </w:r>
    </w:p>
    <w:p>
      <w:pPr>
        <w:jc w:val="center"/>
        <w:spacing w:after="0"/>
        <w:rPr>
          <w:sz w:val="20"/>
          <w:szCs w:val="20"/>
          <w:color w:val="auto"/>
        </w:rPr>
      </w:pPr>
      <w:r>
        <w:rPr>
          <w:rFonts w:ascii="Arial" w:cs="Arial" w:eastAsia="Arial" w:hAnsi="Arial"/>
          <w:sz w:val="20"/>
          <w:szCs w:val="20"/>
          <w:color w:val="auto"/>
        </w:rPr>
        <w:t>(Continued)</w:t>
      </w: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color w:val="auto"/>
        </w:rPr>
        <w:t>Item 4. Controls and Procedures</w:t>
      </w:r>
    </w:p>
    <w:p>
      <w:pPr>
        <w:spacing w:after="0" w:line="105"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As of March 31, 2018, an evaluation was performed under the supervision and with the participation of the Company’s management, including the Chief Executive Officer and Chief Financial Officer, of the effectiveness of the design and the operation of the Company’s disclosure controls and procedures. Based on that evaluation, the Company’s management, including the Chief Executive Officer and Chief Financial Officer, concluded that the Company’s disclosure controls and procedures were effective as of March 31, 2018. There were no changes in the Company’s internal control over financial reporting during the most recently completed fiscal quarter that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39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2018</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PART II- 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1. Legal Proceedings.</w:t>
      </w:r>
    </w:p>
    <w:p>
      <w:pPr>
        <w:spacing w:after="0" w:line="105"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 xml:space="preserve">Reference is made to </w:t>
      </w:r>
      <w:r>
        <w:rPr>
          <w:rFonts w:ascii="Arial" w:cs="Arial" w:eastAsia="Arial" w:hAnsi="Arial"/>
          <w:sz w:val="20"/>
          <w:szCs w:val="20"/>
          <w:i w:val="1"/>
          <w:iCs w:val="1"/>
          <w:color w:val="auto"/>
        </w:rPr>
        <w:t>Part I</w:t>
      </w:r>
      <w:r>
        <w:rPr>
          <w:rFonts w:ascii="Arial" w:cs="Arial" w:eastAsia="Arial" w:hAnsi="Arial"/>
          <w:sz w:val="20"/>
          <w:szCs w:val="20"/>
          <w:color w:val="auto"/>
        </w:rPr>
        <w:t xml:space="preserve">. </w:t>
      </w:r>
      <w:r>
        <w:rPr>
          <w:rFonts w:ascii="Arial" w:cs="Arial" w:eastAsia="Arial" w:hAnsi="Arial"/>
          <w:sz w:val="20"/>
          <w:szCs w:val="20"/>
          <w:i w:val="1"/>
          <w:iCs w:val="1"/>
          <w:color w:val="auto"/>
        </w:rPr>
        <w:t>Item 3. Legal Proceedings</w:t>
      </w:r>
      <w:r>
        <w:rPr>
          <w:rFonts w:ascii="Arial" w:cs="Arial" w:eastAsia="Arial" w:hAnsi="Arial"/>
          <w:sz w:val="20"/>
          <w:szCs w:val="20"/>
          <w:color w:val="auto"/>
        </w:rPr>
        <w:t xml:space="preserve"> of the Martin Marietta Annual Report on Form 10-K for the year ended December 31, 2017.</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1A. Risk Factors.</w:t>
      </w:r>
    </w:p>
    <w:p>
      <w:pPr>
        <w:spacing w:after="0" w:line="105"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 xml:space="preserve">Reference is made to </w:t>
      </w:r>
      <w:r>
        <w:rPr>
          <w:rFonts w:ascii="Arial" w:cs="Arial" w:eastAsia="Arial" w:hAnsi="Arial"/>
          <w:sz w:val="20"/>
          <w:szCs w:val="20"/>
          <w:i w:val="1"/>
          <w:iCs w:val="1"/>
          <w:color w:val="auto"/>
        </w:rPr>
        <w:t>Part I. Item 1A. Risk Factors and Forward-Looking Statements</w:t>
      </w:r>
      <w:r>
        <w:rPr>
          <w:rFonts w:ascii="Arial" w:cs="Arial" w:eastAsia="Arial" w:hAnsi="Arial"/>
          <w:sz w:val="20"/>
          <w:szCs w:val="20"/>
          <w:color w:val="auto"/>
        </w:rPr>
        <w:t xml:space="preserve"> of the Martin Marietta Annual Report on Form 10-K for the year ended December 31, 2017.</w:t>
      </w:r>
    </w:p>
    <w:p>
      <w:pPr>
        <w:sectPr>
          <w:pgSz w:w="11900" w:h="16838" w:orient="portrait"/>
          <w:cols w:equalWidth="0" w:num="1">
            <w:col w:w="11420"/>
          </w:cols>
          <w:pgMar w:left="240" w:top="122" w:right="239" w:bottom="1440" w:gutter="0" w:footer="0" w:header="0"/>
        </w:sect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2. Unregistered Sales of Equity Securities and Use of Proceeds</w:t>
      </w:r>
      <w:r>
        <w:rPr>
          <w:rFonts w:ascii="Arial" w:cs="Arial" w:eastAsia="Arial" w:hAnsi="Arial"/>
          <w:sz w:val="20"/>
          <w:szCs w:val="20"/>
          <w:color w:val="auto"/>
        </w:rPr>
        <w:t>.</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color w:val="auto"/>
        </w:rPr>
        <w:t>ISSUER PURCHASES OF EQUITY SECURITIES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40" w:type="dxa"/>
            <w:vAlign w:val="bottom"/>
            <w:gridSpan w:val="2"/>
          </w:tcPr>
          <w:p>
            <w:pPr>
              <w:jc w:val="center"/>
              <w:ind w:left="146"/>
              <w:spacing w:after="0"/>
              <w:rPr>
                <w:sz w:val="20"/>
                <w:szCs w:val="20"/>
                <w:color w:val="auto"/>
              </w:rPr>
            </w:pPr>
            <w:r>
              <w:rPr>
                <w:rFonts w:ascii="Arial" w:cs="Arial" w:eastAsia="Arial" w:hAnsi="Arial"/>
                <w:sz w:val="19"/>
                <w:szCs w:val="19"/>
                <w:color w:val="auto"/>
                <w:w w:val="89"/>
              </w:rPr>
              <w:t>Total Number of Shares</w:t>
            </w:r>
          </w:p>
        </w:tc>
      </w:tr>
      <w:tr>
        <w:trPr>
          <w:trHeight w:val="227"/>
        </w:trPr>
        <w:tc>
          <w:tcPr>
            <w:tcW w:w="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9"/>
                <w:szCs w:val="19"/>
                <w:color w:val="auto"/>
                <w:w w:val="86"/>
              </w:rPr>
              <w:t>Purchased as Part of</w:t>
            </w:r>
          </w:p>
        </w:tc>
      </w:tr>
      <w:tr>
        <w:trPr>
          <w:trHeight w:val="227"/>
        </w:trPr>
        <w:tc>
          <w:tcPr>
            <w:tcW w:w="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9"/>
                <w:szCs w:val="19"/>
                <w:color w:val="auto"/>
                <w:w w:val="92"/>
              </w:rPr>
              <w:t>Total Number of</w:t>
            </w:r>
          </w:p>
        </w:tc>
        <w:tc>
          <w:tcPr>
            <w:tcW w:w="1220" w:type="dxa"/>
            <w:vAlign w:val="bottom"/>
            <w:gridSpan w:val="2"/>
          </w:tcPr>
          <w:p>
            <w:pPr>
              <w:ind w:left="80"/>
              <w:spacing w:after="0"/>
              <w:rPr>
                <w:sz w:val="20"/>
                <w:szCs w:val="20"/>
                <w:color w:val="auto"/>
              </w:rPr>
            </w:pPr>
            <w:r>
              <w:rPr>
                <w:rFonts w:ascii="Arial" w:cs="Arial" w:eastAsia="Arial" w:hAnsi="Arial"/>
                <w:sz w:val="19"/>
                <w:szCs w:val="19"/>
                <w:color w:val="auto"/>
                <w:w w:val="93"/>
              </w:rPr>
              <w:t>Average Price</w:t>
            </w:r>
          </w:p>
        </w:tc>
        <w:tc>
          <w:tcPr>
            <w:tcW w:w="24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9"/>
                <w:szCs w:val="19"/>
                <w:color w:val="auto"/>
                <w:w w:val="92"/>
              </w:rPr>
              <w:t>Publicly Announced</w:t>
            </w:r>
          </w:p>
        </w:tc>
      </w:tr>
      <w:tr>
        <w:trPr>
          <w:trHeight w:val="236"/>
        </w:trPr>
        <w:tc>
          <w:tcPr>
            <w:tcW w:w="20" w:type="dxa"/>
            <w:vAlign w:val="bottom"/>
          </w:tcPr>
          <w:p>
            <w:pPr>
              <w:spacing w:after="0"/>
              <w:rPr>
                <w:sz w:val="20"/>
                <w:szCs w:val="20"/>
                <w:color w:val="auto"/>
              </w:rPr>
            </w:pPr>
          </w:p>
        </w:tc>
        <w:tc>
          <w:tcPr>
            <w:tcW w:w="4340" w:type="dxa"/>
            <w:vAlign w:val="bottom"/>
            <w:gridSpan w:val="2"/>
          </w:tcPr>
          <w:p>
            <w:pPr>
              <w:ind w:left="1840"/>
              <w:spacing w:after="0"/>
              <w:rPr>
                <w:sz w:val="20"/>
                <w:szCs w:val="20"/>
                <w:color w:val="auto"/>
              </w:rPr>
            </w:pPr>
            <w:r>
              <w:rPr>
                <w:rFonts w:ascii="Arial" w:cs="Arial" w:eastAsia="Arial" w:hAnsi="Arial"/>
                <w:sz w:val="19"/>
                <w:szCs w:val="19"/>
                <w:color w:val="auto"/>
              </w:rPr>
              <w:t>Period</w:t>
            </w:r>
          </w:p>
        </w:tc>
        <w:tc>
          <w:tcPr>
            <w:tcW w:w="1760" w:type="dxa"/>
            <w:vAlign w:val="bottom"/>
            <w:gridSpan w:val="2"/>
          </w:tcPr>
          <w:p>
            <w:pPr>
              <w:jc w:val="center"/>
              <w:ind w:right="260"/>
              <w:spacing w:after="0"/>
              <w:rPr>
                <w:sz w:val="20"/>
                <w:szCs w:val="20"/>
                <w:color w:val="auto"/>
              </w:rPr>
            </w:pPr>
            <w:r>
              <w:rPr>
                <w:rFonts w:ascii="Arial" w:cs="Arial" w:eastAsia="Arial" w:hAnsi="Arial"/>
                <w:sz w:val="19"/>
                <w:szCs w:val="19"/>
                <w:color w:val="auto"/>
                <w:w w:val="83"/>
              </w:rPr>
              <w:t>Shares Purchased</w:t>
            </w:r>
          </w:p>
        </w:tc>
        <w:tc>
          <w:tcPr>
            <w:tcW w:w="1220" w:type="dxa"/>
            <w:vAlign w:val="bottom"/>
            <w:gridSpan w:val="2"/>
          </w:tcPr>
          <w:p>
            <w:pPr>
              <w:ind w:left="60"/>
              <w:spacing w:after="0"/>
              <w:rPr>
                <w:sz w:val="20"/>
                <w:szCs w:val="20"/>
                <w:color w:val="auto"/>
              </w:rPr>
            </w:pPr>
            <w:r>
              <w:rPr>
                <w:rFonts w:ascii="Arial" w:cs="Arial" w:eastAsia="Arial" w:hAnsi="Arial"/>
                <w:sz w:val="19"/>
                <w:szCs w:val="19"/>
                <w:color w:val="auto"/>
                <w:w w:val="89"/>
              </w:rPr>
              <w:t>Paid per Share</w:t>
            </w:r>
          </w:p>
        </w:tc>
        <w:tc>
          <w:tcPr>
            <w:tcW w:w="24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9"/>
                <w:szCs w:val="19"/>
                <w:color w:val="auto"/>
                <w:w w:val="87"/>
              </w:rPr>
              <w:t>Plans or Programs</w:t>
            </w:r>
          </w:p>
        </w:tc>
      </w:tr>
      <w:tr>
        <w:trPr>
          <w:trHeight w:val="231"/>
        </w:trPr>
        <w:tc>
          <w:tcPr>
            <w:tcW w:w="20" w:type="dxa"/>
            <w:vAlign w:val="bottom"/>
          </w:tcPr>
          <w:p>
            <w:pPr>
              <w:spacing w:after="0"/>
              <w:rPr>
                <w:sz w:val="20"/>
                <w:szCs w:val="20"/>
                <w:color w:val="auto"/>
              </w:rPr>
            </w:pPr>
          </w:p>
        </w:tc>
        <w:tc>
          <w:tcPr>
            <w:tcW w:w="420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January 1, 2018 - January 31, 2018</w:t>
            </w:r>
          </w:p>
        </w:tc>
        <w:tc>
          <w:tcPr>
            <w:tcW w:w="140" w:type="dxa"/>
            <w:vAlign w:val="bottom"/>
          </w:tcPr>
          <w:p>
            <w:pPr>
              <w:spacing w:after="0"/>
              <w:rPr>
                <w:sz w:val="20"/>
                <w:szCs w:val="20"/>
                <w:color w:val="auto"/>
              </w:rPr>
            </w:pPr>
          </w:p>
        </w:tc>
        <w:tc>
          <w:tcPr>
            <w:tcW w:w="1520" w:type="dxa"/>
            <w:vAlign w:val="bottom"/>
            <w:tcBorders>
              <w:top w:val="single" w:sz="8" w:color="auto"/>
            </w:tcBorders>
          </w:tcPr>
          <w:p>
            <w:pPr>
              <w:ind w:left="1320"/>
              <w:spacing w:after="0"/>
              <w:rPr>
                <w:sz w:val="20"/>
                <w:szCs w:val="20"/>
                <w:color w:val="auto"/>
              </w:rPr>
            </w:pPr>
            <w:r>
              <w:rPr>
                <w:rFonts w:ascii="Arial" w:cs="Arial" w:eastAsia="Arial" w:hAnsi="Arial"/>
                <w:sz w:val="20"/>
                <w:szCs w:val="20"/>
                <w:color w:val="auto"/>
                <w:w w:val="89"/>
              </w:rPr>
              <w:t>—</w:t>
            </w:r>
          </w:p>
        </w:tc>
        <w:tc>
          <w:tcPr>
            <w:tcW w:w="240" w:type="dxa"/>
            <w:vAlign w:val="bottom"/>
          </w:tcPr>
          <w:p>
            <w:pPr>
              <w:spacing w:after="0"/>
              <w:rPr>
                <w:sz w:val="20"/>
                <w:szCs w:val="20"/>
                <w:color w:val="auto"/>
              </w:rPr>
            </w:pPr>
          </w:p>
        </w:tc>
        <w:tc>
          <w:tcPr>
            <w:tcW w:w="560" w:type="dxa"/>
            <w:vAlign w:val="bottom"/>
            <w:tcBorders>
              <w:top w:val="single" w:sz="8" w:color="auto"/>
            </w:tcBorders>
          </w:tcPr>
          <w:p>
            <w:pPr>
              <w:jc w:val="right"/>
              <w:ind w:right="364"/>
              <w:spacing w:after="0"/>
              <w:rPr>
                <w:sz w:val="20"/>
                <w:szCs w:val="20"/>
                <w:color w:val="auto"/>
              </w:rPr>
            </w:pPr>
            <w:r>
              <w:rPr>
                <w:rFonts w:ascii="Arial" w:cs="Arial" w:eastAsia="Arial" w:hAnsi="Arial"/>
                <w:sz w:val="20"/>
                <w:szCs w:val="20"/>
                <w:color w:val="auto"/>
                <w:w w:val="71"/>
              </w:rPr>
              <w:t>$</w:t>
            </w:r>
          </w:p>
        </w:tc>
        <w:tc>
          <w:tcPr>
            <w:tcW w:w="660" w:type="dxa"/>
            <w:vAlign w:val="bottom"/>
            <w:tcBorders>
              <w:top w:val="single" w:sz="8" w:color="auto"/>
            </w:tcBorders>
          </w:tcPr>
          <w:p>
            <w:pPr>
              <w:ind w:left="460"/>
              <w:spacing w:after="0"/>
              <w:rPr>
                <w:sz w:val="20"/>
                <w:szCs w:val="20"/>
                <w:color w:val="auto"/>
              </w:rPr>
            </w:pPr>
            <w:r>
              <w:rPr>
                <w:rFonts w:ascii="Arial" w:cs="Arial" w:eastAsia="Arial" w:hAnsi="Arial"/>
                <w:sz w:val="20"/>
                <w:szCs w:val="20"/>
                <w:color w:val="auto"/>
                <w:w w:val="89"/>
              </w:rPr>
              <w:t>—</w:t>
            </w:r>
          </w:p>
        </w:tc>
        <w:tc>
          <w:tcPr>
            <w:tcW w:w="240" w:type="dxa"/>
            <w:vAlign w:val="bottom"/>
          </w:tcPr>
          <w:p>
            <w:pPr>
              <w:spacing w:after="0"/>
              <w:rPr>
                <w:sz w:val="20"/>
                <w:szCs w:val="20"/>
                <w:color w:val="auto"/>
              </w:rPr>
            </w:pPr>
          </w:p>
        </w:tc>
        <w:tc>
          <w:tcPr>
            <w:tcW w:w="1800" w:type="dxa"/>
            <w:vAlign w:val="bottom"/>
            <w:tcBorders>
              <w:top w:val="single" w:sz="8" w:color="auto"/>
            </w:tcBorders>
          </w:tcPr>
          <w:p>
            <w:pPr>
              <w:ind w:left="1580"/>
              <w:spacing w:after="0"/>
              <w:rPr>
                <w:sz w:val="20"/>
                <w:szCs w:val="20"/>
                <w:color w:val="auto"/>
              </w:rPr>
            </w:pPr>
            <w:r>
              <w:rPr>
                <w:rFonts w:ascii="Arial" w:cs="Arial" w:eastAsia="Arial" w:hAnsi="Arial"/>
                <w:sz w:val="20"/>
                <w:szCs w:val="20"/>
                <w:color w:val="auto"/>
                <w:w w:val="99"/>
              </w:rPr>
              <w:t>—</w:t>
            </w:r>
          </w:p>
        </w:tc>
      </w:tr>
      <w:tr>
        <w:trPr>
          <w:trHeight w:val="241"/>
        </w:trPr>
        <w:tc>
          <w:tcPr>
            <w:tcW w:w="4360" w:type="dxa"/>
            <w:vAlign w:val="bottom"/>
            <w:gridSpan w:val="3"/>
          </w:tcPr>
          <w:p>
            <w:pPr>
              <w:spacing w:after="0"/>
              <w:rPr>
                <w:sz w:val="20"/>
                <w:szCs w:val="20"/>
                <w:color w:val="auto"/>
              </w:rPr>
            </w:pPr>
            <w:r>
              <w:rPr>
                <w:rFonts w:ascii="Arial" w:cs="Arial" w:eastAsia="Arial" w:hAnsi="Arial"/>
                <w:sz w:val="20"/>
                <w:szCs w:val="20"/>
                <w:color w:val="auto"/>
              </w:rPr>
              <w:t>February 1, 2018 - February 28, 2018</w:t>
            </w:r>
          </w:p>
        </w:tc>
        <w:tc>
          <w:tcPr>
            <w:tcW w:w="1760" w:type="dxa"/>
            <w:vAlign w:val="bottom"/>
            <w:gridSpan w:val="2"/>
          </w:tcPr>
          <w:p>
            <w:pPr>
              <w:ind w:left="1320"/>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364"/>
              <w:spacing w:after="0"/>
              <w:rPr>
                <w:sz w:val="20"/>
                <w:szCs w:val="20"/>
                <w:color w:val="auto"/>
              </w:rPr>
            </w:pPr>
            <w:r>
              <w:rPr>
                <w:rFonts w:ascii="Arial" w:cs="Arial" w:eastAsia="Arial" w:hAnsi="Arial"/>
                <w:sz w:val="20"/>
                <w:szCs w:val="20"/>
                <w:color w:val="auto"/>
                <w:w w:val="71"/>
              </w:rPr>
              <w:t>$</w:t>
            </w:r>
          </w:p>
        </w:tc>
        <w:tc>
          <w:tcPr>
            <w:tcW w:w="660" w:type="dxa"/>
            <w:vAlign w:val="bottom"/>
          </w:tcPr>
          <w:p>
            <w:pPr>
              <w:ind w:left="460"/>
              <w:spacing w:after="0"/>
              <w:rPr>
                <w:sz w:val="20"/>
                <w:szCs w:val="20"/>
                <w:color w:val="auto"/>
              </w:rPr>
            </w:pPr>
            <w:r>
              <w:rPr>
                <w:rFonts w:ascii="Arial" w:cs="Arial" w:eastAsia="Arial" w:hAnsi="Arial"/>
                <w:sz w:val="20"/>
                <w:szCs w:val="20"/>
                <w:color w:val="auto"/>
                <w:w w:val="89"/>
              </w:rPr>
              <w:t>—</w:t>
            </w:r>
          </w:p>
        </w:tc>
        <w:tc>
          <w:tcPr>
            <w:tcW w:w="240" w:type="dxa"/>
            <w:vAlign w:val="bottom"/>
          </w:tcPr>
          <w:p>
            <w:pPr>
              <w:spacing w:after="0"/>
              <w:rPr>
                <w:sz w:val="20"/>
                <w:szCs w:val="20"/>
                <w:color w:val="auto"/>
              </w:rPr>
            </w:pPr>
          </w:p>
        </w:tc>
        <w:tc>
          <w:tcPr>
            <w:tcW w:w="1800" w:type="dxa"/>
            <w:vAlign w:val="bottom"/>
          </w:tcPr>
          <w:p>
            <w:pPr>
              <w:ind w:left="1580"/>
              <w:spacing w:after="0"/>
              <w:rPr>
                <w:sz w:val="20"/>
                <w:szCs w:val="20"/>
                <w:color w:val="auto"/>
              </w:rPr>
            </w:pPr>
            <w:r>
              <w:rPr>
                <w:rFonts w:ascii="Arial" w:cs="Arial" w:eastAsia="Arial" w:hAnsi="Arial"/>
                <w:sz w:val="20"/>
                <w:szCs w:val="20"/>
                <w:color w:val="auto"/>
                <w:w w:val="99"/>
              </w:rPr>
              <w:t>—</w:t>
            </w:r>
          </w:p>
        </w:tc>
      </w:tr>
      <w:tr>
        <w:trPr>
          <w:trHeight w:val="249"/>
        </w:trPr>
        <w:tc>
          <w:tcPr>
            <w:tcW w:w="4360" w:type="dxa"/>
            <w:vAlign w:val="bottom"/>
            <w:gridSpan w:val="3"/>
          </w:tcPr>
          <w:p>
            <w:pPr>
              <w:spacing w:after="0"/>
              <w:rPr>
                <w:sz w:val="20"/>
                <w:szCs w:val="20"/>
                <w:color w:val="auto"/>
              </w:rPr>
            </w:pPr>
            <w:r>
              <w:rPr>
                <w:rFonts w:ascii="Arial" w:cs="Arial" w:eastAsia="Arial" w:hAnsi="Arial"/>
                <w:sz w:val="20"/>
                <w:szCs w:val="20"/>
                <w:color w:val="auto"/>
              </w:rPr>
              <w:t>March 1, 2018 - March 31, 2018</w:t>
            </w:r>
          </w:p>
        </w:tc>
        <w:tc>
          <w:tcPr>
            <w:tcW w:w="1760" w:type="dxa"/>
            <w:vAlign w:val="bottom"/>
            <w:gridSpan w:val="2"/>
          </w:tcPr>
          <w:p>
            <w:pPr>
              <w:ind w:left="1320"/>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364"/>
              <w:spacing w:after="0"/>
              <w:rPr>
                <w:sz w:val="20"/>
                <w:szCs w:val="20"/>
                <w:color w:val="auto"/>
              </w:rPr>
            </w:pPr>
            <w:r>
              <w:rPr>
                <w:rFonts w:ascii="Arial" w:cs="Arial" w:eastAsia="Arial" w:hAnsi="Arial"/>
                <w:sz w:val="20"/>
                <w:szCs w:val="20"/>
                <w:color w:val="auto"/>
                <w:w w:val="71"/>
              </w:rPr>
              <w:t>$</w:t>
            </w:r>
          </w:p>
        </w:tc>
        <w:tc>
          <w:tcPr>
            <w:tcW w:w="660" w:type="dxa"/>
            <w:vAlign w:val="bottom"/>
          </w:tcPr>
          <w:p>
            <w:pPr>
              <w:ind w:left="460"/>
              <w:spacing w:after="0"/>
              <w:rPr>
                <w:sz w:val="20"/>
                <w:szCs w:val="20"/>
                <w:color w:val="auto"/>
              </w:rPr>
            </w:pPr>
            <w:r>
              <w:rPr>
                <w:rFonts w:ascii="Arial" w:cs="Arial" w:eastAsia="Arial" w:hAnsi="Arial"/>
                <w:sz w:val="20"/>
                <w:szCs w:val="20"/>
                <w:color w:val="auto"/>
                <w:w w:val="89"/>
              </w:rPr>
              <w:t>—</w:t>
            </w:r>
          </w:p>
        </w:tc>
        <w:tc>
          <w:tcPr>
            <w:tcW w:w="240" w:type="dxa"/>
            <w:vAlign w:val="bottom"/>
          </w:tcPr>
          <w:p>
            <w:pPr>
              <w:spacing w:after="0"/>
              <w:rPr>
                <w:sz w:val="21"/>
                <w:szCs w:val="21"/>
                <w:color w:val="auto"/>
              </w:rPr>
            </w:pPr>
          </w:p>
        </w:tc>
        <w:tc>
          <w:tcPr>
            <w:tcW w:w="1800" w:type="dxa"/>
            <w:vAlign w:val="bottom"/>
          </w:tcPr>
          <w:p>
            <w:pPr>
              <w:ind w:left="1580"/>
              <w:spacing w:after="0"/>
              <w:rPr>
                <w:sz w:val="20"/>
                <w:szCs w:val="20"/>
                <w:color w:val="auto"/>
              </w:rPr>
            </w:pPr>
            <w:r>
              <w:rPr>
                <w:rFonts w:ascii="Arial" w:cs="Arial" w:eastAsia="Arial" w:hAnsi="Arial"/>
                <w:sz w:val="20"/>
                <w:szCs w:val="20"/>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-307975</wp:posOffset>
            </wp:positionV>
            <wp:extent cx="7247890" cy="153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7890" cy="153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40"/>
        <w:spacing w:after="0" w:line="302" w:lineRule="auto"/>
        <w:rPr>
          <w:sz w:val="20"/>
          <w:szCs w:val="20"/>
          <w:color w:val="auto"/>
        </w:rPr>
      </w:pPr>
      <w:r>
        <w:rPr>
          <w:rFonts w:ascii="Arial" w:cs="Arial" w:eastAsia="Arial" w:hAnsi="Arial"/>
          <w:sz w:val="16"/>
          <w:szCs w:val="16"/>
          <w:color w:val="auto"/>
        </w:rPr>
        <w:t xml:space="preserve">Maximum Number of Shares that May Yet be Purchased Under </w:t>
      </w:r>
      <w:r>
        <w:rPr>
          <w:rFonts w:ascii="Arial" w:cs="Arial" w:eastAsia="Arial" w:hAnsi="Arial"/>
          <w:sz w:val="16"/>
          <w:szCs w:val="16"/>
          <w:u w:val="single" w:color="auto"/>
          <w:color w:val="auto"/>
        </w:rPr>
        <w:t>the Plans or Programs</w:t>
      </w:r>
    </w:p>
    <w:p>
      <w:pPr>
        <w:spacing w:after="0" w:line="3" w:lineRule="exact"/>
        <w:rPr>
          <w:sz w:val="20"/>
          <w:szCs w:val="20"/>
          <w:color w:val="auto"/>
        </w:rPr>
      </w:pPr>
    </w:p>
    <w:p>
      <w:pPr>
        <w:jc w:val="right"/>
        <w:ind w:right="140"/>
        <w:spacing w:after="0"/>
        <w:rPr>
          <w:sz w:val="20"/>
          <w:szCs w:val="20"/>
          <w:color w:val="auto"/>
        </w:rPr>
      </w:pPr>
      <w:r>
        <w:rPr>
          <w:rFonts w:ascii="Arial" w:cs="Arial" w:eastAsia="Arial" w:hAnsi="Arial"/>
          <w:sz w:val="20"/>
          <w:szCs w:val="20"/>
          <w:color w:val="auto"/>
        </w:rPr>
        <w:t>14,668,891</w:t>
      </w:r>
    </w:p>
    <w:p>
      <w:pPr>
        <w:spacing w:after="0" w:line="19" w:lineRule="exact"/>
        <w:rPr>
          <w:sz w:val="20"/>
          <w:szCs w:val="20"/>
          <w:color w:val="auto"/>
        </w:rPr>
      </w:pPr>
    </w:p>
    <w:p>
      <w:pPr>
        <w:jc w:val="right"/>
        <w:ind w:right="140"/>
        <w:spacing w:after="0"/>
        <w:rPr>
          <w:sz w:val="20"/>
          <w:szCs w:val="20"/>
          <w:color w:val="auto"/>
        </w:rPr>
      </w:pPr>
      <w:r>
        <w:rPr>
          <w:rFonts w:ascii="Arial" w:cs="Arial" w:eastAsia="Arial" w:hAnsi="Arial"/>
          <w:sz w:val="20"/>
          <w:szCs w:val="20"/>
          <w:color w:val="auto"/>
        </w:rPr>
        <w:t>14,668,891</w:t>
      </w:r>
    </w:p>
    <w:p>
      <w:pPr>
        <w:spacing w:after="0" w:line="11" w:lineRule="exact"/>
        <w:rPr>
          <w:sz w:val="20"/>
          <w:szCs w:val="20"/>
          <w:color w:val="auto"/>
        </w:rPr>
      </w:pPr>
    </w:p>
    <w:p>
      <w:pPr>
        <w:jc w:val="right"/>
        <w:ind w:right="140"/>
        <w:spacing w:after="0"/>
        <w:rPr>
          <w:sz w:val="20"/>
          <w:szCs w:val="20"/>
          <w:color w:val="auto"/>
        </w:rPr>
      </w:pPr>
      <w:r>
        <w:rPr>
          <w:rFonts w:ascii="Arial" w:cs="Arial" w:eastAsia="Arial" w:hAnsi="Arial"/>
          <w:sz w:val="20"/>
          <w:szCs w:val="20"/>
          <w:color w:val="auto"/>
        </w:rPr>
        <w:t>14,668,891</w:t>
      </w:r>
    </w:p>
    <w:p>
      <w:pPr>
        <w:spacing w:after="0" w:line="210" w:lineRule="exact"/>
        <w:rPr>
          <w:sz w:val="20"/>
          <w:szCs w:val="20"/>
          <w:color w:val="auto"/>
        </w:rPr>
      </w:pPr>
    </w:p>
    <w:p>
      <w:pPr>
        <w:sectPr>
          <w:pgSz w:w="11900" w:h="16838" w:orient="portrait"/>
          <w:cols w:equalWidth="0" w:num="2">
            <w:col w:w="9380" w:space="240"/>
            <w:col w:w="1800"/>
          </w:cols>
          <w:pgMar w:left="240" w:top="122" w:right="239" w:bottom="1440" w:gutter="0" w:footer="0" w:header="0"/>
          <w:type w:val="continuous"/>
        </w:sectPr>
      </w:pPr>
    </w:p>
    <w:p>
      <w:pPr>
        <w:spacing w:after="0" w:line="20"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Reference is made to the press release dated February 10, 2015 for the December 31, 2014 fourth-quarter and full-year results and announcement of the share repurchase program. The Company’s Board of Directors authorized a maximum of 20 million shares to be repurchased under the program. The program does not have an expiration date.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4. Mine Safety Disclosures.</w:t>
      </w:r>
    </w:p>
    <w:p>
      <w:pPr>
        <w:spacing w:after="0" w:line="105"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The information concerning mine safety violations or other regulatory matters required by Section 1503(a) of the Dodd-Frank Wall Street Reform and Consumer Protection Act and Item 104 of Regulation S-K (17 CFR 229.104) is included in Exhibit 95 to this Quarterly Report on Form 10-Q.</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40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40" w:name="page41"/>
    <w:bookmarkEnd w:id="40"/>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100" w:type="dxa"/>
            <w:vAlign w:val="bottom"/>
          </w:tcPr>
          <w:p>
            <w:pPr>
              <w:jc w:val="center"/>
              <w:ind w:right="1202"/>
              <w:spacing w:after="0"/>
              <w:rPr>
                <w:sz w:val="20"/>
                <w:szCs w:val="20"/>
                <w:color w:val="auto"/>
              </w:rPr>
            </w:pPr>
            <w:r>
              <w:rPr>
                <w:rFonts w:ascii="Arial" w:cs="Arial" w:eastAsia="Arial" w:hAnsi="Arial"/>
                <w:sz w:val="20"/>
                <w:szCs w:val="20"/>
                <w:color w:val="auto"/>
                <w:w w:val="96"/>
              </w:rPr>
              <w:t>MARTIN MARIETTA MATERIALS, INC. AND CONSOLIDATED SUBSIDIARIES</w:t>
            </w:r>
          </w:p>
        </w:tc>
      </w:tr>
      <w:tr>
        <w:trPr>
          <w:trHeight w:val="227"/>
        </w:trPr>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100" w:type="dxa"/>
            <w:vAlign w:val="bottom"/>
          </w:tcPr>
          <w:p>
            <w:pPr>
              <w:jc w:val="center"/>
              <w:ind w:right="1202"/>
              <w:spacing w:after="0" w:line="228" w:lineRule="exact"/>
              <w:rPr>
                <w:sz w:val="20"/>
                <w:szCs w:val="20"/>
                <w:color w:val="auto"/>
              </w:rPr>
            </w:pPr>
            <w:r>
              <w:rPr>
                <w:rFonts w:ascii="Arial" w:cs="Arial" w:eastAsia="Arial" w:hAnsi="Arial"/>
                <w:sz w:val="20"/>
                <w:szCs w:val="20"/>
                <w:color w:val="auto"/>
                <w:w w:val="91"/>
              </w:rPr>
              <w:t>FORM 10-Q</w:t>
            </w:r>
          </w:p>
        </w:tc>
      </w:tr>
      <w:tr>
        <w:trPr>
          <w:trHeight w:val="249"/>
        </w:trPr>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100" w:type="dxa"/>
            <w:vAlign w:val="bottom"/>
          </w:tcPr>
          <w:p>
            <w:pPr>
              <w:jc w:val="center"/>
              <w:ind w:right="1222"/>
              <w:spacing w:after="0"/>
              <w:rPr>
                <w:sz w:val="20"/>
                <w:szCs w:val="20"/>
                <w:color w:val="auto"/>
              </w:rPr>
            </w:pPr>
            <w:r>
              <w:rPr>
                <w:rFonts w:ascii="Arial" w:cs="Arial" w:eastAsia="Arial" w:hAnsi="Arial"/>
                <w:sz w:val="20"/>
                <w:szCs w:val="20"/>
                <w:color w:val="auto"/>
                <w:w w:val="88"/>
              </w:rPr>
              <w:t>For the Quarter Ended March 31, 2018</w:t>
            </w:r>
          </w:p>
        </w:tc>
      </w:tr>
      <w:tr>
        <w:trPr>
          <w:trHeight w:val="420"/>
        </w:trPr>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00" w:type="dxa"/>
            <w:vAlign w:val="bottom"/>
          </w:tcPr>
          <w:p>
            <w:pPr>
              <w:jc w:val="center"/>
              <w:ind w:right="1222"/>
              <w:spacing w:after="0"/>
              <w:rPr>
                <w:sz w:val="20"/>
                <w:szCs w:val="20"/>
                <w:color w:val="auto"/>
              </w:rPr>
            </w:pPr>
            <w:r>
              <w:rPr>
                <w:rFonts w:ascii="Arial" w:cs="Arial" w:eastAsia="Arial" w:hAnsi="Arial"/>
                <w:sz w:val="20"/>
                <w:szCs w:val="20"/>
                <w:color w:val="auto"/>
                <w:w w:val="94"/>
              </w:rPr>
              <w:t>PART II- OTHER INFORMATION</w:t>
            </w:r>
          </w:p>
        </w:tc>
      </w:tr>
      <w:tr>
        <w:trPr>
          <w:trHeight w:val="249"/>
        </w:trPr>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100" w:type="dxa"/>
            <w:vAlign w:val="bottom"/>
          </w:tcPr>
          <w:p>
            <w:pPr>
              <w:jc w:val="center"/>
              <w:ind w:right="1222"/>
              <w:spacing w:after="0"/>
              <w:rPr>
                <w:sz w:val="20"/>
                <w:szCs w:val="20"/>
                <w:color w:val="auto"/>
              </w:rPr>
            </w:pPr>
            <w:r>
              <w:rPr>
                <w:rFonts w:ascii="Arial" w:cs="Arial" w:eastAsia="Arial" w:hAnsi="Arial"/>
                <w:sz w:val="20"/>
                <w:szCs w:val="20"/>
                <w:color w:val="auto"/>
                <w:w w:val="89"/>
              </w:rPr>
              <w:t>(Continued)</w:t>
            </w:r>
          </w:p>
        </w:tc>
      </w:tr>
      <w:tr>
        <w:trPr>
          <w:trHeight w:val="330"/>
        </w:trPr>
        <w:tc>
          <w:tcPr>
            <w:tcW w:w="11420" w:type="dxa"/>
            <w:vAlign w:val="bottom"/>
            <w:gridSpan w:val="5"/>
          </w:tcPr>
          <w:p>
            <w:pPr>
              <w:spacing w:after="0"/>
              <w:rPr>
                <w:sz w:val="20"/>
                <w:szCs w:val="20"/>
                <w:color w:val="auto"/>
              </w:rPr>
            </w:pPr>
            <w:r>
              <w:rPr>
                <w:rFonts w:ascii="Arial" w:cs="Arial" w:eastAsia="Arial" w:hAnsi="Arial"/>
                <w:sz w:val="20"/>
                <w:szCs w:val="20"/>
                <w:color w:val="auto"/>
              </w:rPr>
              <w:t>Item 6. Exhibits.</w:t>
            </w:r>
          </w:p>
        </w:tc>
      </w:tr>
      <w:tr>
        <w:trPr>
          <w:trHeight w:val="475"/>
        </w:trPr>
        <w:tc>
          <w:tcPr>
            <w:tcW w:w="1180" w:type="dxa"/>
            <w:vAlign w:val="bottom"/>
            <w:tcBorders>
              <w:top w:val="single" w:sz="8" w:color="auto"/>
            </w:tcBorders>
            <w:gridSpan w:val="3"/>
          </w:tcPr>
          <w:p>
            <w:pPr>
              <w:ind w:left="80"/>
              <w:spacing w:after="0"/>
              <w:rPr>
                <w:sz w:val="20"/>
                <w:szCs w:val="20"/>
                <w:color w:val="auto"/>
              </w:rPr>
            </w:pPr>
            <w:r>
              <w:rPr>
                <w:rFonts w:ascii="Arial" w:cs="Arial" w:eastAsia="Arial" w:hAnsi="Arial"/>
                <w:sz w:val="20"/>
                <w:szCs w:val="20"/>
                <w:color w:val="auto"/>
              </w:rPr>
              <w:t>Exhibit No.</w:t>
            </w:r>
          </w:p>
        </w:tc>
        <w:tc>
          <w:tcPr>
            <w:tcW w:w="140" w:type="dxa"/>
            <w:vAlign w:val="bottom"/>
            <w:tcBorders>
              <w:top w:val="single" w:sz="8" w:color="auto"/>
            </w:tcBorders>
          </w:tcPr>
          <w:p>
            <w:pPr>
              <w:spacing w:after="0"/>
              <w:rPr>
                <w:sz w:val="24"/>
                <w:szCs w:val="24"/>
                <w:color w:val="auto"/>
              </w:rPr>
            </w:pPr>
          </w:p>
        </w:tc>
        <w:tc>
          <w:tcPr>
            <w:tcW w:w="10100" w:type="dxa"/>
            <w:vAlign w:val="bottom"/>
          </w:tcPr>
          <w:p>
            <w:pPr>
              <w:ind w:left="4560"/>
              <w:spacing w:after="0"/>
              <w:rPr>
                <w:sz w:val="20"/>
                <w:szCs w:val="20"/>
                <w:color w:val="auto"/>
              </w:rPr>
            </w:pPr>
            <w:r>
              <w:rPr>
                <w:rFonts w:ascii="Arial" w:cs="Arial" w:eastAsia="Arial" w:hAnsi="Arial"/>
                <w:sz w:val="20"/>
                <w:szCs w:val="20"/>
                <w:color w:val="auto"/>
              </w:rPr>
              <w:t>Document</w:t>
            </w:r>
          </w:p>
        </w:tc>
      </w:tr>
      <w:tr>
        <w:trPr>
          <w:trHeight w:val="301"/>
        </w:trPr>
        <w:tc>
          <w:tcPr>
            <w:tcW w:w="1060" w:type="dxa"/>
            <w:vAlign w:val="bottom"/>
            <w:tcBorders>
              <w:top w:val="single" w:sz="8" w:color="auto"/>
            </w:tcBorders>
            <w:gridSpan w:val="2"/>
          </w:tcPr>
          <w:p>
            <w:pPr>
              <w:spacing w:after="0"/>
              <w:rPr>
                <w:rFonts w:ascii="Arial" w:cs="Arial" w:eastAsia="Arial" w:hAnsi="Arial"/>
                <w:sz w:val="20"/>
                <w:szCs w:val="20"/>
                <w:color w:val="0000EE"/>
              </w:rPr>
            </w:pPr>
            <w:hyperlink w:anchor="page43">
              <w:r>
                <w:rPr>
                  <w:rFonts w:ascii="Arial" w:cs="Arial" w:eastAsia="Arial" w:hAnsi="Arial"/>
                  <w:sz w:val="20"/>
                  <w:szCs w:val="20"/>
                  <w:color w:val="0000EE"/>
                </w:rPr>
                <w:t>31.</w:t>
              </w:r>
              <w:r>
                <w:rPr>
                  <w:rFonts w:ascii="Arial" w:cs="Arial" w:eastAsia="Arial" w:hAnsi="Arial"/>
                  <w:sz w:val="20"/>
                  <w:szCs w:val="20"/>
                  <w:u w:val="single" w:color="auto"/>
                  <w:color w:val="0000EE"/>
                </w:rPr>
                <w:t>01</w:t>
              </w:r>
            </w:hyperlink>
          </w:p>
        </w:tc>
        <w:tc>
          <w:tcPr>
            <w:tcW w:w="120" w:type="dxa"/>
            <w:vAlign w:val="bottom"/>
          </w:tcPr>
          <w:p>
            <w:pPr>
              <w:spacing w:after="0"/>
              <w:rPr>
                <w:sz w:val="24"/>
                <w:szCs w:val="24"/>
                <w:color w:val="auto"/>
              </w:rPr>
            </w:pPr>
          </w:p>
        </w:tc>
        <w:tc>
          <w:tcPr>
            <w:tcW w:w="1024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auto"/>
                <w:w w:val="94"/>
              </w:rPr>
              <w:t>Certification dated May 8, 2018 of Chief Executive Officer pursuant to Securities and Exchange Act of 1934 rule 13a-14 as</w:t>
            </w:r>
          </w:p>
        </w:tc>
      </w:tr>
      <w:tr>
        <w:trPr>
          <w:trHeight w:val="252"/>
        </w:trPr>
        <w:tc>
          <w:tcPr>
            <w:tcW w:w="440" w:type="dxa"/>
            <w:vAlign w:val="bottom"/>
            <w:tcBorders>
              <w:top w:val="single" w:sz="8" w:color="0000EE"/>
            </w:tcBorders>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40" w:type="dxa"/>
            <w:vAlign w:val="bottom"/>
            <w:gridSpan w:val="2"/>
          </w:tcPr>
          <w:p>
            <w:pPr>
              <w:spacing w:after="0"/>
              <w:rPr>
                <w:sz w:val="20"/>
                <w:szCs w:val="20"/>
                <w:color w:val="auto"/>
              </w:rPr>
            </w:pPr>
            <w:r>
              <w:rPr>
                <w:rFonts w:ascii="Arial" w:cs="Arial" w:eastAsia="Arial" w:hAnsi="Arial"/>
                <w:sz w:val="20"/>
                <w:szCs w:val="20"/>
                <w:color w:val="auto"/>
              </w:rPr>
              <w:t>adopted pursuant to Section 302 of the Sarbanes-Oxley Act of 2002</w:t>
            </w:r>
          </w:p>
        </w:tc>
      </w:tr>
      <w:tr>
        <w:trPr>
          <w:trHeight w:val="303"/>
        </w:trPr>
        <w:tc>
          <w:tcPr>
            <w:tcW w:w="1060" w:type="dxa"/>
            <w:vAlign w:val="bottom"/>
            <w:gridSpan w:val="2"/>
          </w:tcPr>
          <w:p>
            <w:pPr>
              <w:spacing w:after="0"/>
              <w:rPr>
                <w:rFonts w:ascii="Arial" w:cs="Arial" w:eastAsia="Arial" w:hAnsi="Arial"/>
                <w:sz w:val="20"/>
                <w:szCs w:val="20"/>
                <w:color w:val="0000EE"/>
              </w:rPr>
            </w:pPr>
            <w:hyperlink w:anchor="page45">
              <w:r>
                <w:rPr>
                  <w:rFonts w:ascii="Arial" w:cs="Arial" w:eastAsia="Arial" w:hAnsi="Arial"/>
                  <w:sz w:val="20"/>
                  <w:szCs w:val="20"/>
                  <w:color w:val="0000EE"/>
                </w:rPr>
                <w:t>31.</w:t>
              </w:r>
              <w:r>
                <w:rPr>
                  <w:rFonts w:ascii="Arial" w:cs="Arial" w:eastAsia="Arial" w:hAnsi="Arial"/>
                  <w:sz w:val="20"/>
                  <w:szCs w:val="20"/>
                  <w:u w:val="single" w:color="auto"/>
                  <w:color w:val="0000EE"/>
                </w:rPr>
                <w:t>02</w:t>
              </w:r>
            </w:hyperlink>
          </w:p>
        </w:tc>
        <w:tc>
          <w:tcPr>
            <w:tcW w:w="1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20"/>
                <w:szCs w:val="20"/>
                <w:color w:val="auto"/>
                <w:w w:val="95"/>
              </w:rPr>
              <w:t>Certification dated May 8, 2018 of Chief Financial Officer pursuant to Securities and Exchange Act of 1934 rule 13a-14 as</w:t>
            </w:r>
          </w:p>
        </w:tc>
      </w:tr>
      <w:tr>
        <w:trPr>
          <w:trHeight w:val="252"/>
        </w:trPr>
        <w:tc>
          <w:tcPr>
            <w:tcW w:w="440" w:type="dxa"/>
            <w:vAlign w:val="bottom"/>
            <w:tcBorders>
              <w:top w:val="single" w:sz="8" w:color="0000EE"/>
            </w:tcBorders>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40" w:type="dxa"/>
            <w:vAlign w:val="bottom"/>
            <w:gridSpan w:val="2"/>
          </w:tcPr>
          <w:p>
            <w:pPr>
              <w:spacing w:after="0"/>
              <w:rPr>
                <w:sz w:val="20"/>
                <w:szCs w:val="20"/>
                <w:color w:val="auto"/>
              </w:rPr>
            </w:pPr>
            <w:r>
              <w:rPr>
                <w:rFonts w:ascii="Arial" w:cs="Arial" w:eastAsia="Arial" w:hAnsi="Arial"/>
                <w:sz w:val="20"/>
                <w:szCs w:val="20"/>
                <w:color w:val="auto"/>
              </w:rPr>
              <w:t>adopted pursuant to Section 302 of the Sarbanes-Oxley Act of 2002</w:t>
            </w:r>
          </w:p>
        </w:tc>
      </w:tr>
      <w:tr>
        <w:trPr>
          <w:trHeight w:val="303"/>
        </w:trPr>
        <w:tc>
          <w:tcPr>
            <w:tcW w:w="1060" w:type="dxa"/>
            <w:vAlign w:val="bottom"/>
            <w:gridSpan w:val="2"/>
          </w:tcPr>
          <w:p>
            <w:pPr>
              <w:spacing w:after="0"/>
              <w:rPr>
                <w:rFonts w:ascii="Arial" w:cs="Arial" w:eastAsia="Arial" w:hAnsi="Arial"/>
                <w:sz w:val="20"/>
                <w:szCs w:val="20"/>
                <w:color w:val="0000EE"/>
              </w:rPr>
            </w:pPr>
            <w:hyperlink w:anchor="page47">
              <w:r>
                <w:rPr>
                  <w:rFonts w:ascii="Arial" w:cs="Arial" w:eastAsia="Arial" w:hAnsi="Arial"/>
                  <w:sz w:val="20"/>
                  <w:szCs w:val="20"/>
                  <w:color w:val="0000EE"/>
                </w:rPr>
                <w:t>32.</w:t>
              </w:r>
              <w:r>
                <w:rPr>
                  <w:rFonts w:ascii="Arial" w:cs="Arial" w:eastAsia="Arial" w:hAnsi="Arial"/>
                  <w:sz w:val="20"/>
                  <w:szCs w:val="20"/>
                  <w:u w:val="single" w:color="auto"/>
                  <w:color w:val="0000EE"/>
                </w:rPr>
                <w:t>01</w:t>
              </w:r>
            </w:hyperlink>
          </w:p>
        </w:tc>
        <w:tc>
          <w:tcPr>
            <w:tcW w:w="1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20"/>
                <w:szCs w:val="20"/>
                <w:color w:val="auto"/>
                <w:w w:val="89"/>
              </w:rPr>
              <w:t>Written Statement dated May 8, 2018 of Chief Executive Officer required by 18 U.S.C. 1350, as adopted pursuant to Section 906</w:t>
            </w:r>
          </w:p>
        </w:tc>
      </w:tr>
      <w:tr>
        <w:trPr>
          <w:trHeight w:val="252"/>
        </w:trPr>
        <w:tc>
          <w:tcPr>
            <w:tcW w:w="440" w:type="dxa"/>
            <w:vAlign w:val="bottom"/>
            <w:tcBorders>
              <w:top w:val="single" w:sz="8" w:color="0000EE"/>
            </w:tcBorders>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40" w:type="dxa"/>
            <w:vAlign w:val="bottom"/>
            <w:gridSpan w:val="2"/>
          </w:tcPr>
          <w:p>
            <w:pPr>
              <w:spacing w:after="0"/>
              <w:rPr>
                <w:sz w:val="20"/>
                <w:szCs w:val="20"/>
                <w:color w:val="auto"/>
              </w:rPr>
            </w:pPr>
            <w:r>
              <w:rPr>
                <w:rFonts w:ascii="Arial" w:cs="Arial" w:eastAsia="Arial" w:hAnsi="Arial"/>
                <w:sz w:val="20"/>
                <w:szCs w:val="20"/>
                <w:color w:val="auto"/>
              </w:rPr>
              <w:t>of the Sarbanes-Oxley Act of 2002</w:t>
            </w:r>
          </w:p>
        </w:tc>
      </w:tr>
      <w:tr>
        <w:trPr>
          <w:trHeight w:val="303"/>
        </w:trPr>
        <w:tc>
          <w:tcPr>
            <w:tcW w:w="1060" w:type="dxa"/>
            <w:vAlign w:val="bottom"/>
            <w:gridSpan w:val="2"/>
          </w:tcPr>
          <w:p>
            <w:pPr>
              <w:spacing w:after="0"/>
              <w:rPr>
                <w:rFonts w:ascii="Arial" w:cs="Arial" w:eastAsia="Arial" w:hAnsi="Arial"/>
                <w:sz w:val="20"/>
                <w:szCs w:val="20"/>
                <w:color w:val="0000EE"/>
              </w:rPr>
            </w:pPr>
            <w:hyperlink w:anchor="page48">
              <w:r>
                <w:rPr>
                  <w:rFonts w:ascii="Arial" w:cs="Arial" w:eastAsia="Arial" w:hAnsi="Arial"/>
                  <w:sz w:val="20"/>
                  <w:szCs w:val="20"/>
                  <w:color w:val="0000EE"/>
                </w:rPr>
                <w:t>32.</w:t>
              </w:r>
              <w:r>
                <w:rPr>
                  <w:rFonts w:ascii="Arial" w:cs="Arial" w:eastAsia="Arial" w:hAnsi="Arial"/>
                  <w:sz w:val="20"/>
                  <w:szCs w:val="20"/>
                  <w:u w:val="single" w:color="auto"/>
                  <w:color w:val="0000EE"/>
                </w:rPr>
                <w:t>02</w:t>
              </w:r>
            </w:hyperlink>
          </w:p>
        </w:tc>
        <w:tc>
          <w:tcPr>
            <w:tcW w:w="1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20"/>
                <w:szCs w:val="20"/>
                <w:color w:val="auto"/>
                <w:w w:val="90"/>
              </w:rPr>
              <w:t>Written Statement dated May 8, 2018 of Chief Financial Officer required by 18 U.S.C. 1350, as adopted pursuant to Section 906</w:t>
            </w:r>
          </w:p>
        </w:tc>
      </w:tr>
      <w:tr>
        <w:trPr>
          <w:trHeight w:val="252"/>
        </w:trPr>
        <w:tc>
          <w:tcPr>
            <w:tcW w:w="440" w:type="dxa"/>
            <w:vAlign w:val="bottom"/>
            <w:tcBorders>
              <w:top w:val="single" w:sz="8" w:color="0000EE"/>
            </w:tcBorders>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40" w:type="dxa"/>
            <w:vAlign w:val="bottom"/>
            <w:gridSpan w:val="2"/>
          </w:tcPr>
          <w:p>
            <w:pPr>
              <w:spacing w:after="0"/>
              <w:rPr>
                <w:sz w:val="20"/>
                <w:szCs w:val="20"/>
                <w:color w:val="auto"/>
              </w:rPr>
            </w:pPr>
            <w:r>
              <w:rPr>
                <w:rFonts w:ascii="Arial" w:cs="Arial" w:eastAsia="Arial" w:hAnsi="Arial"/>
                <w:sz w:val="20"/>
                <w:szCs w:val="20"/>
                <w:color w:val="auto"/>
              </w:rPr>
              <w:t>of the Sarbanes-Oxley Act of 2002</w:t>
            </w:r>
          </w:p>
        </w:tc>
      </w:tr>
    </w:tbl>
    <w:p>
      <w:pPr>
        <w:spacing w:after="0" w:line="99" w:lineRule="exact"/>
        <w:rPr>
          <w:sz w:val="20"/>
          <w:szCs w:val="20"/>
          <w:color w:val="auto"/>
        </w:rPr>
      </w:pPr>
    </w:p>
    <w:p>
      <w:pPr>
        <w:ind w:left="1180" w:hanging="1173"/>
        <w:spacing w:after="0"/>
        <w:tabs>
          <w:tab w:leader="none" w:pos="1180" w:val="left"/>
        </w:tabs>
        <w:numPr>
          <w:ilvl w:val="0"/>
          <w:numId w:val="25"/>
        </w:numPr>
        <w:rPr>
          <w:rFonts w:ascii="Arial" w:cs="Arial" w:eastAsia="Arial" w:hAnsi="Arial"/>
          <w:sz w:val="20"/>
          <w:szCs w:val="20"/>
          <w:u w:val="single" w:color="auto"/>
          <w:color w:val="0000EE"/>
        </w:rPr>
      </w:pPr>
      <w:r>
        <w:rPr>
          <w:rFonts w:ascii="Arial" w:cs="Arial" w:eastAsia="Arial" w:hAnsi="Arial"/>
          <w:sz w:val="20"/>
          <w:szCs w:val="20"/>
          <w:color w:val="auto"/>
        </w:rPr>
        <w:t>Mine Safety Disclosures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960" w:type="dxa"/>
            <w:vAlign w:val="bottom"/>
          </w:tcPr>
          <w:p>
            <w:pPr>
              <w:spacing w:after="0"/>
              <w:rPr>
                <w:sz w:val="20"/>
                <w:szCs w:val="20"/>
                <w:color w:val="auto"/>
              </w:rPr>
            </w:pPr>
            <w:r>
              <w:rPr>
                <w:rFonts w:ascii="Arial" w:cs="Arial" w:eastAsia="Arial" w:hAnsi="Arial"/>
                <w:sz w:val="20"/>
                <w:szCs w:val="20"/>
                <w:color w:val="auto"/>
              </w:rPr>
              <w:t>101.INS</w:t>
            </w:r>
          </w:p>
        </w:tc>
        <w:tc>
          <w:tcPr>
            <w:tcW w:w="5100" w:type="dxa"/>
            <w:vAlign w:val="bottom"/>
          </w:tcPr>
          <w:p>
            <w:pPr>
              <w:ind w:left="220"/>
              <w:spacing w:after="0"/>
              <w:rPr>
                <w:sz w:val="20"/>
                <w:szCs w:val="20"/>
                <w:color w:val="auto"/>
              </w:rPr>
            </w:pPr>
            <w:r>
              <w:rPr>
                <w:rFonts w:ascii="Arial" w:cs="Arial" w:eastAsia="Arial" w:hAnsi="Arial"/>
                <w:sz w:val="20"/>
                <w:szCs w:val="20"/>
                <w:color w:val="auto"/>
              </w:rPr>
              <w:t>XBRL Instance Document</w:t>
            </w:r>
          </w:p>
        </w:tc>
      </w:tr>
      <w:tr>
        <w:trPr>
          <w:trHeight w:val="348"/>
        </w:trPr>
        <w:tc>
          <w:tcPr>
            <w:tcW w:w="960" w:type="dxa"/>
            <w:vAlign w:val="bottom"/>
          </w:tcPr>
          <w:p>
            <w:pPr>
              <w:spacing w:after="0"/>
              <w:rPr>
                <w:sz w:val="20"/>
                <w:szCs w:val="20"/>
                <w:color w:val="auto"/>
              </w:rPr>
            </w:pPr>
            <w:r>
              <w:rPr>
                <w:rFonts w:ascii="Arial" w:cs="Arial" w:eastAsia="Arial" w:hAnsi="Arial"/>
                <w:sz w:val="20"/>
                <w:szCs w:val="20"/>
                <w:color w:val="auto"/>
              </w:rPr>
              <w:t>101.SCH</w:t>
            </w:r>
          </w:p>
        </w:tc>
        <w:tc>
          <w:tcPr>
            <w:tcW w:w="5100" w:type="dxa"/>
            <w:vAlign w:val="bottom"/>
          </w:tcPr>
          <w:p>
            <w:pPr>
              <w:ind w:left="220"/>
              <w:spacing w:after="0"/>
              <w:rPr>
                <w:sz w:val="20"/>
                <w:szCs w:val="20"/>
                <w:color w:val="auto"/>
              </w:rPr>
            </w:pPr>
            <w:r>
              <w:rPr>
                <w:rFonts w:ascii="Arial" w:cs="Arial" w:eastAsia="Arial" w:hAnsi="Arial"/>
                <w:sz w:val="20"/>
                <w:szCs w:val="20"/>
                <w:color w:val="auto"/>
              </w:rPr>
              <w:t>XBRL Taxonomy Extension Schema Document</w:t>
            </w:r>
          </w:p>
        </w:tc>
      </w:tr>
      <w:tr>
        <w:trPr>
          <w:trHeight w:val="348"/>
        </w:trPr>
        <w:tc>
          <w:tcPr>
            <w:tcW w:w="960" w:type="dxa"/>
            <w:vAlign w:val="bottom"/>
          </w:tcPr>
          <w:p>
            <w:pPr>
              <w:spacing w:after="0"/>
              <w:rPr>
                <w:sz w:val="20"/>
                <w:szCs w:val="20"/>
                <w:color w:val="auto"/>
              </w:rPr>
            </w:pPr>
            <w:r>
              <w:rPr>
                <w:rFonts w:ascii="Arial" w:cs="Arial" w:eastAsia="Arial" w:hAnsi="Arial"/>
                <w:sz w:val="20"/>
                <w:szCs w:val="20"/>
                <w:color w:val="auto"/>
              </w:rPr>
              <w:t>101.CAL</w:t>
            </w:r>
          </w:p>
        </w:tc>
        <w:tc>
          <w:tcPr>
            <w:tcW w:w="5100" w:type="dxa"/>
            <w:vAlign w:val="bottom"/>
          </w:tcPr>
          <w:p>
            <w:pPr>
              <w:ind w:left="220"/>
              <w:spacing w:after="0"/>
              <w:rPr>
                <w:sz w:val="20"/>
                <w:szCs w:val="20"/>
                <w:color w:val="auto"/>
              </w:rPr>
            </w:pPr>
            <w:r>
              <w:rPr>
                <w:rFonts w:ascii="Arial" w:cs="Arial" w:eastAsia="Arial" w:hAnsi="Arial"/>
                <w:sz w:val="20"/>
                <w:szCs w:val="20"/>
                <w:color w:val="auto"/>
                <w:w w:val="91"/>
              </w:rPr>
              <w:t>XBRL Taxonomy Extension Calculation Linkbase Document</w:t>
            </w:r>
          </w:p>
        </w:tc>
      </w:tr>
      <w:tr>
        <w:trPr>
          <w:trHeight w:val="348"/>
        </w:trPr>
        <w:tc>
          <w:tcPr>
            <w:tcW w:w="960" w:type="dxa"/>
            <w:vAlign w:val="bottom"/>
          </w:tcPr>
          <w:p>
            <w:pPr>
              <w:spacing w:after="0"/>
              <w:rPr>
                <w:sz w:val="20"/>
                <w:szCs w:val="20"/>
                <w:color w:val="auto"/>
              </w:rPr>
            </w:pPr>
            <w:r>
              <w:rPr>
                <w:rFonts w:ascii="Arial" w:cs="Arial" w:eastAsia="Arial" w:hAnsi="Arial"/>
                <w:sz w:val="20"/>
                <w:szCs w:val="20"/>
                <w:color w:val="auto"/>
              </w:rPr>
              <w:t>101.LAB</w:t>
            </w:r>
          </w:p>
        </w:tc>
        <w:tc>
          <w:tcPr>
            <w:tcW w:w="5100" w:type="dxa"/>
            <w:vAlign w:val="bottom"/>
          </w:tcPr>
          <w:p>
            <w:pPr>
              <w:ind w:left="220"/>
              <w:spacing w:after="0"/>
              <w:rPr>
                <w:sz w:val="20"/>
                <w:szCs w:val="20"/>
                <w:color w:val="auto"/>
              </w:rPr>
            </w:pPr>
            <w:r>
              <w:rPr>
                <w:rFonts w:ascii="Arial" w:cs="Arial" w:eastAsia="Arial" w:hAnsi="Arial"/>
                <w:sz w:val="20"/>
                <w:szCs w:val="20"/>
                <w:color w:val="auto"/>
              </w:rPr>
              <w:t>XBRL Taxonomy Extension Label Linkbase Document</w:t>
            </w:r>
          </w:p>
        </w:tc>
      </w:tr>
      <w:tr>
        <w:trPr>
          <w:trHeight w:val="348"/>
        </w:trPr>
        <w:tc>
          <w:tcPr>
            <w:tcW w:w="960" w:type="dxa"/>
            <w:vAlign w:val="bottom"/>
          </w:tcPr>
          <w:p>
            <w:pPr>
              <w:spacing w:after="0"/>
              <w:rPr>
                <w:sz w:val="20"/>
                <w:szCs w:val="20"/>
                <w:color w:val="auto"/>
              </w:rPr>
            </w:pPr>
            <w:r>
              <w:rPr>
                <w:rFonts w:ascii="Arial" w:cs="Arial" w:eastAsia="Arial" w:hAnsi="Arial"/>
                <w:sz w:val="20"/>
                <w:szCs w:val="20"/>
                <w:color w:val="auto"/>
              </w:rPr>
              <w:t>101.PRE</w:t>
            </w:r>
          </w:p>
        </w:tc>
        <w:tc>
          <w:tcPr>
            <w:tcW w:w="5100" w:type="dxa"/>
            <w:vAlign w:val="bottom"/>
          </w:tcPr>
          <w:p>
            <w:pPr>
              <w:ind w:left="220"/>
              <w:spacing w:after="0"/>
              <w:rPr>
                <w:sz w:val="20"/>
                <w:szCs w:val="20"/>
                <w:color w:val="auto"/>
              </w:rPr>
            </w:pPr>
            <w:r>
              <w:rPr>
                <w:rFonts w:ascii="Arial" w:cs="Arial" w:eastAsia="Arial" w:hAnsi="Arial"/>
                <w:sz w:val="20"/>
                <w:szCs w:val="20"/>
                <w:color w:val="auto"/>
                <w:w w:val="89"/>
              </w:rPr>
              <w:t>XBRL Taxonomy Extension Presentation Linkbase Document</w:t>
            </w:r>
          </w:p>
        </w:tc>
      </w:tr>
      <w:tr>
        <w:trPr>
          <w:trHeight w:val="348"/>
        </w:trPr>
        <w:tc>
          <w:tcPr>
            <w:tcW w:w="960" w:type="dxa"/>
            <w:vAlign w:val="bottom"/>
          </w:tcPr>
          <w:p>
            <w:pPr>
              <w:spacing w:after="0"/>
              <w:rPr>
                <w:sz w:val="20"/>
                <w:szCs w:val="20"/>
                <w:color w:val="auto"/>
              </w:rPr>
            </w:pPr>
            <w:r>
              <w:rPr>
                <w:rFonts w:ascii="Arial" w:cs="Arial" w:eastAsia="Arial" w:hAnsi="Arial"/>
                <w:sz w:val="20"/>
                <w:szCs w:val="20"/>
                <w:color w:val="auto"/>
              </w:rPr>
              <w:t>101.DEF</w:t>
            </w:r>
          </w:p>
        </w:tc>
        <w:tc>
          <w:tcPr>
            <w:tcW w:w="5100" w:type="dxa"/>
            <w:vAlign w:val="bottom"/>
          </w:tcPr>
          <w:p>
            <w:pPr>
              <w:ind w:left="220"/>
              <w:spacing w:after="0"/>
              <w:rPr>
                <w:sz w:val="20"/>
                <w:szCs w:val="20"/>
                <w:color w:val="auto"/>
              </w:rPr>
            </w:pPr>
            <w:r>
              <w:rPr>
                <w:rFonts w:ascii="Arial" w:cs="Arial" w:eastAsia="Arial" w:hAnsi="Arial"/>
                <w:sz w:val="20"/>
                <w:szCs w:val="20"/>
                <w:color w:val="auto"/>
              </w:rPr>
              <w:t>XBRL Taxonomy Extension Definition Linkbase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41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20"/>
          <w:szCs w:val="20"/>
          <w:color w:val="auto"/>
        </w:rPr>
        <w:t>SIGNATURES</w:t>
      </w:r>
    </w:p>
    <w:p>
      <w:pPr>
        <w:spacing w:after="0" w:line="212"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20"/>
                <w:szCs w:val="20"/>
                <w:color w:val="auto"/>
              </w:rPr>
              <w:t>MARTIN MARIETTA MATERIALS, INC.</w:t>
            </w:r>
          </w:p>
        </w:tc>
      </w:tr>
      <w:tr>
        <w:trPr>
          <w:trHeight w:val="249"/>
        </w:trPr>
        <w:tc>
          <w:tcPr>
            <w:tcW w:w="414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4220" w:type="dxa"/>
            <w:vAlign w:val="bottom"/>
          </w:tcPr>
          <w:p>
            <w:pPr>
              <w:jc w:val="center"/>
              <w:ind w:right="1982"/>
              <w:spacing w:after="0"/>
              <w:rPr>
                <w:sz w:val="20"/>
                <w:szCs w:val="20"/>
                <w:color w:val="auto"/>
              </w:rPr>
            </w:pPr>
            <w:r>
              <w:rPr>
                <w:rFonts w:ascii="Arial" w:cs="Arial" w:eastAsia="Arial" w:hAnsi="Arial"/>
                <w:sz w:val="20"/>
                <w:szCs w:val="20"/>
                <w:color w:val="auto"/>
                <w:w w:val="89"/>
              </w:rPr>
              <w:t>(Registrant)</w:t>
            </w:r>
          </w:p>
        </w:tc>
      </w:tr>
      <w:tr>
        <w:trPr>
          <w:trHeight w:val="450"/>
        </w:trPr>
        <w:tc>
          <w:tcPr>
            <w:tcW w:w="4140" w:type="dxa"/>
            <w:vAlign w:val="bottom"/>
          </w:tcPr>
          <w:p>
            <w:pPr>
              <w:spacing w:after="0"/>
              <w:rPr>
                <w:sz w:val="20"/>
                <w:szCs w:val="20"/>
                <w:color w:val="auto"/>
              </w:rPr>
            </w:pPr>
            <w:r>
              <w:rPr>
                <w:rFonts w:ascii="Arial" w:cs="Arial" w:eastAsia="Arial" w:hAnsi="Arial"/>
                <w:sz w:val="20"/>
                <w:szCs w:val="20"/>
                <w:color w:val="auto"/>
              </w:rPr>
              <w:t>Date: May 8, 2018</w:t>
            </w:r>
          </w:p>
        </w:tc>
        <w:tc>
          <w:tcPr>
            <w:tcW w:w="7280" w:type="dxa"/>
            <w:vAlign w:val="bottom"/>
            <w:gridSpan w:val="2"/>
          </w:tcPr>
          <w:p>
            <w:pPr>
              <w:ind w:left="2660"/>
              <w:spacing w:after="0"/>
              <w:rPr>
                <w:sz w:val="20"/>
                <w:szCs w:val="20"/>
                <w:color w:val="auto"/>
              </w:rPr>
            </w:pPr>
            <w:r>
              <w:rPr>
                <w:rFonts w:ascii="Arial" w:cs="Arial" w:eastAsia="Arial" w:hAnsi="Arial"/>
                <w:sz w:val="20"/>
                <w:szCs w:val="20"/>
                <w:color w:val="auto"/>
              </w:rPr>
              <w:t>By: /s/ James A. J. Nickolas</w:t>
            </w:r>
          </w:p>
        </w:tc>
      </w:tr>
      <w:tr>
        <w:trPr>
          <w:trHeight w:val="204"/>
        </w:trPr>
        <w:tc>
          <w:tcPr>
            <w:tcW w:w="41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4220" w:type="dxa"/>
            <w:vAlign w:val="bottom"/>
            <w:tcBorders>
              <w:top w:val="single" w:sz="8" w:color="auto"/>
            </w:tcBorders>
          </w:tcPr>
          <w:p>
            <w:pPr>
              <w:spacing w:after="0" w:line="204" w:lineRule="exact"/>
              <w:rPr>
                <w:sz w:val="20"/>
                <w:szCs w:val="20"/>
                <w:color w:val="auto"/>
              </w:rPr>
            </w:pPr>
            <w:r>
              <w:rPr>
                <w:rFonts w:ascii="Arial" w:cs="Arial" w:eastAsia="Arial" w:hAnsi="Arial"/>
                <w:sz w:val="20"/>
                <w:szCs w:val="20"/>
                <w:color w:val="auto"/>
              </w:rPr>
              <w:t>James A. J. Nickolas</w:t>
            </w:r>
          </w:p>
        </w:tc>
      </w:tr>
      <w:tr>
        <w:trPr>
          <w:trHeight w:val="227"/>
        </w:trPr>
        <w:tc>
          <w:tcPr>
            <w:tcW w:w="41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220" w:type="dxa"/>
            <w:vAlign w:val="bottom"/>
          </w:tcPr>
          <w:p>
            <w:pPr>
              <w:spacing w:after="0" w:line="228" w:lineRule="exact"/>
              <w:rPr>
                <w:sz w:val="20"/>
                <w:szCs w:val="20"/>
                <w:color w:val="auto"/>
              </w:rPr>
            </w:pPr>
            <w:r>
              <w:rPr>
                <w:rFonts w:ascii="Arial" w:cs="Arial" w:eastAsia="Arial" w:hAnsi="Arial"/>
                <w:sz w:val="20"/>
                <w:szCs w:val="20"/>
                <w:color w:val="auto"/>
              </w:rPr>
              <w:t>Sr. Vice President and</w:t>
            </w:r>
          </w:p>
        </w:tc>
      </w:tr>
      <w:tr>
        <w:trPr>
          <w:trHeight w:val="249"/>
        </w:trPr>
        <w:tc>
          <w:tcPr>
            <w:tcW w:w="414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4220" w:type="dxa"/>
            <w:vAlign w:val="bottom"/>
          </w:tcPr>
          <w:p>
            <w:pPr>
              <w:jc w:val="center"/>
              <w:ind w:right="1982"/>
              <w:spacing w:after="0"/>
              <w:rPr>
                <w:sz w:val="20"/>
                <w:szCs w:val="20"/>
                <w:color w:val="auto"/>
              </w:rPr>
            </w:pPr>
            <w:r>
              <w:rPr>
                <w:rFonts w:ascii="Arial" w:cs="Arial" w:eastAsia="Arial" w:hAnsi="Arial"/>
                <w:sz w:val="20"/>
                <w:szCs w:val="20"/>
                <w:color w:val="auto"/>
                <w:w w:val="92"/>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42 of 42</w:t>
      </w:r>
    </w:p>
    <w:p>
      <w:pPr>
        <w:sectPr>
          <w:pgSz w:w="11900" w:h="16838" w:orient="portrait"/>
          <w:cols w:equalWidth="0" w:num="1">
            <w:col w:w="11420"/>
          </w:cols>
          <w:pgMar w:left="240" w:top="350"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20"/>
          <w:szCs w:val="20"/>
          <w:b w:val="1"/>
          <w:bCs w:val="1"/>
          <w:color w:val="auto"/>
        </w:rPr>
        <w:t>EXHIBIT 31.01</w:t>
      </w:r>
    </w:p>
    <w:p>
      <w:pPr>
        <w:spacing w:after="0" w:line="200" w:lineRule="exact"/>
        <w:rPr>
          <w:sz w:val="20"/>
          <w:szCs w:val="20"/>
          <w:color w:val="auto"/>
        </w:rPr>
      </w:pPr>
    </w:p>
    <w:p>
      <w:pPr>
        <w:spacing w:after="0" w:line="279" w:lineRule="exact"/>
        <w:rPr>
          <w:sz w:val="20"/>
          <w:szCs w:val="20"/>
          <w:color w:val="auto"/>
        </w:rPr>
      </w:pPr>
    </w:p>
    <w:p>
      <w:pPr>
        <w:jc w:val="center"/>
        <w:spacing w:after="0" w:line="263" w:lineRule="auto"/>
        <w:rPr>
          <w:sz w:val="20"/>
          <w:szCs w:val="20"/>
          <w:color w:val="auto"/>
        </w:rPr>
      </w:pPr>
      <w:r>
        <w:rPr>
          <w:rFonts w:ascii="Arial" w:cs="Arial" w:eastAsia="Arial" w:hAnsi="Arial"/>
          <w:sz w:val="20"/>
          <w:szCs w:val="20"/>
          <w:b w:val="1"/>
          <w:bCs w:val="1"/>
          <w:color w:val="auto"/>
        </w:rPr>
        <w:t>CERTIFICATION PURSUANT TO SECURITIES AND EXCHANGE ACT OF 1934 RULE 13a-14 AS ADOPTED PURSUANT TO SECTION 302 OF SARBANES-OXLEY ACT OF 2002</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I, C. Howard Nye, certify that:</w:t>
      </w:r>
    </w:p>
    <w:p>
      <w:pPr>
        <w:spacing w:after="0" w:line="225" w:lineRule="exact"/>
        <w:rPr>
          <w:sz w:val="20"/>
          <w:szCs w:val="20"/>
          <w:color w:val="auto"/>
        </w:rPr>
      </w:pPr>
    </w:p>
    <w:p>
      <w:pPr>
        <w:ind w:left="1300" w:hanging="423"/>
        <w:spacing w:after="0"/>
        <w:tabs>
          <w:tab w:leader="none" w:pos="13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I have reviewed this Form 10-Q of Martin Marietta Materials, Inc.;</w:t>
      </w:r>
    </w:p>
    <w:p>
      <w:pPr>
        <w:spacing w:after="0" w:line="224" w:lineRule="exact"/>
        <w:rPr>
          <w:rFonts w:ascii="Arial" w:cs="Arial" w:eastAsia="Arial" w:hAnsi="Arial"/>
          <w:sz w:val="20"/>
          <w:szCs w:val="20"/>
          <w:color w:val="auto"/>
        </w:rPr>
      </w:pPr>
    </w:p>
    <w:p>
      <w:pPr>
        <w:jc w:val="both"/>
        <w:ind w:left="1300" w:hanging="423"/>
        <w:spacing w:after="0" w:line="247" w:lineRule="auto"/>
        <w:tabs>
          <w:tab w:leader="none" w:pos="13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jc w:val="both"/>
        <w:ind w:left="1300" w:hanging="423"/>
        <w:spacing w:after="0" w:line="247" w:lineRule="auto"/>
        <w:tabs>
          <w:tab w:leader="none" w:pos="13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Based on my knowledge, the consolidated financial statements, and other financial information included in this report, fairly present in all material respects the consolidated financial condition, results of operations and cash flows of the registrant as of, and for, the periods presented in this report;</w:t>
      </w:r>
    </w:p>
    <w:p>
      <w:pPr>
        <w:spacing w:after="0" w:line="199" w:lineRule="exact"/>
        <w:rPr>
          <w:rFonts w:ascii="Arial" w:cs="Arial" w:eastAsia="Arial" w:hAnsi="Arial"/>
          <w:sz w:val="20"/>
          <w:szCs w:val="20"/>
          <w:color w:val="auto"/>
        </w:rPr>
      </w:pPr>
    </w:p>
    <w:p>
      <w:pPr>
        <w:jc w:val="both"/>
        <w:ind w:left="1300" w:hanging="423"/>
        <w:spacing w:after="0" w:line="247" w:lineRule="auto"/>
        <w:tabs>
          <w:tab w:leader="none" w:pos="13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2180" w:hanging="420"/>
        <w:spacing w:after="0" w:line="243" w:lineRule="auto"/>
        <w:tabs>
          <w:tab w:leader="none" w:pos="2180" w:val="left"/>
        </w:tabs>
        <w:numPr>
          <w:ilvl w:val="1"/>
          <w:numId w:val="26"/>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5" w:lineRule="exact"/>
        <w:rPr>
          <w:rFonts w:ascii="Arial" w:cs="Arial" w:eastAsia="Arial" w:hAnsi="Arial"/>
          <w:sz w:val="20"/>
          <w:szCs w:val="20"/>
          <w:color w:val="auto"/>
        </w:rPr>
      </w:pPr>
    </w:p>
    <w:p>
      <w:pPr>
        <w:jc w:val="both"/>
        <w:ind w:left="2180" w:hanging="420"/>
        <w:spacing w:after="0" w:line="243" w:lineRule="auto"/>
        <w:tabs>
          <w:tab w:leader="none" w:pos="2180" w:val="left"/>
        </w:tabs>
        <w:numPr>
          <w:ilvl w:val="1"/>
          <w:numId w:val="26"/>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205" w:lineRule="exact"/>
        <w:rPr>
          <w:rFonts w:ascii="Arial" w:cs="Arial" w:eastAsia="Arial" w:hAnsi="Arial"/>
          <w:sz w:val="20"/>
          <w:szCs w:val="20"/>
          <w:color w:val="auto"/>
        </w:rPr>
      </w:pPr>
    </w:p>
    <w:p>
      <w:pPr>
        <w:jc w:val="both"/>
        <w:ind w:left="2180" w:hanging="420"/>
        <w:spacing w:after="0" w:line="247" w:lineRule="auto"/>
        <w:tabs>
          <w:tab w:leader="none" w:pos="2180" w:val="left"/>
        </w:tabs>
        <w:numPr>
          <w:ilvl w:val="1"/>
          <w:numId w:val="26"/>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2180" w:hanging="420"/>
        <w:spacing w:after="0" w:line="243" w:lineRule="auto"/>
        <w:tabs>
          <w:tab w:leader="none" w:pos="2180" w:val="left"/>
        </w:tabs>
        <w:numPr>
          <w:ilvl w:val="1"/>
          <w:numId w:val="26"/>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468630</wp:posOffset>
            </wp:positionV>
            <wp:extent cx="729043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813" w:right="239" w:bottom="1440" w:gutter="0" w:footer="0" w:header="0"/>
        </w:sectPr>
      </w:pPr>
    </w:p>
    <w:bookmarkStart w:id="43" w:name="page44"/>
    <w:bookmarkEnd w:id="43"/>
    <w:p>
      <w:pPr>
        <w:spacing w:after="0" w:line="35" w:lineRule="exact"/>
        <w:rPr>
          <w:sz w:val="20"/>
          <w:szCs w:val="20"/>
          <w:color w:val="auto"/>
        </w:rPr>
      </w:pPr>
    </w:p>
    <w:p>
      <w:pPr>
        <w:jc w:val="both"/>
        <w:ind w:left="1300" w:hanging="423"/>
        <w:spacing w:after="0" w:line="247" w:lineRule="auto"/>
        <w:tabs>
          <w:tab w:leader="none" w:pos="13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jc w:val="both"/>
        <w:ind w:left="2180" w:hanging="420"/>
        <w:spacing w:after="0" w:line="247" w:lineRule="auto"/>
        <w:tabs>
          <w:tab w:leader="none" w:pos="2180" w:val="left"/>
        </w:tabs>
        <w:numPr>
          <w:ilvl w:val="1"/>
          <w:numId w:val="27"/>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2180" w:hanging="420"/>
        <w:spacing w:after="0" w:line="257" w:lineRule="auto"/>
        <w:tabs>
          <w:tab w:leader="none" w:pos="2180" w:val="left"/>
        </w:tabs>
        <w:numPr>
          <w:ilvl w:val="1"/>
          <w:numId w:val="27"/>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200" w:type="dxa"/>
            <w:vAlign w:val="bottom"/>
          </w:tcPr>
          <w:p>
            <w:pPr>
              <w:spacing w:after="0"/>
              <w:rPr>
                <w:sz w:val="20"/>
                <w:szCs w:val="20"/>
                <w:color w:val="auto"/>
              </w:rPr>
            </w:pPr>
            <w:r>
              <w:rPr>
                <w:rFonts w:ascii="Arial" w:cs="Arial" w:eastAsia="Arial" w:hAnsi="Arial"/>
                <w:sz w:val="20"/>
                <w:szCs w:val="20"/>
                <w:color w:val="auto"/>
              </w:rPr>
              <w:t>Date: May 8, 2018</w:t>
            </w:r>
          </w:p>
        </w:tc>
        <w:tc>
          <w:tcPr>
            <w:tcW w:w="7220" w:type="dxa"/>
            <w:vAlign w:val="bottom"/>
            <w:gridSpan w:val="2"/>
          </w:tcPr>
          <w:p>
            <w:pPr>
              <w:ind w:left="2680"/>
              <w:spacing w:after="0"/>
              <w:rPr>
                <w:sz w:val="20"/>
                <w:szCs w:val="20"/>
                <w:color w:val="auto"/>
              </w:rPr>
            </w:pPr>
            <w:r>
              <w:rPr>
                <w:rFonts w:ascii="Arial" w:cs="Arial" w:eastAsia="Arial" w:hAnsi="Arial"/>
                <w:sz w:val="20"/>
                <w:szCs w:val="20"/>
                <w:color w:val="auto"/>
              </w:rPr>
              <w:t>By:  /s/ C. Howard Nye</w:t>
            </w:r>
          </w:p>
        </w:tc>
      </w:tr>
      <w:tr>
        <w:trPr>
          <w:trHeight w:val="204"/>
        </w:trPr>
        <w:tc>
          <w:tcPr>
            <w:tcW w:w="420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4100" w:type="dxa"/>
            <w:vAlign w:val="bottom"/>
            <w:tcBorders>
              <w:top w:val="single" w:sz="8" w:color="auto"/>
            </w:tcBorders>
          </w:tcPr>
          <w:p>
            <w:pPr>
              <w:spacing w:after="0" w:line="204" w:lineRule="exact"/>
              <w:rPr>
                <w:sz w:val="20"/>
                <w:szCs w:val="20"/>
                <w:color w:val="auto"/>
              </w:rPr>
            </w:pPr>
            <w:r>
              <w:rPr>
                <w:rFonts w:ascii="Arial" w:cs="Arial" w:eastAsia="Arial" w:hAnsi="Arial"/>
                <w:sz w:val="20"/>
                <w:szCs w:val="20"/>
                <w:color w:val="auto"/>
              </w:rPr>
              <w:t>C. Howard Nye</w:t>
            </w:r>
          </w:p>
        </w:tc>
      </w:tr>
      <w:tr>
        <w:trPr>
          <w:trHeight w:val="227"/>
        </w:trPr>
        <w:tc>
          <w:tcPr>
            <w:tcW w:w="420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4100" w:type="dxa"/>
            <w:vAlign w:val="bottom"/>
          </w:tcPr>
          <w:p>
            <w:pPr>
              <w:spacing w:after="0" w:line="228" w:lineRule="exact"/>
              <w:rPr>
                <w:sz w:val="20"/>
                <w:szCs w:val="20"/>
                <w:color w:val="auto"/>
              </w:rPr>
            </w:pPr>
            <w:r>
              <w:rPr>
                <w:rFonts w:ascii="Arial" w:cs="Arial" w:eastAsia="Arial" w:hAnsi="Arial"/>
                <w:sz w:val="20"/>
                <w:szCs w:val="20"/>
                <w:color w:val="auto"/>
              </w:rPr>
              <w:t>Chairman, President and</w:t>
            </w:r>
          </w:p>
        </w:tc>
      </w:tr>
      <w:tr>
        <w:trPr>
          <w:trHeight w:val="249"/>
        </w:trPr>
        <w:tc>
          <w:tcPr>
            <w:tcW w:w="420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4100" w:type="dxa"/>
            <w:vAlign w:val="bottom"/>
          </w:tcPr>
          <w:p>
            <w:pPr>
              <w:ind w:left="140"/>
              <w:spacing w:after="0"/>
              <w:rPr>
                <w:sz w:val="20"/>
                <w:szCs w:val="20"/>
                <w:color w:val="auto"/>
              </w:rPr>
            </w:pPr>
            <w:r>
              <w:rPr>
                <w:rFonts w:ascii="Arial" w:cs="Arial" w:eastAsia="Arial" w:hAnsi="Arial"/>
                <w:sz w:val="20"/>
                <w:szCs w:val="20"/>
                <w:color w:val="auto"/>
              </w:rPr>
              <w:t>Chief Executive Officer</w:t>
            </w:r>
          </w:p>
        </w:tc>
      </w:tr>
    </w:tbl>
    <w:p>
      <w:pPr>
        <w:sectPr>
          <w:pgSz w:w="11900" w:h="16838" w:orient="portrait"/>
          <w:cols w:equalWidth="0" w:num="1">
            <w:col w:w="11420"/>
          </w:cols>
          <w:pgMar w:left="240" w:top="1440"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20"/>
          <w:szCs w:val="20"/>
          <w:b w:val="1"/>
          <w:bCs w:val="1"/>
          <w:color w:val="auto"/>
        </w:rPr>
        <w:t>EXHIBIT 31.02</w:t>
      </w:r>
    </w:p>
    <w:p>
      <w:pPr>
        <w:spacing w:after="0" w:line="200" w:lineRule="exact"/>
        <w:rPr>
          <w:sz w:val="20"/>
          <w:szCs w:val="20"/>
          <w:color w:val="auto"/>
        </w:rPr>
      </w:pPr>
    </w:p>
    <w:p>
      <w:pPr>
        <w:spacing w:after="0" w:line="279" w:lineRule="exact"/>
        <w:rPr>
          <w:sz w:val="20"/>
          <w:szCs w:val="20"/>
          <w:color w:val="auto"/>
        </w:rPr>
      </w:pPr>
    </w:p>
    <w:p>
      <w:pPr>
        <w:jc w:val="center"/>
        <w:spacing w:after="0" w:line="263" w:lineRule="auto"/>
        <w:rPr>
          <w:sz w:val="20"/>
          <w:szCs w:val="20"/>
          <w:color w:val="auto"/>
        </w:rPr>
      </w:pPr>
      <w:r>
        <w:rPr>
          <w:rFonts w:ascii="Arial" w:cs="Arial" w:eastAsia="Arial" w:hAnsi="Arial"/>
          <w:sz w:val="20"/>
          <w:szCs w:val="20"/>
          <w:b w:val="1"/>
          <w:bCs w:val="1"/>
          <w:color w:val="auto"/>
        </w:rPr>
        <w:t>CERTIFICATION PURSUANT TO SECURITIES AND EXCHANGE ACT OF 1934 RULE 13a-14 AS ADOPTED PURSUANT TO SECTION 302 OF SARBANES-OXLEY ACT OF 2002</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I, James A. J. Nickolas, certify that:</w:t>
      </w:r>
    </w:p>
    <w:p>
      <w:pPr>
        <w:spacing w:after="0" w:line="225" w:lineRule="exact"/>
        <w:rPr>
          <w:sz w:val="20"/>
          <w:szCs w:val="20"/>
          <w:color w:val="auto"/>
        </w:rPr>
      </w:pPr>
    </w:p>
    <w:p>
      <w:pPr>
        <w:ind w:left="1300" w:hanging="423"/>
        <w:spacing w:after="0"/>
        <w:tabs>
          <w:tab w:leader="none" w:pos="13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I have reviewed this Form 10-Q of Martin Marietta Materials, Inc.;</w:t>
      </w:r>
    </w:p>
    <w:p>
      <w:pPr>
        <w:spacing w:after="0" w:line="224" w:lineRule="exact"/>
        <w:rPr>
          <w:rFonts w:ascii="Arial" w:cs="Arial" w:eastAsia="Arial" w:hAnsi="Arial"/>
          <w:sz w:val="20"/>
          <w:szCs w:val="20"/>
          <w:color w:val="auto"/>
        </w:rPr>
      </w:pPr>
    </w:p>
    <w:p>
      <w:pPr>
        <w:jc w:val="both"/>
        <w:ind w:left="1300" w:hanging="423"/>
        <w:spacing w:after="0" w:line="247" w:lineRule="auto"/>
        <w:tabs>
          <w:tab w:leader="none" w:pos="13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jc w:val="both"/>
        <w:ind w:left="1300" w:hanging="423"/>
        <w:spacing w:after="0" w:line="247" w:lineRule="auto"/>
        <w:tabs>
          <w:tab w:leader="none" w:pos="13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Based on my knowledge, the consolidated financial statements, and other financial information included in this report, fairly present in all material respects the consolidated financial condition, results of operations and cash flows of the registrant as of, and for, the periods presented in this report;</w:t>
      </w:r>
    </w:p>
    <w:p>
      <w:pPr>
        <w:spacing w:after="0" w:line="199" w:lineRule="exact"/>
        <w:rPr>
          <w:rFonts w:ascii="Arial" w:cs="Arial" w:eastAsia="Arial" w:hAnsi="Arial"/>
          <w:sz w:val="20"/>
          <w:szCs w:val="20"/>
          <w:color w:val="auto"/>
        </w:rPr>
      </w:pPr>
    </w:p>
    <w:p>
      <w:pPr>
        <w:jc w:val="both"/>
        <w:ind w:left="1300" w:hanging="423"/>
        <w:spacing w:after="0" w:line="247" w:lineRule="auto"/>
        <w:tabs>
          <w:tab w:leader="none" w:pos="13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2180" w:hanging="420"/>
        <w:spacing w:after="0" w:line="243" w:lineRule="auto"/>
        <w:tabs>
          <w:tab w:leader="none" w:pos="2180" w:val="left"/>
        </w:tabs>
        <w:numPr>
          <w:ilvl w:val="1"/>
          <w:numId w:val="28"/>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5" w:lineRule="exact"/>
        <w:rPr>
          <w:rFonts w:ascii="Arial" w:cs="Arial" w:eastAsia="Arial" w:hAnsi="Arial"/>
          <w:sz w:val="20"/>
          <w:szCs w:val="20"/>
          <w:color w:val="auto"/>
        </w:rPr>
      </w:pPr>
    </w:p>
    <w:p>
      <w:pPr>
        <w:jc w:val="both"/>
        <w:ind w:left="2180" w:hanging="420"/>
        <w:spacing w:after="0" w:line="243" w:lineRule="auto"/>
        <w:tabs>
          <w:tab w:leader="none" w:pos="2180" w:val="left"/>
        </w:tabs>
        <w:numPr>
          <w:ilvl w:val="1"/>
          <w:numId w:val="28"/>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205" w:lineRule="exact"/>
        <w:rPr>
          <w:rFonts w:ascii="Arial" w:cs="Arial" w:eastAsia="Arial" w:hAnsi="Arial"/>
          <w:sz w:val="20"/>
          <w:szCs w:val="20"/>
          <w:color w:val="auto"/>
        </w:rPr>
      </w:pPr>
    </w:p>
    <w:p>
      <w:pPr>
        <w:jc w:val="both"/>
        <w:ind w:left="2180" w:hanging="420"/>
        <w:spacing w:after="0" w:line="247" w:lineRule="auto"/>
        <w:tabs>
          <w:tab w:leader="none" w:pos="2180" w:val="left"/>
        </w:tabs>
        <w:numPr>
          <w:ilvl w:val="1"/>
          <w:numId w:val="28"/>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2180" w:hanging="420"/>
        <w:spacing w:after="0" w:line="243" w:lineRule="auto"/>
        <w:tabs>
          <w:tab w:leader="none" w:pos="2180" w:val="left"/>
        </w:tabs>
        <w:numPr>
          <w:ilvl w:val="1"/>
          <w:numId w:val="28"/>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476885</wp:posOffset>
            </wp:positionV>
            <wp:extent cx="729043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813" w:right="239" w:bottom="1440" w:gutter="0" w:footer="0" w:header="0"/>
        </w:sectPr>
      </w:pPr>
    </w:p>
    <w:bookmarkStart w:id="45" w:name="page46"/>
    <w:bookmarkEnd w:id="45"/>
    <w:p>
      <w:pPr>
        <w:spacing w:after="0" w:line="35" w:lineRule="exact"/>
        <w:rPr>
          <w:sz w:val="20"/>
          <w:szCs w:val="20"/>
          <w:color w:val="auto"/>
        </w:rPr>
      </w:pPr>
    </w:p>
    <w:p>
      <w:pPr>
        <w:jc w:val="both"/>
        <w:ind w:left="1300" w:hanging="423"/>
        <w:spacing w:after="0" w:line="247" w:lineRule="auto"/>
        <w:tabs>
          <w:tab w:leader="none" w:pos="130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jc w:val="both"/>
        <w:ind w:left="2180" w:hanging="420"/>
        <w:spacing w:after="0" w:line="247" w:lineRule="auto"/>
        <w:tabs>
          <w:tab w:leader="none" w:pos="2180" w:val="left"/>
        </w:tabs>
        <w:numPr>
          <w:ilvl w:val="1"/>
          <w:numId w:val="29"/>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2180" w:hanging="420"/>
        <w:spacing w:after="0" w:line="257" w:lineRule="auto"/>
        <w:tabs>
          <w:tab w:leader="none" w:pos="2180" w:val="left"/>
        </w:tabs>
        <w:numPr>
          <w:ilvl w:val="1"/>
          <w:numId w:val="29"/>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160" w:type="dxa"/>
            <w:vAlign w:val="bottom"/>
          </w:tcPr>
          <w:p>
            <w:pPr>
              <w:spacing w:after="0"/>
              <w:rPr>
                <w:sz w:val="20"/>
                <w:szCs w:val="20"/>
                <w:color w:val="auto"/>
              </w:rPr>
            </w:pPr>
            <w:r>
              <w:rPr>
                <w:rFonts w:ascii="Arial" w:cs="Arial" w:eastAsia="Arial" w:hAnsi="Arial"/>
                <w:sz w:val="20"/>
                <w:szCs w:val="20"/>
                <w:color w:val="auto"/>
              </w:rPr>
              <w:t>Date: May 8, 2018</w:t>
            </w:r>
          </w:p>
        </w:tc>
        <w:tc>
          <w:tcPr>
            <w:tcW w:w="7260" w:type="dxa"/>
            <w:vAlign w:val="bottom"/>
            <w:gridSpan w:val="2"/>
          </w:tcPr>
          <w:p>
            <w:pPr>
              <w:ind w:left="2700"/>
              <w:spacing w:after="0"/>
              <w:rPr>
                <w:sz w:val="20"/>
                <w:szCs w:val="20"/>
                <w:color w:val="auto"/>
              </w:rPr>
            </w:pPr>
            <w:r>
              <w:rPr>
                <w:rFonts w:ascii="Arial" w:cs="Arial" w:eastAsia="Arial" w:hAnsi="Arial"/>
                <w:sz w:val="20"/>
                <w:szCs w:val="20"/>
                <w:color w:val="auto"/>
              </w:rPr>
              <w:t>By:  /s/ James A. J. Nickolas</w:t>
            </w:r>
          </w:p>
        </w:tc>
      </w:tr>
      <w:tr>
        <w:trPr>
          <w:trHeight w:val="204"/>
        </w:trPr>
        <w:tc>
          <w:tcPr>
            <w:tcW w:w="416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4120" w:type="dxa"/>
            <w:vAlign w:val="bottom"/>
            <w:tcBorders>
              <w:top w:val="single" w:sz="8" w:color="auto"/>
            </w:tcBorders>
          </w:tcPr>
          <w:p>
            <w:pPr>
              <w:spacing w:after="0" w:line="204" w:lineRule="exact"/>
              <w:rPr>
                <w:sz w:val="20"/>
                <w:szCs w:val="20"/>
                <w:color w:val="auto"/>
              </w:rPr>
            </w:pPr>
            <w:r>
              <w:rPr>
                <w:rFonts w:ascii="Arial" w:cs="Arial" w:eastAsia="Arial" w:hAnsi="Arial"/>
                <w:sz w:val="20"/>
                <w:szCs w:val="20"/>
                <w:color w:val="auto"/>
              </w:rPr>
              <w:t>James A. J. Nickolas</w:t>
            </w:r>
          </w:p>
        </w:tc>
      </w:tr>
      <w:tr>
        <w:trPr>
          <w:trHeight w:val="227"/>
        </w:trPr>
        <w:tc>
          <w:tcPr>
            <w:tcW w:w="416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4120" w:type="dxa"/>
            <w:vAlign w:val="bottom"/>
          </w:tcPr>
          <w:p>
            <w:pPr>
              <w:spacing w:after="0" w:line="228" w:lineRule="exact"/>
              <w:rPr>
                <w:sz w:val="20"/>
                <w:szCs w:val="20"/>
                <w:color w:val="auto"/>
              </w:rPr>
            </w:pPr>
            <w:r>
              <w:rPr>
                <w:rFonts w:ascii="Arial" w:cs="Arial" w:eastAsia="Arial" w:hAnsi="Arial"/>
                <w:sz w:val="20"/>
                <w:szCs w:val="20"/>
                <w:color w:val="auto"/>
              </w:rPr>
              <w:t>Sr. Vice President and</w:t>
            </w:r>
          </w:p>
        </w:tc>
      </w:tr>
      <w:tr>
        <w:trPr>
          <w:trHeight w:val="249"/>
        </w:trPr>
        <w:tc>
          <w:tcPr>
            <w:tcW w:w="416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4120" w:type="dxa"/>
            <w:vAlign w:val="bottom"/>
          </w:tcPr>
          <w:p>
            <w:pPr>
              <w:ind w:left="140"/>
              <w:spacing w:after="0"/>
              <w:rPr>
                <w:sz w:val="20"/>
                <w:szCs w:val="20"/>
                <w:color w:val="auto"/>
              </w:rPr>
            </w:pPr>
            <w:r>
              <w:rPr>
                <w:rFonts w:ascii="Arial" w:cs="Arial" w:eastAsia="Arial" w:hAnsi="Arial"/>
                <w:sz w:val="20"/>
                <w:szCs w:val="20"/>
                <w:color w:val="auto"/>
              </w:rPr>
              <w:t>Chief Financial Officer</w:t>
            </w:r>
          </w:p>
        </w:tc>
      </w:tr>
    </w:tbl>
    <w:p>
      <w:pPr>
        <w:sectPr>
          <w:pgSz w:w="11900" w:h="16838" w:orient="portrait"/>
          <w:cols w:equalWidth="0" w:num="1">
            <w:col w:w="11420"/>
          </w:cols>
          <w:pgMar w:left="240" w:top="1440"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20"/>
          <w:szCs w:val="20"/>
          <w:b w:val="1"/>
          <w:bCs w:val="1"/>
          <w:color w:val="auto"/>
        </w:rPr>
        <w:t>EXHIBIT 32.01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Written Statement Pursuant to 18 U.S.C.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Section 906 of the Sarbanes-Oxley Act of 2002</w:t>
      </w:r>
    </w:p>
    <w:p>
      <w:pPr>
        <w:spacing w:after="0" w:line="209" w:lineRule="exact"/>
        <w:rPr>
          <w:sz w:val="20"/>
          <w:szCs w:val="20"/>
          <w:color w:val="auto"/>
        </w:rPr>
      </w:pPr>
    </w:p>
    <w:p>
      <w:pPr>
        <w:jc w:val="both"/>
        <w:ind w:firstLine="878"/>
        <w:spacing w:after="0" w:line="247" w:lineRule="auto"/>
        <w:rPr>
          <w:sz w:val="20"/>
          <w:szCs w:val="20"/>
          <w:color w:val="auto"/>
        </w:rPr>
      </w:pPr>
      <w:r>
        <w:rPr>
          <w:rFonts w:ascii="Arial" w:cs="Arial" w:eastAsia="Arial" w:hAnsi="Arial"/>
          <w:sz w:val="20"/>
          <w:szCs w:val="20"/>
          <w:color w:val="auto"/>
        </w:rPr>
        <w:t>In connection with the Quarterly Report on Form 10-Q for the period ended March 31, 2018 (the “Report”) of Martin Marietta Materials, Inc. (the “Registrant”), as filed with the Securities and Exchange Commission on the date hereof, I, C. Howard Nye, the Chief Executive Officer of the Registrant, certify, to the best of my knowledge, that:</w:t>
      </w:r>
    </w:p>
    <w:p>
      <w:pPr>
        <w:spacing w:after="0" w:line="200" w:lineRule="exact"/>
        <w:rPr>
          <w:sz w:val="20"/>
          <w:szCs w:val="20"/>
          <w:color w:val="auto"/>
        </w:rPr>
      </w:pPr>
    </w:p>
    <w:p>
      <w:pPr>
        <w:ind w:left="1740" w:hanging="863"/>
        <w:spacing w:after="0" w:line="257" w:lineRule="auto"/>
        <w:tabs>
          <w:tab w:leader="none" w:pos="17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as amended; and</w:t>
      </w:r>
    </w:p>
    <w:p>
      <w:pPr>
        <w:spacing w:after="0" w:line="189" w:lineRule="exact"/>
        <w:rPr>
          <w:rFonts w:ascii="Arial" w:cs="Arial" w:eastAsia="Arial" w:hAnsi="Arial"/>
          <w:sz w:val="20"/>
          <w:szCs w:val="20"/>
          <w:color w:val="auto"/>
        </w:rPr>
      </w:pPr>
    </w:p>
    <w:p>
      <w:pPr>
        <w:ind w:left="1740" w:right="20" w:hanging="863"/>
        <w:spacing w:after="0" w:line="257" w:lineRule="auto"/>
        <w:tabs>
          <w:tab w:leader="none" w:pos="17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Registrant.</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/s/ C. Howard Nye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8890</wp:posOffset>
            </wp:positionV>
            <wp:extent cx="289750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20"/>
          <w:szCs w:val="20"/>
          <w:color w:val="auto"/>
        </w:rPr>
        <w:t>C. Howard Nye</w:t>
      </w:r>
    </w:p>
    <w:p>
      <w:pPr>
        <w:spacing w:after="0" w:line="3"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Chairman, President and</w:t>
      </w:r>
    </w:p>
    <w:p>
      <w:pPr>
        <w:ind w:left="7000"/>
        <w:spacing w:after="0"/>
        <w:rPr>
          <w:sz w:val="20"/>
          <w:szCs w:val="20"/>
          <w:color w:val="auto"/>
        </w:rPr>
      </w:pPr>
      <w:r>
        <w:rPr>
          <w:rFonts w:ascii="Arial" w:cs="Arial" w:eastAsia="Arial" w:hAnsi="Arial"/>
          <w:sz w:val="20"/>
          <w:szCs w:val="20"/>
          <w:color w:val="auto"/>
        </w:rPr>
        <w:t>Chief Executive Officer</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Dated: May 8, 2018</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A signed original of this written statement required by Section 906 has been provided to Martin Marietta Materials, Inc. and will be retained by Martin Marietta Materials, Inc. and furnished to the Securities and Exchange Commission or its staff upon request.</w:t>
      </w:r>
    </w:p>
    <w:p>
      <w:pPr>
        <w:sectPr>
          <w:pgSz w:w="11900" w:h="16838" w:orient="portrait"/>
          <w:cols w:equalWidth="0" w:num="1">
            <w:col w:w="11420"/>
          </w:cols>
          <w:pgMar w:left="240" w:top="118"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20"/>
          <w:szCs w:val="20"/>
          <w:b w:val="1"/>
          <w:bCs w:val="1"/>
          <w:color w:val="auto"/>
        </w:rPr>
        <w:t>EXHIBIT 32.02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Written Statement Pursuant to 18 U.S.C.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Section 906 of the Sarbanes-Oxley Act of 2002</w:t>
      </w:r>
    </w:p>
    <w:p>
      <w:pPr>
        <w:spacing w:after="0" w:line="209" w:lineRule="exact"/>
        <w:rPr>
          <w:sz w:val="20"/>
          <w:szCs w:val="20"/>
          <w:color w:val="auto"/>
        </w:rPr>
      </w:pPr>
    </w:p>
    <w:p>
      <w:pPr>
        <w:jc w:val="both"/>
        <w:ind w:firstLine="878"/>
        <w:spacing w:after="0" w:line="247" w:lineRule="auto"/>
        <w:rPr>
          <w:sz w:val="20"/>
          <w:szCs w:val="20"/>
          <w:color w:val="auto"/>
        </w:rPr>
      </w:pPr>
      <w:r>
        <w:rPr>
          <w:rFonts w:ascii="Arial" w:cs="Arial" w:eastAsia="Arial" w:hAnsi="Arial"/>
          <w:sz w:val="20"/>
          <w:szCs w:val="20"/>
          <w:color w:val="auto"/>
        </w:rPr>
        <w:t>In connection with the Quarterly Report on Form 10-Q for the period ended March 31, 2018 (the “Report”) of Martin Marietta Materials, Inc. (the “Registrant”), as filed with the Securities and Exchange Commission on the date hereof, I, James A. J. Nickolas, the Chief Financial Officer of the Registrant, certify, to the best of my knowledge, that:</w:t>
      </w:r>
    </w:p>
    <w:p>
      <w:pPr>
        <w:spacing w:after="0" w:line="200" w:lineRule="exact"/>
        <w:rPr>
          <w:sz w:val="20"/>
          <w:szCs w:val="20"/>
          <w:color w:val="auto"/>
        </w:rPr>
      </w:pPr>
    </w:p>
    <w:p>
      <w:pPr>
        <w:ind w:left="1740" w:hanging="863"/>
        <w:spacing w:after="0" w:line="257" w:lineRule="auto"/>
        <w:tabs>
          <w:tab w:leader="none" w:pos="1740"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as amended; and</w:t>
      </w:r>
    </w:p>
    <w:p>
      <w:pPr>
        <w:spacing w:after="0" w:line="189" w:lineRule="exact"/>
        <w:rPr>
          <w:rFonts w:ascii="Arial" w:cs="Arial" w:eastAsia="Arial" w:hAnsi="Arial"/>
          <w:sz w:val="20"/>
          <w:szCs w:val="20"/>
          <w:color w:val="auto"/>
        </w:rPr>
      </w:pPr>
    </w:p>
    <w:p>
      <w:pPr>
        <w:ind w:left="1740" w:right="20" w:hanging="863"/>
        <w:spacing w:after="0" w:line="257" w:lineRule="auto"/>
        <w:tabs>
          <w:tab w:leader="none" w:pos="1740"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Registrant.</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/s/ James A. J. Nickolas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8890</wp:posOffset>
            </wp:positionV>
            <wp:extent cx="289750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20"/>
          <w:szCs w:val="20"/>
          <w:color w:val="auto"/>
        </w:rPr>
        <w:t>James A. J. Nickolas</w:t>
      </w:r>
    </w:p>
    <w:p>
      <w:pPr>
        <w:spacing w:after="0" w:line="3"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Sr. Vice President and</w:t>
      </w:r>
    </w:p>
    <w:p>
      <w:pPr>
        <w:ind w:left="7000"/>
        <w:spacing w:after="0"/>
        <w:rPr>
          <w:sz w:val="20"/>
          <w:szCs w:val="20"/>
          <w:color w:val="auto"/>
        </w:rPr>
      </w:pPr>
      <w:r>
        <w:rPr>
          <w:rFonts w:ascii="Arial" w:cs="Arial" w:eastAsia="Arial" w:hAnsi="Arial"/>
          <w:sz w:val="20"/>
          <w:szCs w:val="20"/>
          <w:color w:val="auto"/>
        </w:rPr>
        <w:t>Chief Financial Officer</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Dated: May 8, 2018</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A signed original of this written statement required by Section 906 has been provided to Martin Marietta Materials, Inc. and will be retained by Martin Marietta Materials, Inc. and furnished to the Securities and Exchange Commission or its staff upon request.</w:t>
      </w:r>
    </w:p>
    <w:p>
      <w:pPr>
        <w:sectPr>
          <w:pgSz w:w="11900" w:h="16838" w:orient="portrait"/>
          <w:cols w:equalWidth="0" w:num="1">
            <w:col w:w="11420"/>
          </w:cols>
          <w:pgMar w:left="240" w:top="118"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20"/>
          <w:szCs w:val="20"/>
          <w:b w:val="1"/>
          <w:bCs w:val="1"/>
          <w:color w:val="auto"/>
        </w:rPr>
        <w:t>EXHIBIT 95</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MINE SAFETY DISCLOSURES</w:t>
      </w:r>
    </w:p>
    <w:p>
      <w:pPr>
        <w:spacing w:after="0" w:line="231"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The operation of the Corporation’s domestic aggregates quarries and mines is subject to regulation by the federal Mine Safety and Health Administration (MSHA) under the Federal Mine Safety and Health Act of 1977 (the Mine Act). MSHA inspects the Corporation’s quarries and mines on a regular basis and issues various citations and orders when it believes a violation has occurred under the Mine Act. Whenever MSHA issues a citation or order, it also generally proposes a civil penalty, or fine, related to the alleged violation. Citations or orders may be contested and appealed, and as part of that process, are often reduced in severity and amount, and are sometimes dismissed.</w:t>
      </w:r>
    </w:p>
    <w:p>
      <w:pPr>
        <w:spacing w:after="0" w:line="164"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Under the Dodd-Frank Wall Street Reform and Consumer Protection Act (the Dodd-Frank Act), the Corporation is required to present information regarding certain mining safety and health citations which MSHA has issued with respect to its aggregates mining operations in its periodic reports filed with the Securities and Exchange Commission (SEC). In evaluating this information, consideration should be given to factors such as: (i) the number of citations and orders will vary depending on the size of the quarry or mine and types of operations (underground or surface), (ii) the number of citations issued will vary from inspector to inspector and location to location, and (iii) citations and orders can be contested and appealed, and in that process, may be reduced in severity and amount, and are sometimes dismissed.</w:t>
      </w:r>
    </w:p>
    <w:p>
      <w:pPr>
        <w:spacing w:after="0" w:line="165"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The Corporation has provided the information below in response to the SEC’s rules and regulations issued under the provisions of the Dodd-Frank Act. The disclosures reflect U.S. mining operations only, as the requirements of the Dodd-Frank Act and the SEC rules and regulations thereunder do not apply to the Corporation’s quarries and mines operated outside the United States.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The Corporation presents the following items regarding certain mining safety and health matters for the three months ended March 31, 2018:</w:t>
      </w:r>
    </w:p>
    <w:p>
      <w:pPr>
        <w:spacing w:after="0" w:line="259" w:lineRule="exact"/>
        <w:rPr>
          <w:sz w:val="20"/>
          <w:szCs w:val="20"/>
          <w:color w:val="auto"/>
        </w:rPr>
      </w:pPr>
    </w:p>
    <w:p>
      <w:pPr>
        <w:jc w:val="both"/>
        <w:ind w:left="440" w:hanging="433"/>
        <w:spacing w:after="0" w:line="241" w:lineRule="auto"/>
        <w:tabs>
          <w:tab w:leader="none" w:pos="440" w:val="left"/>
        </w:tabs>
        <w:numPr>
          <w:ilvl w:val="0"/>
          <w:numId w:val="32"/>
        </w:numPr>
        <w:rPr>
          <w:rFonts w:ascii="Arial" w:cs="Arial" w:eastAsia="Arial" w:hAnsi="Arial"/>
          <w:sz w:val="20"/>
          <w:szCs w:val="20"/>
          <w:b w:val="1"/>
          <w:bCs w:val="1"/>
          <w:color w:val="auto"/>
        </w:rPr>
      </w:pPr>
      <w:r>
        <w:rPr>
          <w:rFonts w:ascii="Arial" w:cs="Arial" w:eastAsia="Arial" w:hAnsi="Arial"/>
          <w:sz w:val="20"/>
          <w:szCs w:val="20"/>
          <w:color w:val="auto"/>
        </w:rPr>
        <w:t>Total number of violations of mandatory health or safety standards that could significantly and substantially contribute to the cause and effect of a mine safety or health hazard under section 104 of the Mine Act for which the Corporation has received a citation from MSHA (hereinafter, “Section 104 S&amp;S Citations”). If MSHA determines that a violation of a mandatory health or safety standard is likely to result in a reasonably serious injury or illness under the unique circumstance contributed to by the violation, MSHA will classify the violation as a “significant and substantial” violation (commonly referred to as an S&amp;S violation). MSHA inspectors will classify each citation or order written as an S&amp;S violation or not.</w:t>
      </w:r>
    </w:p>
    <w:p>
      <w:pPr>
        <w:spacing w:after="0" w:line="179" w:lineRule="exact"/>
        <w:rPr>
          <w:rFonts w:ascii="Arial" w:cs="Arial" w:eastAsia="Arial" w:hAnsi="Arial"/>
          <w:sz w:val="20"/>
          <w:szCs w:val="20"/>
          <w:b w:val="1"/>
          <w:bCs w:val="1"/>
          <w:color w:val="auto"/>
        </w:rPr>
      </w:pPr>
    </w:p>
    <w:p>
      <w:pPr>
        <w:jc w:val="both"/>
        <w:ind w:left="440" w:hanging="433"/>
        <w:spacing w:after="0" w:line="243" w:lineRule="auto"/>
        <w:tabs>
          <w:tab w:leader="none" w:pos="440" w:val="left"/>
        </w:tabs>
        <w:numPr>
          <w:ilvl w:val="0"/>
          <w:numId w:val="32"/>
        </w:numPr>
        <w:rPr>
          <w:rFonts w:ascii="Arial" w:cs="Arial" w:eastAsia="Arial" w:hAnsi="Arial"/>
          <w:sz w:val="20"/>
          <w:szCs w:val="20"/>
          <w:b w:val="1"/>
          <w:bCs w:val="1"/>
          <w:color w:val="auto"/>
        </w:rPr>
      </w:pPr>
      <w:r>
        <w:rPr>
          <w:rFonts w:ascii="Arial" w:cs="Arial" w:eastAsia="Arial" w:hAnsi="Arial"/>
          <w:sz w:val="20"/>
          <w:szCs w:val="20"/>
          <w:color w:val="auto"/>
        </w:rPr>
        <w:t>Total number of orders issued under section 104(b) of the Mine Act (hereinafter, “Section 104(b) Orders”). These orders are issued for situations in which MSHA determines a previous violation covered by a Section 104(a) citation has not been totally abated within the prescribed time period, so a further order is needed to require the mine operator to immediately withdraw all persons (except authorized persons) from the affected area of a quarry or mine.</w:t>
      </w:r>
    </w:p>
    <w:p>
      <w:pPr>
        <w:spacing w:after="0" w:line="205" w:lineRule="exact"/>
        <w:rPr>
          <w:rFonts w:ascii="Arial" w:cs="Arial" w:eastAsia="Arial" w:hAnsi="Arial"/>
          <w:sz w:val="20"/>
          <w:szCs w:val="20"/>
          <w:b w:val="1"/>
          <w:bCs w:val="1"/>
          <w:color w:val="auto"/>
        </w:rPr>
      </w:pPr>
    </w:p>
    <w:p>
      <w:pPr>
        <w:jc w:val="both"/>
        <w:ind w:left="440" w:hanging="433"/>
        <w:spacing w:after="0" w:line="247" w:lineRule="auto"/>
        <w:tabs>
          <w:tab w:leader="none" w:pos="440" w:val="left"/>
        </w:tabs>
        <w:numPr>
          <w:ilvl w:val="0"/>
          <w:numId w:val="32"/>
        </w:numPr>
        <w:rPr>
          <w:rFonts w:ascii="Arial" w:cs="Arial" w:eastAsia="Arial" w:hAnsi="Arial"/>
          <w:sz w:val="20"/>
          <w:szCs w:val="20"/>
          <w:b w:val="1"/>
          <w:bCs w:val="1"/>
          <w:color w:val="auto"/>
        </w:rPr>
      </w:pPr>
      <w:r>
        <w:rPr>
          <w:rFonts w:ascii="Arial" w:cs="Arial" w:eastAsia="Arial" w:hAnsi="Arial"/>
          <w:sz w:val="20"/>
          <w:szCs w:val="20"/>
          <w:color w:val="auto"/>
        </w:rPr>
        <w:t>Total number of citations and orders for unwarrantable failure of the mine operator to comply with mandatory health or safety standards under Section 104(d) of the Mine Act (hereinafter, “Section 104(d) Citations and Orders”). These violations are similar to those described above, but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456565</wp:posOffset>
            </wp:positionV>
            <wp:extent cx="729043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9" w:name="page50"/>
    <w:bookmarkEnd w:id="49"/>
    <w:p>
      <w:pPr>
        <w:jc w:val="both"/>
        <w:ind w:left="433"/>
        <w:spacing w:after="0" w:line="247" w:lineRule="auto"/>
        <w:rPr>
          <w:sz w:val="20"/>
          <w:szCs w:val="20"/>
          <w:color w:val="auto"/>
        </w:rPr>
      </w:pPr>
      <w:r>
        <w:rPr>
          <w:rFonts w:ascii="Arial" w:cs="Arial" w:eastAsia="Arial" w:hAnsi="Arial"/>
          <w:sz w:val="20"/>
          <w:szCs w:val="20"/>
          <w:color w:val="auto"/>
        </w:rPr>
        <w:t>standard is that the violation could significantly and substantially contribute to the cause and effect of a safety or health hazard, but the conditions do not cause imminent danger, and the MSHA inspector finds that the violation is caused by an unwarranted failure of the operator to comply with the health and safety standards.</w:t>
      </w:r>
    </w:p>
    <w:p>
      <w:pPr>
        <w:spacing w:after="0" w:line="201" w:lineRule="exact"/>
        <w:rPr>
          <w:sz w:val="20"/>
          <w:szCs w:val="20"/>
          <w:color w:val="auto"/>
        </w:rPr>
      </w:pPr>
    </w:p>
    <w:p>
      <w:pPr>
        <w:jc w:val="both"/>
        <w:ind w:left="433" w:hanging="433"/>
        <w:spacing w:after="0" w:line="301" w:lineRule="auto"/>
        <w:tabs>
          <w:tab w:leader="none" w:pos="433" w:val="left"/>
        </w:tabs>
        <w:numPr>
          <w:ilvl w:val="0"/>
          <w:numId w:val="33"/>
        </w:numPr>
        <w:rPr>
          <w:rFonts w:ascii="Arial" w:cs="Arial" w:eastAsia="Arial" w:hAnsi="Arial"/>
          <w:sz w:val="17"/>
          <w:szCs w:val="17"/>
          <w:b w:val="1"/>
          <w:bCs w:val="1"/>
          <w:color w:val="auto"/>
        </w:rPr>
      </w:pPr>
      <w:r>
        <w:rPr>
          <w:rFonts w:ascii="Arial" w:cs="Arial" w:eastAsia="Arial" w:hAnsi="Arial"/>
          <w:sz w:val="17"/>
          <w:szCs w:val="17"/>
          <w:color w:val="auto"/>
        </w:rPr>
        <w:t>Total number of flagrant violations under section 110(b)(2) of the Mine Act (hereinafter, “Section 110(b)(2) Violations”). These violations are penalty violations issued if MSHA determines that violations are “flagrant”, for which civil penalties may be assessed. A “flagrant” violation means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156" w:lineRule="exact"/>
        <w:rPr>
          <w:rFonts w:ascii="Arial" w:cs="Arial" w:eastAsia="Arial" w:hAnsi="Arial"/>
          <w:sz w:val="17"/>
          <w:szCs w:val="17"/>
          <w:b w:val="1"/>
          <w:bCs w:val="1"/>
          <w:color w:val="auto"/>
        </w:rPr>
      </w:pPr>
    </w:p>
    <w:p>
      <w:pPr>
        <w:jc w:val="both"/>
        <w:ind w:left="433" w:hanging="433"/>
        <w:spacing w:after="0" w:line="260" w:lineRule="auto"/>
        <w:tabs>
          <w:tab w:leader="none" w:pos="433" w:val="left"/>
        </w:tabs>
        <w:numPr>
          <w:ilvl w:val="0"/>
          <w:numId w:val="33"/>
        </w:numPr>
        <w:rPr>
          <w:rFonts w:ascii="Arial" w:cs="Arial" w:eastAsia="Arial" w:hAnsi="Arial"/>
          <w:sz w:val="19"/>
          <w:szCs w:val="19"/>
          <w:b w:val="1"/>
          <w:bCs w:val="1"/>
          <w:color w:val="auto"/>
        </w:rPr>
      </w:pPr>
      <w:r>
        <w:rPr>
          <w:rFonts w:ascii="Arial" w:cs="Arial" w:eastAsia="Arial" w:hAnsi="Arial"/>
          <w:sz w:val="19"/>
          <w:szCs w:val="19"/>
          <w:color w:val="auto"/>
        </w:rPr>
        <w:t>Total number of imminent danger orders issued under section 107(a) of the Mine Act (hereinafter, “Section 107(a) Orders”). These orders are issued for situations in which MSHA determines an imminent danger exists in the quarry or mine and results in orders of immediate withdrawal of all persons (except certain authorized persons) from the area of the quarry or mine affected by its condition until the imminent danger and the underlying conditions causing the imminent danger no longer exist.</w:t>
      </w:r>
    </w:p>
    <w:p>
      <w:pPr>
        <w:spacing w:after="0" w:line="190" w:lineRule="exact"/>
        <w:rPr>
          <w:rFonts w:ascii="Arial" w:cs="Arial" w:eastAsia="Arial" w:hAnsi="Arial"/>
          <w:sz w:val="19"/>
          <w:szCs w:val="19"/>
          <w:b w:val="1"/>
          <w:bCs w:val="1"/>
          <w:color w:val="auto"/>
        </w:rPr>
      </w:pPr>
    </w:p>
    <w:p>
      <w:pPr>
        <w:jc w:val="both"/>
        <w:ind w:left="433" w:hanging="433"/>
        <w:spacing w:after="0" w:line="260" w:lineRule="auto"/>
        <w:tabs>
          <w:tab w:leader="none" w:pos="433" w:val="left"/>
        </w:tabs>
        <w:numPr>
          <w:ilvl w:val="0"/>
          <w:numId w:val="33"/>
        </w:numPr>
        <w:rPr>
          <w:rFonts w:ascii="Arial" w:cs="Arial" w:eastAsia="Arial" w:hAnsi="Arial"/>
          <w:sz w:val="19"/>
          <w:szCs w:val="19"/>
          <w:b w:val="1"/>
          <w:bCs w:val="1"/>
          <w:color w:val="auto"/>
        </w:rPr>
      </w:pPr>
      <w:r>
        <w:rPr>
          <w:rFonts w:ascii="Arial" w:cs="Arial" w:eastAsia="Arial" w:hAnsi="Arial"/>
          <w:sz w:val="19"/>
          <w:szCs w:val="19"/>
          <w:color w:val="auto"/>
        </w:rPr>
        <w:t>Total dollar value of proposed assessments from MSHA under the Mine Act. These are the amounts of proposed assessments issued by MSHA with each citation or order for the time period covered by the reports. Penalties are assessed by MSHA according to a formula that considers a number of factors, including the mine operator’s history, size, negligence, gravity of the violation, good faith in trying to correct the violation promptly, and the effect of the penalty on the operator’s ability to continue in business.</w:t>
      </w:r>
    </w:p>
    <w:p>
      <w:pPr>
        <w:spacing w:after="0" w:line="190" w:lineRule="exact"/>
        <w:rPr>
          <w:rFonts w:ascii="Arial" w:cs="Arial" w:eastAsia="Arial" w:hAnsi="Arial"/>
          <w:sz w:val="19"/>
          <w:szCs w:val="19"/>
          <w:b w:val="1"/>
          <w:bCs w:val="1"/>
          <w:color w:val="auto"/>
        </w:rPr>
      </w:pPr>
    </w:p>
    <w:p>
      <w:pPr>
        <w:jc w:val="both"/>
        <w:ind w:left="433" w:hanging="433"/>
        <w:spacing w:after="0" w:line="312" w:lineRule="auto"/>
        <w:tabs>
          <w:tab w:leader="none" w:pos="433" w:val="left"/>
        </w:tabs>
        <w:numPr>
          <w:ilvl w:val="0"/>
          <w:numId w:val="33"/>
        </w:numPr>
        <w:rPr>
          <w:rFonts w:ascii="Arial" w:cs="Arial" w:eastAsia="Arial" w:hAnsi="Arial"/>
          <w:sz w:val="17"/>
          <w:szCs w:val="17"/>
          <w:b w:val="1"/>
          <w:bCs w:val="1"/>
          <w:color w:val="auto"/>
        </w:rPr>
      </w:pPr>
      <w:r>
        <w:rPr>
          <w:rFonts w:ascii="Arial" w:cs="Arial" w:eastAsia="Arial" w:hAnsi="Arial"/>
          <w:sz w:val="17"/>
          <w:szCs w:val="17"/>
          <w:color w:val="auto"/>
        </w:rPr>
        <w:t>Total number of mining-related fatalities. Mines subject to the Mine Act are required to report all fatalities occurring at their facilities unless the fatality is determined to be “non-chargeable” to the mining industry. The final rules of the SEC require disclosure of mining-related fatalities at mines subject to the Mine Act. Only fatalities determined by MSHA not to be mining-related may be excluded.</w:t>
      </w:r>
    </w:p>
    <w:p>
      <w:pPr>
        <w:spacing w:after="0" w:line="147" w:lineRule="exact"/>
        <w:rPr>
          <w:rFonts w:ascii="Arial" w:cs="Arial" w:eastAsia="Arial" w:hAnsi="Arial"/>
          <w:sz w:val="17"/>
          <w:szCs w:val="17"/>
          <w:b w:val="1"/>
          <w:bCs w:val="1"/>
          <w:color w:val="auto"/>
        </w:rPr>
      </w:pPr>
    </w:p>
    <w:p>
      <w:pPr>
        <w:jc w:val="both"/>
        <w:ind w:left="433" w:hanging="433"/>
        <w:spacing w:after="0" w:line="260" w:lineRule="auto"/>
        <w:tabs>
          <w:tab w:leader="none" w:pos="433" w:val="left"/>
        </w:tabs>
        <w:numPr>
          <w:ilvl w:val="0"/>
          <w:numId w:val="33"/>
        </w:numPr>
        <w:rPr>
          <w:rFonts w:ascii="Arial" w:cs="Arial" w:eastAsia="Arial" w:hAnsi="Arial"/>
          <w:sz w:val="19"/>
          <w:szCs w:val="19"/>
          <w:b w:val="1"/>
          <w:bCs w:val="1"/>
          <w:color w:val="auto"/>
        </w:rPr>
      </w:pPr>
      <w:r>
        <w:rPr>
          <w:rFonts w:ascii="Arial" w:cs="Arial" w:eastAsia="Arial" w:hAnsi="Arial"/>
          <w:sz w:val="19"/>
          <w:szCs w:val="19"/>
          <w:color w:val="auto"/>
        </w:rPr>
        <w:t>Receipt of written notice from MSHA of a pattern (or a potential to have such a pattern) of violations of mandatory health or safety standards that are of such nature as could have significantly and substantially contributed to the cause and effect of other mine health or safety hazards under Section 104(e) of the Mine Act. If MSHA determines that a mine has a “pattern” of these types of violations, or the potential to have such a pattern, MSHA is required to notify the mine operator of the existence of such a thing.</w:t>
      </w:r>
    </w:p>
    <w:p>
      <w:pPr>
        <w:spacing w:after="0" w:line="190" w:lineRule="exact"/>
        <w:rPr>
          <w:rFonts w:ascii="Arial" w:cs="Arial" w:eastAsia="Arial" w:hAnsi="Arial"/>
          <w:sz w:val="19"/>
          <w:szCs w:val="19"/>
          <w:b w:val="1"/>
          <w:bCs w:val="1"/>
          <w:color w:val="auto"/>
        </w:rPr>
      </w:pPr>
    </w:p>
    <w:p>
      <w:pPr>
        <w:ind w:left="433" w:hanging="433"/>
        <w:spacing w:after="0"/>
        <w:tabs>
          <w:tab w:leader="none" w:pos="433" w:val="left"/>
        </w:tabs>
        <w:numPr>
          <w:ilvl w:val="0"/>
          <w:numId w:val="33"/>
        </w:numPr>
        <w:rPr>
          <w:rFonts w:ascii="Arial" w:cs="Arial" w:eastAsia="Arial" w:hAnsi="Arial"/>
          <w:sz w:val="20"/>
          <w:szCs w:val="20"/>
          <w:b w:val="1"/>
          <w:bCs w:val="1"/>
          <w:color w:val="auto"/>
        </w:rPr>
      </w:pPr>
      <w:r>
        <w:rPr>
          <w:rFonts w:ascii="Arial" w:cs="Arial" w:eastAsia="Arial" w:hAnsi="Arial"/>
          <w:sz w:val="20"/>
          <w:szCs w:val="20"/>
          <w:color w:val="auto"/>
        </w:rPr>
        <w:t>Legal actions before the Federal Mine Safety and Health Review Commissions pending as of the last day of period.</w:t>
      </w:r>
    </w:p>
    <w:p>
      <w:pPr>
        <w:spacing w:after="0" w:line="224" w:lineRule="exact"/>
        <w:rPr>
          <w:rFonts w:ascii="Arial" w:cs="Arial" w:eastAsia="Arial" w:hAnsi="Arial"/>
          <w:sz w:val="20"/>
          <w:szCs w:val="20"/>
          <w:b w:val="1"/>
          <w:bCs w:val="1"/>
          <w:color w:val="auto"/>
        </w:rPr>
      </w:pPr>
    </w:p>
    <w:p>
      <w:pPr>
        <w:ind w:left="433" w:hanging="433"/>
        <w:spacing w:after="0"/>
        <w:tabs>
          <w:tab w:leader="none" w:pos="433" w:val="left"/>
        </w:tabs>
        <w:numPr>
          <w:ilvl w:val="0"/>
          <w:numId w:val="33"/>
        </w:numPr>
        <w:rPr>
          <w:rFonts w:ascii="Arial" w:cs="Arial" w:eastAsia="Arial" w:hAnsi="Arial"/>
          <w:sz w:val="20"/>
          <w:szCs w:val="20"/>
          <w:b w:val="1"/>
          <w:bCs w:val="1"/>
          <w:color w:val="auto"/>
        </w:rPr>
      </w:pPr>
      <w:r>
        <w:rPr>
          <w:rFonts w:ascii="Arial" w:cs="Arial" w:eastAsia="Arial" w:hAnsi="Arial"/>
          <w:sz w:val="20"/>
          <w:szCs w:val="20"/>
          <w:color w:val="auto"/>
        </w:rPr>
        <w:t>Legal actions before the Federal Mine Safety and Health Review Commissions initiated during period.</w:t>
      </w:r>
    </w:p>
    <w:p>
      <w:pPr>
        <w:spacing w:after="0" w:line="224" w:lineRule="exact"/>
        <w:rPr>
          <w:rFonts w:ascii="Arial" w:cs="Arial" w:eastAsia="Arial" w:hAnsi="Arial"/>
          <w:sz w:val="20"/>
          <w:szCs w:val="20"/>
          <w:b w:val="1"/>
          <w:bCs w:val="1"/>
          <w:color w:val="auto"/>
        </w:rPr>
      </w:pPr>
    </w:p>
    <w:p>
      <w:pPr>
        <w:ind w:left="433" w:hanging="433"/>
        <w:spacing w:after="0"/>
        <w:tabs>
          <w:tab w:leader="none" w:pos="433" w:val="left"/>
        </w:tabs>
        <w:numPr>
          <w:ilvl w:val="0"/>
          <w:numId w:val="33"/>
        </w:numPr>
        <w:rPr>
          <w:rFonts w:ascii="Arial" w:cs="Arial" w:eastAsia="Arial" w:hAnsi="Arial"/>
          <w:sz w:val="20"/>
          <w:szCs w:val="20"/>
          <w:b w:val="1"/>
          <w:bCs w:val="1"/>
          <w:color w:val="auto"/>
        </w:rPr>
      </w:pPr>
      <w:r>
        <w:rPr>
          <w:rFonts w:ascii="Arial" w:cs="Arial" w:eastAsia="Arial" w:hAnsi="Arial"/>
          <w:sz w:val="20"/>
          <w:szCs w:val="20"/>
          <w:color w:val="auto"/>
        </w:rPr>
        <w:t>Legal actions before the Federal Mine Safety and Health Review Commissions resolved during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616585</wp:posOffset>
            </wp:positionV>
            <wp:extent cx="729043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13"/>
          </w:cols>
          <w:pgMar w:left="247" w:top="122" w:right="239" w:bottom="1440" w:gutter="0" w:footer="0" w:header="0"/>
        </w:sectPr>
      </w:pPr>
    </w:p>
    <w:bookmarkStart w:id="50" w:name="page51"/>
    <w:bookmarkEnd w:id="50"/>
    <w:p>
      <w:pPr>
        <w:jc w:val="both"/>
        <w:spacing w:after="0" w:line="288" w:lineRule="auto"/>
        <w:rPr>
          <w:sz w:val="20"/>
          <w:szCs w:val="20"/>
          <w:color w:val="auto"/>
        </w:rPr>
      </w:pPr>
      <w:r>
        <w:rPr>
          <w:rFonts w:ascii="Arial" w:cs="Arial" w:eastAsia="Arial" w:hAnsi="Arial"/>
          <w:sz w:val="17"/>
          <w:szCs w:val="17"/>
          <w:color w:val="auto"/>
        </w:rPr>
        <w:t>The Federal Mine Safety and Health Review Commission (the Commission) is an independent adjudicative agency that provides administrative trial and appellate review of legal disputes arising under the Mine Act. The cases may involve, among other questions, challenges by operators to citations, orders and penalties they have received from MSHA, or complaints of discrimination by miners under Section 105 of the Mine Act. Appendix 1 shows, for each of the Corporation’s quarries and mines identified, as of March 31, 2018, the number of legal actions pending before the Commission, along with the number of legal actions initiated before the Commission during the quarter as well as resolved during the quarter. In addition, Appendix 1 includes a footnote to the column for legal actions before the Commission pending as of the last day of the period, which footnote breaks down that total number of legal actions pending by categories according to the type of proceeding in accordance with various categories established by the Procedural Rules of the Commission.</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Appendix 1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761365</wp:posOffset>
            </wp:positionV>
            <wp:extent cx="729043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50"/>
        </w:trPr>
        <w:tc>
          <w:tcPr>
            <w:tcW w:w="1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20" w:type="dxa"/>
            <w:vAlign w:val="bottom"/>
            <w:gridSpan w:val="3"/>
          </w:tcPr>
          <w:p>
            <w:pPr>
              <w:ind w:left="600"/>
              <w:spacing w:after="0"/>
              <w:rPr>
                <w:sz w:val="20"/>
                <w:szCs w:val="20"/>
                <w:color w:val="auto"/>
              </w:rPr>
            </w:pPr>
            <w:r>
              <w:rPr>
                <w:rFonts w:ascii="Arial" w:cs="Arial" w:eastAsia="Arial" w:hAnsi="Arial"/>
                <w:sz w:val="20"/>
                <w:szCs w:val="20"/>
                <w:color w:val="auto"/>
                <w:w w:val="99"/>
              </w:rPr>
              <w:t>Appendix 1</w:t>
            </w:r>
          </w:p>
        </w:tc>
      </w:tr>
      <w:tr>
        <w:trPr>
          <w:trHeight w:val="441"/>
        </w:trPr>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gridSpan w:val="2"/>
          </w:tcPr>
          <w:p>
            <w:pPr>
              <w:ind w:left="20"/>
              <w:spacing w:after="0"/>
              <w:rPr>
                <w:sz w:val="20"/>
                <w:szCs w:val="20"/>
                <w:color w:val="auto"/>
              </w:rPr>
            </w:pPr>
            <w:r>
              <w:rPr>
                <w:rFonts w:ascii="Arial" w:cs="Arial" w:eastAsia="Arial" w:hAnsi="Arial"/>
                <w:sz w:val="20"/>
                <w:szCs w:val="20"/>
                <w:b w:val="1"/>
                <w:bCs w:val="1"/>
                <w:color w:val="auto"/>
                <w:w w:val="86"/>
              </w:rPr>
              <w:t>Received Received</w:t>
            </w: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7"/>
        </w:trPr>
        <w:tc>
          <w:tcPr>
            <w:tcW w:w="1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0" w:type="dxa"/>
            <w:vAlign w:val="bottom"/>
            <w:gridSpan w:val="2"/>
          </w:tcPr>
          <w:p>
            <w:pPr>
              <w:ind w:left="20"/>
              <w:spacing w:after="0" w:line="228" w:lineRule="exact"/>
              <w:rPr>
                <w:sz w:val="20"/>
                <w:szCs w:val="20"/>
                <w:color w:val="auto"/>
              </w:rPr>
            </w:pPr>
            <w:r>
              <w:rPr>
                <w:rFonts w:ascii="Arial" w:cs="Arial" w:eastAsia="Arial" w:hAnsi="Arial"/>
                <w:sz w:val="20"/>
                <w:szCs w:val="20"/>
                <w:b w:val="1"/>
                <w:bCs w:val="1"/>
                <w:color w:val="auto"/>
                <w:w w:val="88"/>
              </w:rPr>
              <w:t>Notice of Notice of</w:t>
            </w:r>
          </w:p>
        </w:tc>
        <w:tc>
          <w:tcPr>
            <w:tcW w:w="68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7"/>
              </w:rPr>
              <w:t>Legal</w:t>
            </w: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7"/>
        </w:trPr>
        <w:tc>
          <w:tcPr>
            <w:tcW w:w="1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7"/>
              </w:rPr>
              <w:t>Total</w:t>
            </w:r>
          </w:p>
        </w:tc>
        <w:tc>
          <w:tcPr>
            <w:tcW w:w="2280" w:type="dxa"/>
            <w:vAlign w:val="bottom"/>
            <w:gridSpan w:val="3"/>
          </w:tcPr>
          <w:p>
            <w:pPr>
              <w:jc w:val="center"/>
              <w:spacing w:after="0" w:line="228" w:lineRule="exact"/>
              <w:rPr>
                <w:sz w:val="20"/>
                <w:szCs w:val="20"/>
                <w:color w:val="auto"/>
              </w:rPr>
            </w:pPr>
            <w:r>
              <w:rPr>
                <w:rFonts w:ascii="Arial" w:cs="Arial" w:eastAsia="Arial" w:hAnsi="Arial"/>
                <w:sz w:val="20"/>
                <w:szCs w:val="20"/>
                <w:b w:val="1"/>
                <w:bCs w:val="1"/>
                <w:color w:val="auto"/>
                <w:w w:val="90"/>
              </w:rPr>
              <w:t>Pattern Potential Actions</w:t>
            </w: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7"/>
        </w:trPr>
        <w:tc>
          <w:tcPr>
            <w:tcW w:w="1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5"/>
              </w:rPr>
              <w:t>Section</w:t>
            </w: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2"/>
              </w:rPr>
              <w:t>Number</w:t>
            </w:r>
          </w:p>
        </w:tc>
        <w:tc>
          <w:tcPr>
            <w:tcW w:w="80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4"/>
              </w:rPr>
              <w:t>of</w:t>
            </w:r>
          </w:p>
        </w:tc>
        <w:tc>
          <w:tcPr>
            <w:tcW w:w="1480" w:type="dxa"/>
            <w:vAlign w:val="bottom"/>
            <w:gridSpan w:val="2"/>
          </w:tcPr>
          <w:p>
            <w:pPr>
              <w:ind w:left="80"/>
              <w:spacing w:after="0" w:line="228" w:lineRule="exact"/>
              <w:rPr>
                <w:sz w:val="20"/>
                <w:szCs w:val="20"/>
                <w:color w:val="auto"/>
              </w:rPr>
            </w:pPr>
            <w:r>
              <w:rPr>
                <w:rFonts w:ascii="Arial" w:cs="Arial" w:eastAsia="Arial" w:hAnsi="Arial"/>
                <w:sz w:val="20"/>
                <w:szCs w:val="20"/>
                <w:b w:val="1"/>
                <w:bCs w:val="1"/>
                <w:color w:val="auto"/>
                <w:w w:val="89"/>
              </w:rPr>
              <w:t>to have Pending</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1"/>
              </w:rPr>
              <w:t>Legal</w:t>
            </w:r>
          </w:p>
        </w:tc>
        <w:tc>
          <w:tcPr>
            <w:tcW w:w="800" w:type="dxa"/>
            <w:vAlign w:val="bottom"/>
            <w:gridSpan w:val="2"/>
          </w:tcPr>
          <w:p>
            <w:pPr>
              <w:jc w:val="center"/>
              <w:spacing w:after="0" w:line="228" w:lineRule="exact"/>
              <w:rPr>
                <w:sz w:val="20"/>
                <w:szCs w:val="20"/>
                <w:color w:val="auto"/>
              </w:rPr>
            </w:pPr>
            <w:r>
              <w:rPr>
                <w:rFonts w:ascii="Arial" w:cs="Arial" w:eastAsia="Arial" w:hAnsi="Arial"/>
                <w:sz w:val="20"/>
                <w:szCs w:val="20"/>
                <w:b w:val="1"/>
                <w:bCs w:val="1"/>
                <w:color w:val="auto"/>
                <w:w w:val="87"/>
              </w:rPr>
              <w:t>Legal</w:t>
            </w:r>
          </w:p>
        </w:tc>
      </w:tr>
      <w:tr>
        <w:trPr>
          <w:trHeight w:val="227"/>
        </w:trPr>
        <w:tc>
          <w:tcPr>
            <w:tcW w:w="1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1"/>
              </w:rPr>
              <w:t>104(d)</w:t>
            </w: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80" w:type="dxa"/>
            <w:vAlign w:val="bottom"/>
            <w:gridSpan w:val="2"/>
          </w:tcPr>
          <w:p>
            <w:pPr>
              <w:jc w:val="center"/>
              <w:spacing w:after="0" w:line="228" w:lineRule="exact"/>
              <w:rPr>
                <w:sz w:val="20"/>
                <w:szCs w:val="20"/>
                <w:color w:val="auto"/>
              </w:rPr>
            </w:pPr>
            <w:r>
              <w:rPr>
                <w:rFonts w:ascii="Arial" w:cs="Arial" w:eastAsia="Arial" w:hAnsi="Arial"/>
                <w:sz w:val="20"/>
                <w:szCs w:val="20"/>
                <w:b w:val="1"/>
                <w:bCs w:val="1"/>
                <w:color w:val="auto"/>
                <w:w w:val="92"/>
              </w:rPr>
              <w:t>Total Dollar</w:t>
            </w:r>
          </w:p>
        </w:tc>
        <w:tc>
          <w:tcPr>
            <w:tcW w:w="80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4"/>
              </w:rPr>
              <w:t>of</w:t>
            </w:r>
          </w:p>
        </w:tc>
        <w:tc>
          <w:tcPr>
            <w:tcW w:w="1600" w:type="dxa"/>
            <w:vAlign w:val="bottom"/>
            <w:gridSpan w:val="2"/>
          </w:tcPr>
          <w:p>
            <w:pPr>
              <w:ind w:left="20"/>
              <w:spacing w:after="0" w:line="228" w:lineRule="exact"/>
              <w:rPr>
                <w:sz w:val="20"/>
                <w:szCs w:val="20"/>
                <w:color w:val="auto"/>
              </w:rPr>
            </w:pPr>
            <w:r>
              <w:rPr>
                <w:rFonts w:ascii="Arial" w:cs="Arial" w:eastAsia="Arial" w:hAnsi="Arial"/>
                <w:sz w:val="20"/>
                <w:szCs w:val="20"/>
                <w:b w:val="1"/>
                <w:bCs w:val="1"/>
                <w:color w:val="auto"/>
                <w:w w:val="98"/>
              </w:rPr>
              <w:t>Violation Pattern</w:t>
            </w:r>
          </w:p>
        </w:tc>
        <w:tc>
          <w:tcPr>
            <w:tcW w:w="68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1"/>
              </w:rPr>
              <w:t>as of</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7"/>
              </w:rPr>
              <w:t>Actions</w:t>
            </w:r>
          </w:p>
        </w:tc>
        <w:tc>
          <w:tcPr>
            <w:tcW w:w="800" w:type="dxa"/>
            <w:vAlign w:val="bottom"/>
            <w:gridSpan w:val="2"/>
          </w:tcPr>
          <w:p>
            <w:pPr>
              <w:jc w:val="center"/>
              <w:spacing w:after="0" w:line="228" w:lineRule="exact"/>
              <w:rPr>
                <w:sz w:val="20"/>
                <w:szCs w:val="20"/>
                <w:color w:val="auto"/>
              </w:rPr>
            </w:pPr>
            <w:r>
              <w:rPr>
                <w:rFonts w:ascii="Arial" w:cs="Arial" w:eastAsia="Arial" w:hAnsi="Arial"/>
                <w:sz w:val="20"/>
                <w:szCs w:val="20"/>
                <w:b w:val="1"/>
                <w:bCs w:val="1"/>
                <w:color w:val="auto"/>
                <w:w w:val="84"/>
              </w:rPr>
              <w:t>Actions</w:t>
            </w:r>
          </w:p>
        </w:tc>
      </w:tr>
      <w:tr>
        <w:trPr>
          <w:trHeight w:val="227"/>
        </w:trPr>
        <w:tc>
          <w:tcPr>
            <w:tcW w:w="1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0" w:type="dxa"/>
            <w:vAlign w:val="bottom"/>
            <w:gridSpan w:val="3"/>
          </w:tcPr>
          <w:p>
            <w:pPr>
              <w:ind w:left="80"/>
              <w:spacing w:after="0" w:line="228" w:lineRule="exact"/>
              <w:rPr>
                <w:sz w:val="20"/>
                <w:szCs w:val="20"/>
                <w:color w:val="auto"/>
              </w:rPr>
            </w:pPr>
            <w:r>
              <w:rPr>
                <w:rFonts w:ascii="Arial" w:cs="Arial" w:eastAsia="Arial" w:hAnsi="Arial"/>
                <w:sz w:val="20"/>
                <w:szCs w:val="20"/>
                <w:b w:val="1"/>
                <w:bCs w:val="1"/>
                <w:color w:val="auto"/>
                <w:w w:val="87"/>
              </w:rPr>
              <w:t>Section Section Citations</w:t>
            </w:r>
          </w:p>
        </w:tc>
        <w:tc>
          <w:tcPr>
            <w:tcW w:w="800" w:type="dxa"/>
            <w:vAlign w:val="bottom"/>
          </w:tcPr>
          <w:p>
            <w:pPr>
              <w:ind w:left="120"/>
              <w:spacing w:after="0" w:line="228" w:lineRule="exact"/>
              <w:rPr>
                <w:sz w:val="20"/>
                <w:szCs w:val="20"/>
                <w:color w:val="auto"/>
              </w:rPr>
            </w:pPr>
            <w:r>
              <w:rPr>
                <w:rFonts w:ascii="Arial" w:cs="Arial" w:eastAsia="Arial" w:hAnsi="Arial"/>
                <w:sz w:val="20"/>
                <w:szCs w:val="20"/>
                <w:b w:val="1"/>
                <w:bCs w:val="1"/>
                <w:color w:val="auto"/>
                <w:w w:val="91"/>
              </w:rPr>
              <w:t>Section</w:t>
            </w:r>
          </w:p>
        </w:tc>
        <w:tc>
          <w:tcPr>
            <w:tcW w:w="680" w:type="dxa"/>
            <w:vAlign w:val="bottom"/>
          </w:tcPr>
          <w:p>
            <w:pPr>
              <w:ind w:left="60"/>
              <w:spacing w:after="0" w:line="228" w:lineRule="exact"/>
              <w:rPr>
                <w:sz w:val="20"/>
                <w:szCs w:val="20"/>
                <w:color w:val="auto"/>
              </w:rPr>
            </w:pPr>
            <w:r>
              <w:rPr>
                <w:rFonts w:ascii="Arial" w:cs="Arial" w:eastAsia="Arial" w:hAnsi="Arial"/>
                <w:sz w:val="20"/>
                <w:szCs w:val="20"/>
                <w:b w:val="1"/>
                <w:bCs w:val="1"/>
                <w:color w:val="auto"/>
                <w:w w:val="82"/>
              </w:rPr>
              <w:t>Section</w:t>
            </w:r>
          </w:p>
        </w:tc>
        <w:tc>
          <w:tcPr>
            <w:tcW w:w="140" w:type="dxa"/>
            <w:vAlign w:val="bottom"/>
          </w:tcPr>
          <w:p>
            <w:pPr>
              <w:spacing w:after="0"/>
              <w:rPr>
                <w:sz w:val="19"/>
                <w:szCs w:val="19"/>
                <w:color w:val="auto"/>
              </w:rPr>
            </w:pPr>
          </w:p>
        </w:tc>
        <w:tc>
          <w:tcPr>
            <w:tcW w:w="1040" w:type="dxa"/>
            <w:vAlign w:val="bottom"/>
          </w:tcPr>
          <w:p>
            <w:pPr>
              <w:jc w:val="center"/>
              <w:ind w:right="82"/>
              <w:spacing w:after="0" w:line="228" w:lineRule="exact"/>
              <w:rPr>
                <w:sz w:val="20"/>
                <w:szCs w:val="20"/>
                <w:color w:val="auto"/>
              </w:rPr>
            </w:pPr>
            <w:r>
              <w:rPr>
                <w:rFonts w:ascii="Arial" w:cs="Arial" w:eastAsia="Arial" w:hAnsi="Arial"/>
                <w:sz w:val="20"/>
                <w:szCs w:val="20"/>
                <w:b w:val="1"/>
                <w:bCs w:val="1"/>
                <w:color w:val="auto"/>
                <w:w w:val="89"/>
              </w:rPr>
              <w:t>Value of</w:t>
            </w:r>
          </w:p>
        </w:tc>
        <w:tc>
          <w:tcPr>
            <w:tcW w:w="80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6"/>
              </w:rPr>
              <w:t>Mining</w:t>
            </w:r>
          </w:p>
        </w:tc>
        <w:tc>
          <w:tcPr>
            <w:tcW w:w="80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Under</w:t>
            </w:r>
          </w:p>
        </w:tc>
        <w:tc>
          <w:tcPr>
            <w:tcW w:w="80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under</w:t>
            </w:r>
          </w:p>
        </w:tc>
        <w:tc>
          <w:tcPr>
            <w:tcW w:w="68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2"/>
              </w:rPr>
              <w:t>Last</w:t>
            </w:r>
          </w:p>
        </w:tc>
        <w:tc>
          <w:tcPr>
            <w:tcW w:w="1620" w:type="dxa"/>
            <w:vAlign w:val="bottom"/>
            <w:gridSpan w:val="3"/>
          </w:tcPr>
          <w:p>
            <w:pPr>
              <w:ind w:left="20"/>
              <w:spacing w:after="0" w:line="228" w:lineRule="exact"/>
              <w:rPr>
                <w:sz w:val="20"/>
                <w:szCs w:val="20"/>
                <w:color w:val="auto"/>
              </w:rPr>
            </w:pPr>
            <w:r>
              <w:rPr>
                <w:rFonts w:ascii="Arial" w:cs="Arial" w:eastAsia="Arial" w:hAnsi="Arial"/>
                <w:sz w:val="20"/>
                <w:szCs w:val="20"/>
                <w:b w:val="1"/>
                <w:bCs w:val="1"/>
                <w:color w:val="auto"/>
                <w:w w:val="85"/>
              </w:rPr>
              <w:t>Instituted Resolved</w:t>
            </w:r>
          </w:p>
        </w:tc>
      </w:tr>
      <w:tr>
        <w:trPr>
          <w:trHeight w:val="227"/>
        </w:trPr>
        <w:tc>
          <w:tcPr>
            <w:tcW w:w="1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40" w:type="dxa"/>
            <w:vAlign w:val="bottom"/>
            <w:gridSpan w:val="2"/>
          </w:tcPr>
          <w:p>
            <w:pPr>
              <w:ind w:left="20"/>
              <w:spacing w:after="0" w:line="228" w:lineRule="exact"/>
              <w:rPr>
                <w:sz w:val="20"/>
                <w:szCs w:val="20"/>
                <w:color w:val="auto"/>
              </w:rPr>
            </w:pPr>
            <w:r>
              <w:rPr>
                <w:rFonts w:ascii="Arial" w:cs="Arial" w:eastAsia="Arial" w:hAnsi="Arial"/>
                <w:sz w:val="20"/>
                <w:szCs w:val="20"/>
                <w:b w:val="1"/>
                <w:bCs w:val="1"/>
                <w:color w:val="auto"/>
                <w:w w:val="96"/>
              </w:rPr>
              <w:t>104 S&amp;S 104(b)</w:t>
            </w:r>
          </w:p>
        </w:tc>
        <w:tc>
          <w:tcPr>
            <w:tcW w:w="7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and</w:t>
            </w:r>
          </w:p>
        </w:tc>
        <w:tc>
          <w:tcPr>
            <w:tcW w:w="1480" w:type="dxa"/>
            <w:vAlign w:val="bottom"/>
            <w:gridSpan w:val="2"/>
          </w:tcPr>
          <w:p>
            <w:pPr>
              <w:ind w:left="60"/>
              <w:spacing w:after="0" w:line="228" w:lineRule="exact"/>
              <w:rPr>
                <w:sz w:val="20"/>
                <w:szCs w:val="20"/>
                <w:color w:val="auto"/>
              </w:rPr>
            </w:pPr>
            <w:r>
              <w:rPr>
                <w:rFonts w:ascii="Arial" w:cs="Arial" w:eastAsia="Arial" w:hAnsi="Arial"/>
                <w:sz w:val="20"/>
                <w:szCs w:val="20"/>
                <w:b w:val="1"/>
                <w:bCs w:val="1"/>
                <w:color w:val="auto"/>
                <w:w w:val="95"/>
              </w:rPr>
              <w:t>110(b)(2) 107(a)</w:t>
            </w:r>
          </w:p>
        </w:tc>
        <w:tc>
          <w:tcPr>
            <w:tcW w:w="140" w:type="dxa"/>
            <w:vAlign w:val="bottom"/>
          </w:tcPr>
          <w:p>
            <w:pPr>
              <w:spacing w:after="0"/>
              <w:rPr>
                <w:sz w:val="19"/>
                <w:szCs w:val="19"/>
                <w:color w:val="auto"/>
              </w:rPr>
            </w:pPr>
          </w:p>
        </w:tc>
        <w:tc>
          <w:tcPr>
            <w:tcW w:w="1040" w:type="dxa"/>
            <w:vAlign w:val="bottom"/>
          </w:tcPr>
          <w:p>
            <w:pPr>
              <w:jc w:val="center"/>
              <w:ind w:right="82"/>
              <w:spacing w:after="0" w:line="228" w:lineRule="exact"/>
              <w:rPr>
                <w:sz w:val="20"/>
                <w:szCs w:val="20"/>
                <w:color w:val="auto"/>
              </w:rPr>
            </w:pPr>
            <w:r>
              <w:rPr>
                <w:rFonts w:ascii="Arial" w:cs="Arial" w:eastAsia="Arial" w:hAnsi="Arial"/>
                <w:sz w:val="20"/>
                <w:szCs w:val="20"/>
                <w:b w:val="1"/>
                <w:bCs w:val="1"/>
                <w:color w:val="auto"/>
                <w:w w:val="98"/>
              </w:rPr>
              <w:t>MSHA</w:t>
            </w:r>
          </w:p>
        </w:tc>
        <w:tc>
          <w:tcPr>
            <w:tcW w:w="80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8"/>
              </w:rPr>
              <w:t>Related</w:t>
            </w:r>
          </w:p>
        </w:tc>
        <w:tc>
          <w:tcPr>
            <w:tcW w:w="80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2"/>
              </w:rPr>
              <w:t>Section</w:t>
            </w:r>
          </w:p>
        </w:tc>
        <w:tc>
          <w:tcPr>
            <w:tcW w:w="80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5"/>
              </w:rPr>
              <w:t>Section</w:t>
            </w:r>
          </w:p>
        </w:tc>
        <w:tc>
          <w:tcPr>
            <w:tcW w:w="68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8"/>
              </w:rPr>
              <w:t>Day of</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3"/>
              </w:rPr>
              <w:t>During</w:t>
            </w:r>
          </w:p>
        </w:tc>
        <w:tc>
          <w:tcPr>
            <w:tcW w:w="800" w:type="dxa"/>
            <w:vAlign w:val="bottom"/>
            <w:gridSpan w:val="2"/>
          </w:tcPr>
          <w:p>
            <w:pPr>
              <w:jc w:val="center"/>
              <w:spacing w:after="0" w:line="228" w:lineRule="exact"/>
              <w:rPr>
                <w:sz w:val="20"/>
                <w:szCs w:val="20"/>
                <w:color w:val="auto"/>
              </w:rPr>
            </w:pPr>
            <w:r>
              <w:rPr>
                <w:rFonts w:ascii="Arial" w:cs="Arial" w:eastAsia="Arial" w:hAnsi="Arial"/>
                <w:sz w:val="20"/>
                <w:szCs w:val="20"/>
                <w:b w:val="1"/>
                <w:bCs w:val="1"/>
                <w:color w:val="auto"/>
                <w:w w:val="93"/>
              </w:rPr>
              <w:t>During</w:t>
            </w:r>
          </w:p>
        </w:tc>
      </w:tr>
      <w:tr>
        <w:trPr>
          <w:trHeight w:val="227"/>
        </w:trPr>
        <w:tc>
          <w:tcPr>
            <w:tcW w:w="1240" w:type="dxa"/>
            <w:vAlign w:val="bottom"/>
          </w:tcPr>
          <w:p>
            <w:pPr>
              <w:spacing w:after="0"/>
              <w:rPr>
                <w:sz w:val="19"/>
                <w:szCs w:val="19"/>
                <w:color w:val="auto"/>
              </w:rPr>
            </w:pPr>
          </w:p>
        </w:tc>
        <w:tc>
          <w:tcPr>
            <w:tcW w:w="2160" w:type="dxa"/>
            <w:vAlign w:val="bottom"/>
            <w:gridSpan w:val="3"/>
          </w:tcPr>
          <w:p>
            <w:pPr>
              <w:ind w:left="60"/>
              <w:spacing w:after="0" w:line="228" w:lineRule="exact"/>
              <w:rPr>
                <w:sz w:val="20"/>
                <w:szCs w:val="20"/>
                <w:color w:val="auto"/>
              </w:rPr>
            </w:pPr>
            <w:r>
              <w:rPr>
                <w:rFonts w:ascii="Arial" w:cs="Arial" w:eastAsia="Arial" w:hAnsi="Arial"/>
                <w:sz w:val="20"/>
                <w:szCs w:val="20"/>
                <w:b w:val="1"/>
                <w:bCs w:val="1"/>
                <w:color w:val="auto"/>
                <w:w w:val="94"/>
              </w:rPr>
              <w:t>MSHA Citations Orders</w:t>
            </w:r>
          </w:p>
        </w:tc>
        <w:tc>
          <w:tcPr>
            <w:tcW w:w="7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1"/>
              </w:rPr>
              <w:t>Orders</w:t>
            </w:r>
          </w:p>
        </w:tc>
        <w:tc>
          <w:tcPr>
            <w:tcW w:w="3460" w:type="dxa"/>
            <w:vAlign w:val="bottom"/>
            <w:gridSpan w:val="5"/>
          </w:tcPr>
          <w:p>
            <w:pPr>
              <w:spacing w:after="0" w:line="228" w:lineRule="exact"/>
              <w:rPr>
                <w:sz w:val="20"/>
                <w:szCs w:val="20"/>
                <w:color w:val="auto"/>
              </w:rPr>
            </w:pPr>
            <w:r>
              <w:rPr>
                <w:rFonts w:ascii="Arial" w:cs="Arial" w:eastAsia="Arial" w:hAnsi="Arial"/>
                <w:sz w:val="20"/>
                <w:szCs w:val="20"/>
                <w:b w:val="1"/>
                <w:bCs w:val="1"/>
                <w:color w:val="auto"/>
                <w:w w:val="86"/>
              </w:rPr>
              <w:t>Violations Orders Assessment/$ Fatalities</w:t>
            </w:r>
          </w:p>
        </w:tc>
        <w:tc>
          <w:tcPr>
            <w:tcW w:w="80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104(e)</w:t>
            </w:r>
          </w:p>
        </w:tc>
        <w:tc>
          <w:tcPr>
            <w:tcW w:w="80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104(e)</w:t>
            </w:r>
          </w:p>
        </w:tc>
        <w:tc>
          <w:tcPr>
            <w:tcW w:w="68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6"/>
              </w:rPr>
              <w:t>Period</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Period</w:t>
            </w:r>
          </w:p>
        </w:tc>
        <w:tc>
          <w:tcPr>
            <w:tcW w:w="800" w:type="dxa"/>
            <w:vAlign w:val="bottom"/>
            <w:gridSpan w:val="2"/>
          </w:tcPr>
          <w:p>
            <w:pPr>
              <w:jc w:val="center"/>
              <w:spacing w:after="0" w:line="228" w:lineRule="exact"/>
              <w:rPr>
                <w:sz w:val="20"/>
                <w:szCs w:val="20"/>
                <w:color w:val="auto"/>
              </w:rPr>
            </w:pPr>
            <w:r>
              <w:rPr>
                <w:rFonts w:ascii="Arial" w:cs="Arial" w:eastAsia="Arial" w:hAnsi="Arial"/>
                <w:sz w:val="20"/>
                <w:szCs w:val="20"/>
                <w:b w:val="1"/>
                <w:bCs w:val="1"/>
                <w:color w:val="auto"/>
                <w:w w:val="89"/>
              </w:rPr>
              <w:t>Period</w:t>
            </w:r>
          </w:p>
        </w:tc>
      </w:tr>
      <w:tr>
        <w:trPr>
          <w:trHeight w:val="250"/>
        </w:trPr>
        <w:tc>
          <w:tcPr>
            <w:tcW w:w="1240" w:type="dxa"/>
            <w:vAlign w:val="bottom"/>
          </w:tcPr>
          <w:p>
            <w:pPr>
              <w:ind w:left="260"/>
              <w:spacing w:after="0"/>
              <w:rPr>
                <w:sz w:val="20"/>
                <w:szCs w:val="20"/>
                <w:color w:val="auto"/>
              </w:rPr>
            </w:pPr>
            <w:r>
              <w:rPr>
                <w:rFonts w:ascii="Arial" w:cs="Arial" w:eastAsia="Arial" w:hAnsi="Arial"/>
                <w:sz w:val="20"/>
                <w:szCs w:val="20"/>
                <w:b w:val="1"/>
                <w:bCs w:val="1"/>
                <w:color w:val="auto"/>
              </w:rPr>
              <w:t>Location</w:t>
            </w:r>
          </w:p>
        </w:tc>
        <w:tc>
          <w:tcPr>
            <w:tcW w:w="720" w:type="dxa"/>
            <w:vAlign w:val="bottom"/>
          </w:tcPr>
          <w:p>
            <w:pPr>
              <w:jc w:val="right"/>
              <w:ind w:right="162"/>
              <w:spacing w:after="0"/>
              <w:rPr>
                <w:sz w:val="20"/>
                <w:szCs w:val="20"/>
                <w:color w:val="auto"/>
              </w:rPr>
            </w:pPr>
            <w:r>
              <w:rPr>
                <w:rFonts w:ascii="Arial" w:cs="Arial" w:eastAsia="Arial" w:hAnsi="Arial"/>
                <w:sz w:val="20"/>
                <w:szCs w:val="20"/>
                <w:b w:val="1"/>
                <w:bCs w:val="1"/>
                <w:color w:val="auto"/>
              </w:rPr>
              <w:t>ID</w:t>
            </w:r>
          </w:p>
        </w:tc>
        <w:tc>
          <w:tcPr>
            <w:tcW w:w="74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70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68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140" w:type="dxa"/>
            <w:vAlign w:val="bottom"/>
          </w:tcPr>
          <w:p>
            <w:pPr>
              <w:spacing w:after="0"/>
              <w:rPr>
                <w:sz w:val="21"/>
                <w:szCs w:val="21"/>
                <w:color w:val="auto"/>
              </w:rPr>
            </w:pPr>
          </w:p>
        </w:tc>
        <w:tc>
          <w:tcPr>
            <w:tcW w:w="1040" w:type="dxa"/>
            <w:vAlign w:val="bottom"/>
          </w:tcPr>
          <w:p>
            <w:pPr>
              <w:jc w:val="center"/>
              <w:ind w:right="82"/>
              <w:spacing w:after="0"/>
              <w:rPr>
                <w:sz w:val="20"/>
                <w:szCs w:val="20"/>
                <w:color w:val="auto"/>
              </w:rPr>
            </w:pPr>
            <w:r>
              <w:rPr>
                <w:rFonts w:ascii="Arial" w:cs="Arial" w:eastAsia="Arial" w:hAnsi="Arial"/>
                <w:sz w:val="20"/>
                <w:szCs w:val="20"/>
                <w:b w:val="1"/>
                <w:bCs w:val="1"/>
                <w:color w:val="auto"/>
                <w:w w:val="84"/>
              </w:rPr>
              <w:t>Proposed</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3"/>
              </w:rPr>
              <w:t>(yes/no)</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6"/>
              </w:rPr>
              <w:t>(yes/no)</w:t>
            </w:r>
          </w:p>
        </w:tc>
        <w:tc>
          <w:tcPr>
            <w:tcW w:w="680" w:type="dxa"/>
            <w:vAlign w:val="bottom"/>
          </w:tcPr>
          <w:p>
            <w:pPr>
              <w:jc w:val="center"/>
              <w:spacing w:after="0"/>
              <w:rPr>
                <w:sz w:val="20"/>
                <w:szCs w:val="20"/>
                <w:color w:val="auto"/>
              </w:rPr>
            </w:pPr>
            <w:r>
              <w:rPr>
                <w:rFonts w:ascii="Arial" w:cs="Arial" w:eastAsia="Arial" w:hAnsi="Arial"/>
                <w:sz w:val="20"/>
                <w:szCs w:val="20"/>
                <w:b w:val="1"/>
                <w:bCs w:val="1"/>
                <w:color w:val="auto"/>
              </w:rPr>
              <w:t>(#)*</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720" w:type="dxa"/>
            <w:vAlign w:val="bottom"/>
          </w:tcPr>
          <w:p>
            <w:pPr>
              <w:jc w:val="center"/>
              <w:ind w:left="2"/>
              <w:spacing w:after="0"/>
              <w:rPr>
                <w:sz w:val="20"/>
                <w:szCs w:val="20"/>
                <w:color w:val="auto"/>
              </w:rPr>
            </w:pPr>
            <w:r>
              <w:rPr>
                <w:rFonts w:ascii="Arial" w:cs="Arial" w:eastAsia="Arial" w:hAnsi="Arial"/>
                <w:sz w:val="20"/>
                <w:szCs w:val="20"/>
                <w:b w:val="1"/>
                <w:bCs w:val="1"/>
                <w:color w:val="auto"/>
                <w:w w:val="89"/>
              </w:rPr>
              <w:t>(#)</w:t>
            </w:r>
          </w:p>
        </w:tc>
        <w:tc>
          <w:tcPr>
            <w:tcW w:w="80" w:type="dxa"/>
            <w:vAlign w:val="bottom"/>
          </w:tcPr>
          <w:p>
            <w:pPr>
              <w:spacing w:after="0"/>
              <w:rPr>
                <w:sz w:val="21"/>
                <w:szCs w:val="21"/>
                <w:color w:val="auto"/>
              </w:rPr>
            </w:pPr>
          </w:p>
        </w:tc>
      </w:tr>
      <w:tr>
        <w:trPr>
          <w:trHeight w:val="224"/>
        </w:trPr>
        <w:tc>
          <w:tcPr>
            <w:tcW w:w="124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Alexander</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44"/>
        </w:trPr>
        <w:tc>
          <w:tcPr>
            <w:tcW w:w="124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BN5</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shd w:val="clear" w:color="auto" w:fill="CFF0FC"/>
          </w:tcPr>
          <w:p>
            <w:pPr>
              <w:spacing w:after="0"/>
              <w:rPr>
                <w:sz w:val="21"/>
                <w:szCs w:val="21"/>
                <w:color w:val="auto"/>
              </w:rPr>
            </w:pPr>
          </w:p>
        </w:tc>
      </w:tr>
      <w:tr>
        <w:trPr>
          <w:trHeight w:val="241"/>
        </w:trPr>
        <w:tc>
          <w:tcPr>
            <w:tcW w:w="1960" w:type="dxa"/>
            <w:vAlign w:val="bottom"/>
            <w:gridSpan w:val="2"/>
          </w:tcPr>
          <w:p>
            <w:pPr>
              <w:spacing w:after="0"/>
              <w:rPr>
                <w:sz w:val="20"/>
                <w:szCs w:val="20"/>
                <w:color w:val="auto"/>
              </w:rPr>
            </w:pPr>
            <w:r>
              <w:rPr>
                <w:rFonts w:ascii="Arial" w:cs="Arial" w:eastAsia="Arial" w:hAnsi="Arial"/>
                <w:sz w:val="20"/>
                <w:szCs w:val="20"/>
                <w:color w:val="auto"/>
                <w:w w:val="91"/>
              </w:rPr>
              <w:t>Amelia Quarry 4407372</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tcPr>
          <w:p>
            <w:pPr>
              <w:spacing w:after="0"/>
              <w:rPr>
                <w:sz w:val="20"/>
                <w:szCs w:val="20"/>
                <w:color w:val="auto"/>
              </w:rPr>
            </w:pPr>
          </w:p>
        </w:tc>
      </w:tr>
      <w:tr>
        <w:trPr>
          <w:trHeight w:val="224"/>
        </w:trPr>
        <w:tc>
          <w:tcPr>
            <w:tcW w:w="124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American</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44"/>
        </w:trPr>
        <w:tc>
          <w:tcPr>
            <w:tcW w:w="1240" w:type="dxa"/>
            <w:vAlign w:val="bottom"/>
            <w:shd w:val="clear" w:color="auto" w:fill="CFF0FC"/>
          </w:tcPr>
          <w:p>
            <w:pPr>
              <w:spacing w:after="0"/>
              <w:rPr>
                <w:sz w:val="20"/>
                <w:szCs w:val="20"/>
                <w:color w:val="auto"/>
              </w:rPr>
            </w:pPr>
            <w:r>
              <w:rPr>
                <w:rFonts w:ascii="Arial" w:cs="Arial" w:eastAsia="Arial" w:hAnsi="Arial"/>
                <w:sz w:val="20"/>
                <w:szCs w:val="20"/>
                <w:color w:val="auto"/>
              </w:rPr>
              <w:t>Stone</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3100189</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shd w:val="clear" w:color="auto" w:fill="CFF0FC"/>
          </w:tcPr>
          <w:p>
            <w:pPr>
              <w:spacing w:after="0"/>
              <w:rPr>
                <w:sz w:val="21"/>
                <w:szCs w:val="21"/>
                <w:color w:val="auto"/>
              </w:rPr>
            </w:pPr>
          </w:p>
        </w:tc>
      </w:tr>
      <w:tr>
        <w:trPr>
          <w:trHeight w:val="224"/>
        </w:trPr>
        <w:tc>
          <w:tcPr>
            <w:tcW w:w="1240" w:type="dxa"/>
            <w:vAlign w:val="bottom"/>
          </w:tcPr>
          <w:p>
            <w:pPr>
              <w:spacing w:after="0" w:line="224" w:lineRule="exact"/>
              <w:rPr>
                <w:sz w:val="20"/>
                <w:szCs w:val="20"/>
                <w:color w:val="auto"/>
              </w:rPr>
            </w:pPr>
            <w:r>
              <w:rPr>
                <w:rFonts w:ascii="Arial" w:cs="Arial" w:eastAsia="Arial" w:hAnsi="Arial"/>
                <w:sz w:val="20"/>
                <w:szCs w:val="20"/>
                <w:color w:val="auto"/>
              </w:rPr>
              <w:t>Anderson</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4"/>
        </w:trPr>
        <w:tc>
          <w:tcPr>
            <w:tcW w:w="1240" w:type="dxa"/>
            <w:vAlign w:val="bottom"/>
          </w:tcPr>
          <w:p>
            <w:pPr>
              <w:spacing w:after="0"/>
              <w:rPr>
                <w:sz w:val="20"/>
                <w:szCs w:val="20"/>
                <w:color w:val="auto"/>
              </w:rPr>
            </w:pPr>
            <w:r>
              <w:rPr>
                <w:rFonts w:ascii="Arial" w:cs="Arial" w:eastAsia="Arial" w:hAnsi="Arial"/>
                <w:sz w:val="20"/>
                <w:szCs w:val="20"/>
                <w:color w:val="auto"/>
              </w:rPr>
              <w:t>Creek 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4402963</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tcPr>
          <w:p>
            <w:pPr>
              <w:spacing w:after="0"/>
              <w:rPr>
                <w:sz w:val="21"/>
                <w:szCs w:val="21"/>
                <w:color w:val="auto"/>
              </w:rPr>
            </w:pPr>
          </w:p>
        </w:tc>
      </w:tr>
      <w:tr>
        <w:trPr>
          <w:trHeight w:val="224"/>
        </w:trPr>
        <w:tc>
          <w:tcPr>
            <w:tcW w:w="124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Arrowood</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44"/>
        </w:trPr>
        <w:tc>
          <w:tcPr>
            <w:tcW w:w="124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3100059</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shd w:val="clear" w:color="auto" w:fill="CFF0FC"/>
          </w:tcPr>
          <w:p>
            <w:pPr>
              <w:spacing w:after="0"/>
              <w:rPr>
                <w:sz w:val="21"/>
                <w:szCs w:val="21"/>
                <w:color w:val="auto"/>
              </w:rPr>
            </w:pPr>
          </w:p>
        </w:tc>
      </w:tr>
      <w:tr>
        <w:trPr>
          <w:trHeight w:val="224"/>
        </w:trPr>
        <w:tc>
          <w:tcPr>
            <w:tcW w:w="1240" w:type="dxa"/>
            <w:vAlign w:val="bottom"/>
          </w:tcPr>
          <w:p>
            <w:pPr>
              <w:spacing w:after="0" w:line="224" w:lineRule="exact"/>
              <w:rPr>
                <w:sz w:val="20"/>
                <w:szCs w:val="20"/>
                <w:color w:val="auto"/>
              </w:rPr>
            </w:pPr>
            <w:r>
              <w:rPr>
                <w:rFonts w:ascii="Arial" w:cs="Arial" w:eastAsia="Arial" w:hAnsi="Arial"/>
                <w:sz w:val="20"/>
                <w:szCs w:val="20"/>
                <w:color w:val="auto"/>
              </w:rPr>
              <w:t>Asheboro</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4"/>
        </w:trPr>
        <w:tc>
          <w:tcPr>
            <w:tcW w:w="124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3100066</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118</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tcPr>
          <w:p>
            <w:pPr>
              <w:spacing w:after="0"/>
              <w:rPr>
                <w:sz w:val="21"/>
                <w:szCs w:val="21"/>
                <w:color w:val="auto"/>
              </w:rPr>
            </w:pPr>
          </w:p>
        </w:tc>
      </w:tr>
      <w:tr>
        <w:trPr>
          <w:trHeight w:val="241"/>
        </w:trPr>
        <w:tc>
          <w:tcPr>
            <w:tcW w:w="1240" w:type="dxa"/>
            <w:vAlign w:val="bottom"/>
            <w:shd w:val="clear" w:color="auto" w:fill="CFF0FC"/>
          </w:tcPr>
          <w:p>
            <w:pPr>
              <w:spacing w:after="0"/>
              <w:rPr>
                <w:sz w:val="20"/>
                <w:szCs w:val="20"/>
                <w:color w:val="auto"/>
              </w:rPr>
            </w:pPr>
            <w:r>
              <w:rPr>
                <w:rFonts w:ascii="Arial" w:cs="Arial" w:eastAsia="Arial" w:hAnsi="Arial"/>
                <w:sz w:val="20"/>
                <w:szCs w:val="20"/>
                <w:color w:val="auto"/>
                <w:w w:val="94"/>
              </w:rPr>
              <w:t>Bakers 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3100071</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shd w:val="clear" w:color="auto" w:fill="CFF0FC"/>
          </w:tcPr>
          <w:p>
            <w:pPr>
              <w:spacing w:after="0"/>
              <w:rPr>
                <w:sz w:val="20"/>
                <w:szCs w:val="20"/>
                <w:color w:val="auto"/>
              </w:rPr>
            </w:pPr>
          </w:p>
        </w:tc>
      </w:tr>
      <w:tr>
        <w:trPr>
          <w:trHeight w:val="224"/>
        </w:trPr>
        <w:tc>
          <w:tcPr>
            <w:tcW w:w="1240" w:type="dxa"/>
            <w:vAlign w:val="bottom"/>
          </w:tcPr>
          <w:p>
            <w:pPr>
              <w:spacing w:after="0" w:line="224" w:lineRule="exact"/>
              <w:rPr>
                <w:sz w:val="20"/>
                <w:szCs w:val="20"/>
                <w:color w:val="auto"/>
              </w:rPr>
            </w:pPr>
            <w:r>
              <w:rPr>
                <w:rFonts w:ascii="Arial" w:cs="Arial" w:eastAsia="Arial" w:hAnsi="Arial"/>
                <w:sz w:val="20"/>
                <w:szCs w:val="20"/>
                <w:color w:val="auto"/>
              </w:rPr>
              <w:t>Belgrade</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4"/>
        </w:trPr>
        <w:tc>
          <w:tcPr>
            <w:tcW w:w="124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3100064</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tcPr>
          <w:p>
            <w:pPr>
              <w:spacing w:after="0"/>
              <w:rPr>
                <w:sz w:val="21"/>
                <w:szCs w:val="21"/>
                <w:color w:val="auto"/>
              </w:rPr>
            </w:pPr>
          </w:p>
        </w:tc>
      </w:tr>
      <w:tr>
        <w:trPr>
          <w:trHeight w:val="241"/>
        </w:trPr>
        <w:tc>
          <w:tcPr>
            <w:tcW w:w="1960" w:type="dxa"/>
            <w:vAlign w:val="bottom"/>
            <w:gridSpan w:val="2"/>
            <w:shd w:val="clear" w:color="auto" w:fill="CFF0FC"/>
          </w:tcPr>
          <w:p>
            <w:pPr>
              <w:spacing w:after="0"/>
              <w:rPr>
                <w:sz w:val="20"/>
                <w:szCs w:val="20"/>
                <w:color w:val="auto"/>
              </w:rPr>
            </w:pPr>
            <w:r>
              <w:rPr>
                <w:rFonts w:ascii="Arial" w:cs="Arial" w:eastAsia="Arial" w:hAnsi="Arial"/>
                <w:sz w:val="20"/>
                <w:szCs w:val="20"/>
                <w:color w:val="auto"/>
                <w:w w:val="89"/>
              </w:rPr>
              <w:t>Benson Quarry 3101979</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1</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118</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shd w:val="clear" w:color="auto" w:fill="CFF0FC"/>
          </w:tcPr>
          <w:p>
            <w:pPr>
              <w:spacing w:after="0"/>
              <w:rPr>
                <w:sz w:val="20"/>
                <w:szCs w:val="20"/>
                <w:color w:val="auto"/>
              </w:rPr>
            </w:pPr>
          </w:p>
        </w:tc>
      </w:tr>
      <w:tr>
        <w:trPr>
          <w:trHeight w:val="224"/>
        </w:trPr>
        <w:tc>
          <w:tcPr>
            <w:tcW w:w="1240" w:type="dxa"/>
            <w:vAlign w:val="bottom"/>
          </w:tcPr>
          <w:p>
            <w:pPr>
              <w:spacing w:after="0" w:line="224" w:lineRule="exact"/>
              <w:rPr>
                <w:sz w:val="20"/>
                <w:szCs w:val="20"/>
                <w:color w:val="auto"/>
              </w:rPr>
            </w:pPr>
            <w:r>
              <w:rPr>
                <w:rFonts w:ascii="Arial" w:cs="Arial" w:eastAsia="Arial" w:hAnsi="Arial"/>
                <w:sz w:val="20"/>
                <w:szCs w:val="20"/>
                <w:color w:val="auto"/>
              </w:rPr>
              <w:t>Berkeley</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4"/>
        </w:trPr>
        <w:tc>
          <w:tcPr>
            <w:tcW w:w="124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3800072</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236</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tcPr>
          <w:p>
            <w:pPr>
              <w:spacing w:after="0"/>
              <w:rPr>
                <w:sz w:val="21"/>
                <w:szCs w:val="21"/>
                <w:color w:val="auto"/>
              </w:rPr>
            </w:pPr>
          </w:p>
        </w:tc>
      </w:tr>
      <w:tr>
        <w:trPr>
          <w:trHeight w:val="224"/>
        </w:trPr>
        <w:tc>
          <w:tcPr>
            <w:tcW w:w="124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w w:val="93"/>
              </w:rPr>
              <w:t>Bessemer City</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44"/>
        </w:trPr>
        <w:tc>
          <w:tcPr>
            <w:tcW w:w="124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3101105</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shd w:val="clear" w:color="auto" w:fill="CFF0FC"/>
          </w:tcPr>
          <w:p>
            <w:pPr>
              <w:spacing w:after="0"/>
              <w:rPr>
                <w:sz w:val="21"/>
                <w:szCs w:val="21"/>
                <w:color w:val="auto"/>
              </w:rPr>
            </w:pPr>
          </w:p>
        </w:tc>
      </w:tr>
      <w:tr>
        <w:trPr>
          <w:trHeight w:val="224"/>
        </w:trPr>
        <w:tc>
          <w:tcPr>
            <w:tcW w:w="1240" w:type="dxa"/>
            <w:vAlign w:val="bottom"/>
          </w:tcPr>
          <w:p>
            <w:pPr>
              <w:spacing w:after="0" w:line="224" w:lineRule="exact"/>
              <w:rPr>
                <w:sz w:val="20"/>
                <w:szCs w:val="20"/>
                <w:color w:val="auto"/>
              </w:rPr>
            </w:pPr>
            <w:r>
              <w:rPr>
                <w:rFonts w:ascii="Arial" w:cs="Arial" w:eastAsia="Arial" w:hAnsi="Arial"/>
                <w:sz w:val="20"/>
                <w:szCs w:val="20"/>
                <w:color w:val="auto"/>
              </w:rPr>
              <w:t>Black Ankle</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4"/>
        </w:trPr>
        <w:tc>
          <w:tcPr>
            <w:tcW w:w="124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3102220</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tcPr>
          <w:p>
            <w:pPr>
              <w:spacing w:after="0"/>
              <w:rPr>
                <w:sz w:val="21"/>
                <w:szCs w:val="21"/>
                <w:color w:val="auto"/>
              </w:rPr>
            </w:pPr>
          </w:p>
        </w:tc>
      </w:tr>
      <w:tr>
        <w:trPr>
          <w:trHeight w:val="241"/>
        </w:trPr>
        <w:tc>
          <w:tcPr>
            <w:tcW w:w="1240" w:type="dxa"/>
            <w:vAlign w:val="bottom"/>
            <w:shd w:val="clear" w:color="auto" w:fill="CFF0FC"/>
          </w:tcPr>
          <w:p>
            <w:pPr>
              <w:spacing w:after="0"/>
              <w:rPr>
                <w:sz w:val="20"/>
                <w:szCs w:val="20"/>
                <w:color w:val="auto"/>
              </w:rPr>
            </w:pPr>
            <w:r>
              <w:rPr>
                <w:rFonts w:ascii="Arial" w:cs="Arial" w:eastAsia="Arial" w:hAnsi="Arial"/>
                <w:sz w:val="20"/>
                <w:szCs w:val="20"/>
                <w:color w:val="auto"/>
                <w:w w:val="98"/>
              </w:rPr>
              <w:t>Bonds 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3101963</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shd w:val="clear" w:color="auto" w:fill="CFF0FC"/>
          </w:tcPr>
          <w:p>
            <w:pPr>
              <w:spacing w:after="0"/>
              <w:rPr>
                <w:sz w:val="20"/>
                <w:szCs w:val="20"/>
                <w:color w:val="auto"/>
              </w:rPr>
            </w:pPr>
          </w:p>
        </w:tc>
      </w:tr>
      <w:tr>
        <w:trPr>
          <w:trHeight w:val="224"/>
        </w:trPr>
        <w:tc>
          <w:tcPr>
            <w:tcW w:w="1240" w:type="dxa"/>
            <w:vAlign w:val="bottom"/>
          </w:tcPr>
          <w:p>
            <w:pPr>
              <w:spacing w:after="0" w:line="224" w:lineRule="exact"/>
              <w:rPr>
                <w:sz w:val="20"/>
                <w:szCs w:val="20"/>
                <w:color w:val="auto"/>
              </w:rPr>
            </w:pPr>
            <w:r>
              <w:rPr>
                <w:rFonts w:ascii="Arial" w:cs="Arial" w:eastAsia="Arial" w:hAnsi="Arial"/>
                <w:sz w:val="20"/>
                <w:szCs w:val="20"/>
                <w:color w:val="auto"/>
              </w:rPr>
              <w:t>Boonesboro</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4"/>
        </w:trPr>
        <w:tc>
          <w:tcPr>
            <w:tcW w:w="124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1800024</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tcPr>
          <w:p>
            <w:pPr>
              <w:spacing w:after="0"/>
              <w:rPr>
                <w:sz w:val="21"/>
                <w:szCs w:val="21"/>
                <w:color w:val="auto"/>
              </w:rPr>
            </w:pPr>
          </w:p>
        </w:tc>
      </w:tr>
      <w:tr>
        <w:trPr>
          <w:trHeight w:val="224"/>
        </w:trPr>
        <w:tc>
          <w:tcPr>
            <w:tcW w:w="124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Burlington</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44"/>
        </w:trPr>
        <w:tc>
          <w:tcPr>
            <w:tcW w:w="124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3100042</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shd w:val="clear" w:color="auto" w:fill="CFF0FC"/>
          </w:tcPr>
          <w:p>
            <w:pPr>
              <w:spacing w:after="0"/>
              <w:rPr>
                <w:sz w:val="21"/>
                <w:szCs w:val="21"/>
                <w:color w:val="auto"/>
              </w:rPr>
            </w:pPr>
          </w:p>
        </w:tc>
      </w:tr>
      <w:tr>
        <w:trPr>
          <w:trHeight w:val="224"/>
        </w:trPr>
        <w:tc>
          <w:tcPr>
            <w:tcW w:w="1240" w:type="dxa"/>
            <w:vAlign w:val="bottom"/>
          </w:tcPr>
          <w:p>
            <w:pPr>
              <w:spacing w:after="0" w:line="224" w:lineRule="exact"/>
              <w:rPr>
                <w:sz w:val="20"/>
                <w:szCs w:val="20"/>
                <w:color w:val="auto"/>
              </w:rPr>
            </w:pPr>
            <w:r>
              <w:rPr>
                <w:rFonts w:ascii="Arial" w:cs="Arial" w:eastAsia="Arial" w:hAnsi="Arial"/>
                <w:sz w:val="20"/>
                <w:szCs w:val="20"/>
                <w:color w:val="auto"/>
              </w:rPr>
              <w:t>Caldwell</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4"/>
        </w:trPr>
        <w:tc>
          <w:tcPr>
            <w:tcW w:w="124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3101869</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tcPr>
          <w:p>
            <w:pPr>
              <w:spacing w:after="0"/>
              <w:rPr>
                <w:sz w:val="21"/>
                <w:szCs w:val="21"/>
                <w:color w:val="auto"/>
              </w:rPr>
            </w:pPr>
          </w:p>
        </w:tc>
      </w:tr>
      <w:tr>
        <w:trPr>
          <w:trHeight w:val="224"/>
        </w:trPr>
        <w:tc>
          <w:tcPr>
            <w:tcW w:w="124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Castle Hayne</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44"/>
        </w:trPr>
        <w:tc>
          <w:tcPr>
            <w:tcW w:w="124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3100063</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shd w:val="clear" w:color="auto" w:fill="CFF0FC"/>
          </w:tcPr>
          <w:p>
            <w:pPr>
              <w:spacing w:after="0"/>
              <w:rPr>
                <w:sz w:val="21"/>
                <w:szCs w:val="21"/>
                <w:color w:val="auto"/>
              </w:rPr>
            </w:pPr>
          </w:p>
        </w:tc>
      </w:tr>
      <w:tr>
        <w:trPr>
          <w:trHeight w:val="241"/>
        </w:trPr>
        <w:tc>
          <w:tcPr>
            <w:tcW w:w="1240" w:type="dxa"/>
            <w:vAlign w:val="bottom"/>
          </w:tcPr>
          <w:p>
            <w:pPr>
              <w:spacing w:after="0"/>
              <w:rPr>
                <w:sz w:val="20"/>
                <w:szCs w:val="20"/>
                <w:color w:val="auto"/>
              </w:rPr>
            </w:pPr>
            <w:r>
              <w:rPr>
                <w:rFonts w:ascii="Arial" w:cs="Arial" w:eastAsia="Arial" w:hAnsi="Arial"/>
                <w:sz w:val="20"/>
                <w:szCs w:val="20"/>
                <w:color w:val="auto"/>
              </w:rPr>
              <w:t>Cayce</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3800016</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118</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tcPr>
          <w:p>
            <w:pPr>
              <w:spacing w:after="0"/>
              <w:rPr>
                <w:sz w:val="20"/>
                <w:szCs w:val="20"/>
                <w:color w:val="auto"/>
              </w:rPr>
            </w:pPr>
          </w:p>
        </w:tc>
      </w:tr>
      <w:tr>
        <w:trPr>
          <w:trHeight w:val="224"/>
        </w:trPr>
        <w:tc>
          <w:tcPr>
            <w:tcW w:w="124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Central Rock</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44"/>
        </w:trPr>
        <w:tc>
          <w:tcPr>
            <w:tcW w:w="124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3100050</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shd w:val="clear" w:color="auto" w:fill="CFF0FC"/>
          </w:tcPr>
          <w:p>
            <w:pPr>
              <w:spacing w:after="0"/>
              <w:rPr>
                <w:sz w:val="21"/>
                <w:szCs w:val="21"/>
                <w:color w:val="auto"/>
              </w:rPr>
            </w:pPr>
          </w:p>
        </w:tc>
      </w:tr>
      <w:tr>
        <w:trPr>
          <w:trHeight w:val="224"/>
        </w:trPr>
        <w:tc>
          <w:tcPr>
            <w:tcW w:w="1240" w:type="dxa"/>
            <w:vAlign w:val="bottom"/>
          </w:tcPr>
          <w:p>
            <w:pPr>
              <w:spacing w:after="0" w:line="224" w:lineRule="exact"/>
              <w:rPr>
                <w:sz w:val="20"/>
                <w:szCs w:val="20"/>
                <w:color w:val="auto"/>
              </w:rPr>
            </w:pPr>
            <w:r>
              <w:rPr>
                <w:rFonts w:ascii="Arial" w:cs="Arial" w:eastAsia="Arial" w:hAnsi="Arial"/>
                <w:sz w:val="20"/>
                <w:szCs w:val="20"/>
                <w:color w:val="auto"/>
              </w:rPr>
              <w:t>Charlotte</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4"/>
        </w:trPr>
        <w:tc>
          <w:tcPr>
            <w:tcW w:w="124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3100057</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tcPr>
          <w:p>
            <w:pPr>
              <w:spacing w:after="0"/>
              <w:rPr>
                <w:sz w:val="21"/>
                <w:szCs w:val="21"/>
                <w:color w:val="auto"/>
              </w:rPr>
            </w:pPr>
          </w:p>
        </w:tc>
      </w:tr>
      <w:tr>
        <w:trPr>
          <w:trHeight w:val="241"/>
        </w:trPr>
        <w:tc>
          <w:tcPr>
            <w:tcW w:w="1240" w:type="dxa"/>
            <w:vAlign w:val="bottom"/>
            <w:shd w:val="clear" w:color="auto" w:fill="CFF0FC"/>
          </w:tcPr>
          <w:p>
            <w:pPr>
              <w:spacing w:after="0"/>
              <w:rPr>
                <w:sz w:val="20"/>
                <w:szCs w:val="20"/>
                <w:color w:val="auto"/>
              </w:rPr>
            </w:pPr>
            <w:r>
              <w:rPr>
                <w:rFonts w:ascii="Arial" w:cs="Arial" w:eastAsia="Arial" w:hAnsi="Arial"/>
                <w:sz w:val="20"/>
                <w:szCs w:val="20"/>
                <w:color w:val="auto"/>
                <w:w w:val="98"/>
              </w:rPr>
              <w:t>Clarks 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3102009</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shd w:val="clear" w:color="auto" w:fill="CFF0FC"/>
          </w:tcPr>
          <w:p>
            <w:pPr>
              <w:spacing w:after="0"/>
              <w:rPr>
                <w:sz w:val="20"/>
                <w:szCs w:val="20"/>
                <w:color w:val="auto"/>
              </w:rPr>
            </w:pPr>
          </w:p>
        </w:tc>
      </w:tr>
      <w:tr>
        <w:trPr>
          <w:trHeight w:val="241"/>
        </w:trPr>
        <w:tc>
          <w:tcPr>
            <w:tcW w:w="1960" w:type="dxa"/>
            <w:vAlign w:val="bottom"/>
            <w:gridSpan w:val="2"/>
          </w:tcPr>
          <w:p>
            <w:pPr>
              <w:spacing w:after="0"/>
              <w:rPr>
                <w:sz w:val="20"/>
                <w:szCs w:val="20"/>
                <w:color w:val="auto"/>
              </w:rPr>
            </w:pPr>
            <w:r>
              <w:rPr>
                <w:rFonts w:ascii="Arial" w:cs="Arial" w:eastAsia="Arial" w:hAnsi="Arial"/>
                <w:sz w:val="20"/>
                <w:szCs w:val="20"/>
                <w:color w:val="auto"/>
                <w:w w:val="90"/>
              </w:rPr>
              <w:t>Denver Quarry 3101971</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tcPr>
          <w:p>
            <w:pPr>
              <w:spacing w:after="0"/>
              <w:rPr>
                <w:sz w:val="20"/>
                <w:szCs w:val="20"/>
                <w:color w:val="auto"/>
              </w:rPr>
            </w:pPr>
          </w:p>
        </w:tc>
      </w:tr>
      <w:tr>
        <w:trPr>
          <w:trHeight w:val="224"/>
        </w:trPr>
        <w:tc>
          <w:tcPr>
            <w:tcW w:w="124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Doswell</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44"/>
        </w:trPr>
        <w:tc>
          <w:tcPr>
            <w:tcW w:w="1240" w:type="dxa"/>
            <w:vAlign w:val="bottom"/>
            <w:shd w:val="clear" w:color="auto" w:fill="CFF0FC"/>
          </w:tcPr>
          <w:p>
            <w:pPr>
              <w:spacing w:after="0"/>
              <w:rPr>
                <w:sz w:val="20"/>
                <w:szCs w:val="20"/>
                <w:color w:val="auto"/>
              </w:rPr>
            </w:pPr>
            <w:r>
              <w:rPr>
                <w:rFonts w:ascii="Arial" w:cs="Arial" w:eastAsia="Arial" w:hAnsi="Arial"/>
                <w:sz w:val="20"/>
                <w:szCs w:val="20"/>
                <w:color w:val="auto"/>
              </w:rPr>
              <w:t>Quarry VA</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4400045</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118</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shd w:val="clear" w:color="auto" w:fill="CFF0FC"/>
          </w:tcPr>
          <w:p>
            <w:pPr>
              <w:spacing w:after="0"/>
              <w:rPr>
                <w:sz w:val="21"/>
                <w:szCs w:val="21"/>
                <w:color w:val="auto"/>
              </w:rPr>
            </w:pPr>
          </w:p>
        </w:tc>
      </w:tr>
      <w:tr>
        <w:trPr>
          <w:trHeight w:val="224"/>
        </w:trPr>
        <w:tc>
          <w:tcPr>
            <w:tcW w:w="1240" w:type="dxa"/>
            <w:vAlign w:val="bottom"/>
          </w:tcPr>
          <w:p>
            <w:pPr>
              <w:spacing w:after="0" w:line="224" w:lineRule="exact"/>
              <w:rPr>
                <w:sz w:val="20"/>
                <w:szCs w:val="20"/>
                <w:color w:val="auto"/>
              </w:rPr>
            </w:pPr>
            <w:r>
              <w:rPr>
                <w:rFonts w:ascii="Arial" w:cs="Arial" w:eastAsia="Arial" w:hAnsi="Arial"/>
                <w:sz w:val="20"/>
                <w:szCs w:val="20"/>
                <w:color w:val="auto"/>
                <w:w w:val="90"/>
              </w:rPr>
              <w:t>East Alamance</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4"/>
        </w:trPr>
        <w:tc>
          <w:tcPr>
            <w:tcW w:w="124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3102021</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tcPr>
          <w:p>
            <w:pPr>
              <w:spacing w:after="0"/>
              <w:rPr>
                <w:sz w:val="21"/>
                <w:szCs w:val="21"/>
                <w:color w:val="auto"/>
              </w:rPr>
            </w:pPr>
          </w:p>
        </w:tc>
      </w:tr>
      <w:tr>
        <w:trPr>
          <w:trHeight w:val="224"/>
        </w:trPr>
        <w:tc>
          <w:tcPr>
            <w:tcW w:w="124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Fountain</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44"/>
        </w:trPr>
        <w:tc>
          <w:tcPr>
            <w:tcW w:w="124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3100065</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118</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shd w:val="clear" w:color="auto" w:fill="CFF0FC"/>
          </w:tcPr>
          <w:p>
            <w:pPr>
              <w:spacing w:after="0"/>
              <w:rPr>
                <w:sz w:val="21"/>
                <w:szCs w:val="21"/>
                <w:color w:val="auto"/>
              </w:rPr>
            </w:pPr>
          </w:p>
        </w:tc>
      </w:tr>
      <w:tr>
        <w:trPr>
          <w:trHeight w:val="224"/>
        </w:trPr>
        <w:tc>
          <w:tcPr>
            <w:tcW w:w="1240" w:type="dxa"/>
            <w:vAlign w:val="bottom"/>
          </w:tcPr>
          <w:p>
            <w:pPr>
              <w:spacing w:after="0" w:line="224" w:lineRule="exact"/>
              <w:rPr>
                <w:sz w:val="20"/>
                <w:szCs w:val="20"/>
                <w:color w:val="auto"/>
              </w:rPr>
            </w:pPr>
            <w:r>
              <w:rPr>
                <w:rFonts w:ascii="Arial" w:cs="Arial" w:eastAsia="Arial" w:hAnsi="Arial"/>
                <w:sz w:val="20"/>
                <w:szCs w:val="20"/>
                <w:color w:val="auto"/>
              </w:rPr>
              <w:t>Franklin</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9"/>
        </w:trPr>
        <w:tc>
          <w:tcPr>
            <w:tcW w:w="124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3102130</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1</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208</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tcPr>
          <w:p>
            <w:pPr>
              <w:spacing w:after="0"/>
              <w:rPr>
                <w:sz w:val="21"/>
                <w:szCs w:val="21"/>
                <w:color w:val="auto"/>
              </w:rPr>
            </w:pPr>
          </w:p>
        </w:tc>
      </w:tr>
      <w:tr>
        <w:trPr>
          <w:trHeight w:val="752"/>
        </w:trPr>
        <w:tc>
          <w:tcPr>
            <w:tcW w:w="12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520"/>
          </w:cols>
          <w:pgMar w:left="240" w:top="121" w:right="1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gridSpan w:val="2"/>
          </w:tcPr>
          <w:p>
            <w:pPr>
              <w:ind w:left="40"/>
              <w:spacing w:after="0"/>
              <w:rPr>
                <w:sz w:val="20"/>
                <w:szCs w:val="20"/>
                <w:color w:val="auto"/>
              </w:rPr>
            </w:pPr>
            <w:r>
              <w:rPr>
                <w:rFonts w:ascii="Arial" w:cs="Arial" w:eastAsia="Arial" w:hAnsi="Arial"/>
                <w:sz w:val="20"/>
                <w:szCs w:val="20"/>
                <w:color w:val="auto"/>
                <w:w w:val="91"/>
              </w:rPr>
              <w:t>Appendix 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0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vMerge w:val="continue"/>
          </w:tcPr>
          <w:p>
            <w:pPr>
              <w:spacing w:after="0"/>
              <w:rPr>
                <w:sz w:val="20"/>
                <w:szCs w:val="20"/>
                <w:color w:val="auto"/>
              </w:rPr>
            </w:pPr>
          </w:p>
        </w:tc>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Fuquay Quarry</w:t>
            </w:r>
          </w:p>
        </w:tc>
        <w:tc>
          <w:tcPr>
            <w:tcW w:w="102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3102055</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r>
              <w:rPr>
                <w:rFonts w:ascii="Arial" w:cs="Arial" w:eastAsia="Arial" w:hAnsi="Arial"/>
                <w:sz w:val="20"/>
                <w:szCs w:val="20"/>
                <w:color w:val="auto"/>
              </w:rPr>
              <w:t>Garner Quarry</w:t>
            </w:r>
          </w:p>
        </w:tc>
        <w:tc>
          <w:tcPr>
            <w:tcW w:w="1020" w:type="dxa"/>
            <w:vAlign w:val="bottom"/>
          </w:tcPr>
          <w:p>
            <w:pPr>
              <w:jc w:val="right"/>
              <w:ind w:right="42"/>
              <w:spacing w:after="0"/>
              <w:rPr>
                <w:sz w:val="20"/>
                <w:szCs w:val="20"/>
                <w:color w:val="auto"/>
              </w:rPr>
            </w:pPr>
            <w:r>
              <w:rPr>
                <w:rFonts w:ascii="Arial" w:cs="Arial" w:eastAsia="Arial" w:hAnsi="Arial"/>
                <w:sz w:val="20"/>
                <w:szCs w:val="20"/>
                <w:color w:val="auto"/>
              </w:rPr>
              <w:t>3100072</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Georgetown II Quarry</w:t>
            </w:r>
          </w:p>
        </w:tc>
        <w:tc>
          <w:tcPr>
            <w:tcW w:w="102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3800525</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r>
              <w:rPr>
                <w:rFonts w:ascii="Arial" w:cs="Arial" w:eastAsia="Arial" w:hAnsi="Arial"/>
                <w:sz w:val="20"/>
                <w:szCs w:val="20"/>
                <w:color w:val="auto"/>
              </w:rPr>
              <w:t>Hickory Quarry</w:t>
            </w:r>
          </w:p>
        </w:tc>
        <w:tc>
          <w:tcPr>
            <w:tcW w:w="1020" w:type="dxa"/>
            <w:vAlign w:val="bottom"/>
          </w:tcPr>
          <w:p>
            <w:pPr>
              <w:jc w:val="right"/>
              <w:ind w:right="42"/>
              <w:spacing w:after="0"/>
              <w:rPr>
                <w:sz w:val="20"/>
                <w:szCs w:val="20"/>
                <w:color w:val="auto"/>
              </w:rPr>
            </w:pPr>
            <w:r>
              <w:rPr>
                <w:rFonts w:ascii="Arial" w:cs="Arial" w:eastAsia="Arial" w:hAnsi="Arial"/>
                <w:sz w:val="20"/>
                <w:szCs w:val="20"/>
                <w:color w:val="auto"/>
              </w:rPr>
              <w:t>3100043</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Hicone</w:t>
            </w:r>
          </w:p>
        </w:tc>
        <w:tc>
          <w:tcPr>
            <w:tcW w:w="102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3102088</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r>
              <w:rPr>
                <w:rFonts w:ascii="Arial" w:cs="Arial" w:eastAsia="Arial" w:hAnsi="Arial"/>
                <w:sz w:val="20"/>
                <w:szCs w:val="20"/>
                <w:color w:val="auto"/>
              </w:rPr>
              <w:t>Jamestown Quarry</w:t>
            </w:r>
          </w:p>
        </w:tc>
        <w:tc>
          <w:tcPr>
            <w:tcW w:w="1020" w:type="dxa"/>
            <w:vAlign w:val="bottom"/>
          </w:tcPr>
          <w:p>
            <w:pPr>
              <w:jc w:val="right"/>
              <w:ind w:right="42"/>
              <w:spacing w:after="0"/>
              <w:rPr>
                <w:sz w:val="20"/>
                <w:szCs w:val="20"/>
                <w:color w:val="auto"/>
              </w:rPr>
            </w:pPr>
            <w:r>
              <w:rPr>
                <w:rFonts w:ascii="Arial" w:cs="Arial" w:eastAsia="Arial" w:hAnsi="Arial"/>
                <w:sz w:val="20"/>
                <w:szCs w:val="20"/>
                <w:color w:val="auto"/>
              </w:rPr>
              <w:t>3100051</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Kannapolis Quarry</w:t>
            </w:r>
          </w:p>
        </w:tc>
        <w:tc>
          <w:tcPr>
            <w:tcW w:w="102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3100070</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128</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r>
              <w:rPr>
                <w:rFonts w:ascii="Arial" w:cs="Arial" w:eastAsia="Arial" w:hAnsi="Arial"/>
                <w:sz w:val="20"/>
                <w:szCs w:val="20"/>
                <w:color w:val="auto"/>
                <w:w w:val="99"/>
              </w:rPr>
              <w:t>Kings Mountain Quarry</w:t>
            </w:r>
          </w:p>
        </w:tc>
        <w:tc>
          <w:tcPr>
            <w:tcW w:w="1020" w:type="dxa"/>
            <w:vAlign w:val="bottom"/>
          </w:tcPr>
          <w:p>
            <w:pPr>
              <w:jc w:val="right"/>
              <w:ind w:right="42"/>
              <w:spacing w:after="0"/>
              <w:rPr>
                <w:sz w:val="20"/>
                <w:szCs w:val="20"/>
                <w:color w:val="auto"/>
              </w:rPr>
            </w:pPr>
            <w:r>
              <w:rPr>
                <w:rFonts w:ascii="Arial" w:cs="Arial" w:eastAsia="Arial" w:hAnsi="Arial"/>
                <w:sz w:val="20"/>
                <w:szCs w:val="20"/>
                <w:color w:val="auto"/>
              </w:rPr>
              <w:t>3100047</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Lemon Springs Quarry</w:t>
            </w:r>
          </w:p>
        </w:tc>
        <w:tc>
          <w:tcPr>
            <w:tcW w:w="102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3101104</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r>
              <w:rPr>
                <w:rFonts w:ascii="Arial" w:cs="Arial" w:eastAsia="Arial" w:hAnsi="Arial"/>
                <w:sz w:val="20"/>
                <w:szCs w:val="20"/>
                <w:color w:val="auto"/>
              </w:rPr>
              <w:t>Loamy Sand Gravel</w:t>
            </w:r>
          </w:p>
        </w:tc>
        <w:tc>
          <w:tcPr>
            <w:tcW w:w="1020" w:type="dxa"/>
            <w:vAlign w:val="bottom"/>
          </w:tcPr>
          <w:p>
            <w:pPr>
              <w:jc w:val="right"/>
              <w:ind w:right="42"/>
              <w:spacing w:after="0"/>
              <w:rPr>
                <w:sz w:val="20"/>
                <w:szCs w:val="20"/>
                <w:color w:val="auto"/>
              </w:rPr>
            </w:pPr>
            <w:r>
              <w:rPr>
                <w:rFonts w:ascii="Arial" w:cs="Arial" w:eastAsia="Arial" w:hAnsi="Arial"/>
                <w:sz w:val="20"/>
                <w:szCs w:val="20"/>
                <w:color w:val="auto"/>
              </w:rPr>
              <w:t>3800721</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62"/>
              <w:spacing w:after="0"/>
              <w:rPr>
                <w:sz w:val="20"/>
                <w:szCs w:val="20"/>
                <w:color w:val="auto"/>
              </w:rPr>
            </w:pPr>
            <w:r>
              <w:rPr>
                <w:rFonts w:ascii="Arial" w:cs="Arial" w:eastAsia="Arial" w:hAnsi="Arial"/>
                <w:sz w:val="20"/>
                <w:szCs w:val="20"/>
                <w:color w:val="auto"/>
              </w:rPr>
              <w:t>151</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Maiden Quarry</w:t>
            </w:r>
          </w:p>
        </w:tc>
        <w:tc>
          <w:tcPr>
            <w:tcW w:w="102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3102125</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r>
              <w:rPr>
                <w:rFonts w:ascii="Arial" w:cs="Arial" w:eastAsia="Arial" w:hAnsi="Arial"/>
                <w:sz w:val="20"/>
                <w:szCs w:val="20"/>
                <w:color w:val="auto"/>
              </w:rPr>
              <w:t>Mallard Creek Quarry</w:t>
            </w:r>
          </w:p>
        </w:tc>
        <w:tc>
          <w:tcPr>
            <w:tcW w:w="1020" w:type="dxa"/>
            <w:vAlign w:val="bottom"/>
          </w:tcPr>
          <w:p>
            <w:pPr>
              <w:jc w:val="right"/>
              <w:ind w:right="42"/>
              <w:spacing w:after="0"/>
              <w:rPr>
                <w:sz w:val="20"/>
                <w:szCs w:val="20"/>
                <w:color w:val="auto"/>
              </w:rPr>
            </w:pPr>
            <w:r>
              <w:rPr>
                <w:rFonts w:ascii="Arial" w:cs="Arial" w:eastAsia="Arial" w:hAnsi="Arial"/>
                <w:sz w:val="20"/>
                <w:szCs w:val="20"/>
                <w:color w:val="auto"/>
              </w:rPr>
              <w:t>3102006</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Matthews Quarry</w:t>
            </w:r>
          </w:p>
        </w:tc>
        <w:tc>
          <w:tcPr>
            <w:tcW w:w="102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3102084</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r>
              <w:rPr>
                <w:rFonts w:ascii="Arial" w:cs="Arial" w:eastAsia="Arial" w:hAnsi="Arial"/>
                <w:sz w:val="20"/>
                <w:szCs w:val="20"/>
                <w:color w:val="auto"/>
              </w:rPr>
              <w:t>Midlothian Quarry</w:t>
            </w:r>
          </w:p>
        </w:tc>
        <w:tc>
          <w:tcPr>
            <w:tcW w:w="1020" w:type="dxa"/>
            <w:vAlign w:val="bottom"/>
          </w:tcPr>
          <w:p>
            <w:pPr>
              <w:jc w:val="right"/>
              <w:ind w:right="42"/>
              <w:spacing w:after="0"/>
              <w:rPr>
                <w:sz w:val="20"/>
                <w:szCs w:val="20"/>
                <w:color w:val="auto"/>
              </w:rPr>
            </w:pPr>
            <w:r>
              <w:rPr>
                <w:rFonts w:ascii="Arial" w:cs="Arial" w:eastAsia="Arial" w:hAnsi="Arial"/>
                <w:sz w:val="20"/>
                <w:szCs w:val="20"/>
                <w:color w:val="auto"/>
              </w:rPr>
              <w:t>4403767</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62"/>
              <w:spacing w:after="0"/>
              <w:rPr>
                <w:sz w:val="20"/>
                <w:szCs w:val="20"/>
                <w:color w:val="auto"/>
              </w:rPr>
            </w:pPr>
            <w:r>
              <w:rPr>
                <w:rFonts w:ascii="Arial" w:cs="Arial" w:eastAsia="Arial" w:hAnsi="Arial"/>
                <w:sz w:val="20"/>
                <w:szCs w:val="20"/>
                <w:color w:val="auto"/>
              </w:rPr>
              <w:t>399</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North Columbia</w:t>
            </w:r>
          </w:p>
        </w:tc>
        <w:tc>
          <w:tcPr>
            <w:tcW w:w="102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3800146</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236</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r>
              <w:rPr>
                <w:rFonts w:ascii="Arial" w:cs="Arial" w:eastAsia="Arial" w:hAnsi="Arial"/>
                <w:sz w:val="20"/>
                <w:szCs w:val="20"/>
                <w:color w:val="auto"/>
              </w:rPr>
              <w:t>Onslow Quarry</w:t>
            </w:r>
          </w:p>
        </w:tc>
        <w:tc>
          <w:tcPr>
            <w:tcW w:w="1020" w:type="dxa"/>
            <w:vAlign w:val="bottom"/>
          </w:tcPr>
          <w:p>
            <w:pPr>
              <w:jc w:val="right"/>
              <w:ind w:right="42"/>
              <w:spacing w:after="0"/>
              <w:rPr>
                <w:sz w:val="20"/>
                <w:szCs w:val="20"/>
                <w:color w:val="auto"/>
              </w:rPr>
            </w:pPr>
            <w:r>
              <w:rPr>
                <w:rFonts w:ascii="Arial" w:cs="Arial" w:eastAsia="Arial" w:hAnsi="Arial"/>
                <w:sz w:val="20"/>
                <w:szCs w:val="20"/>
                <w:color w:val="auto"/>
              </w:rPr>
              <w:t>3102120</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Pinesburg Quarry</w:t>
            </w:r>
          </w:p>
        </w:tc>
        <w:tc>
          <w:tcPr>
            <w:tcW w:w="102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1800021</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406</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r>
              <w:rPr>
                <w:rFonts w:ascii="Arial" w:cs="Arial" w:eastAsia="Arial" w:hAnsi="Arial"/>
                <w:sz w:val="20"/>
                <w:szCs w:val="20"/>
                <w:color w:val="auto"/>
              </w:rPr>
              <w:t>Pomona Quarry</w:t>
            </w:r>
          </w:p>
        </w:tc>
        <w:tc>
          <w:tcPr>
            <w:tcW w:w="1020" w:type="dxa"/>
            <w:vAlign w:val="bottom"/>
          </w:tcPr>
          <w:p>
            <w:pPr>
              <w:jc w:val="right"/>
              <w:ind w:right="42"/>
              <w:spacing w:after="0"/>
              <w:rPr>
                <w:sz w:val="20"/>
                <w:szCs w:val="20"/>
                <w:color w:val="auto"/>
              </w:rPr>
            </w:pPr>
            <w:r>
              <w:rPr>
                <w:rFonts w:ascii="Arial" w:cs="Arial" w:eastAsia="Arial" w:hAnsi="Arial"/>
                <w:sz w:val="20"/>
                <w:szCs w:val="20"/>
                <w:color w:val="auto"/>
              </w:rPr>
              <w:t>3100052</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w w:val="96"/>
              </w:rPr>
              <w:t>Raleigh Durham Quarry</w:t>
            </w:r>
          </w:p>
        </w:tc>
        <w:tc>
          <w:tcPr>
            <w:tcW w:w="102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3101941</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r>
              <w:rPr>
                <w:rFonts w:ascii="Arial" w:cs="Arial" w:eastAsia="Arial" w:hAnsi="Arial"/>
                <w:sz w:val="20"/>
                <w:szCs w:val="20"/>
                <w:color w:val="auto"/>
              </w:rPr>
              <w:t>Red Hill Quarry</w:t>
            </w:r>
          </w:p>
        </w:tc>
        <w:tc>
          <w:tcPr>
            <w:tcW w:w="1020" w:type="dxa"/>
            <w:vAlign w:val="bottom"/>
          </w:tcPr>
          <w:p>
            <w:pPr>
              <w:jc w:val="right"/>
              <w:ind w:right="42"/>
              <w:spacing w:after="0"/>
              <w:rPr>
                <w:sz w:val="20"/>
                <w:szCs w:val="20"/>
                <w:color w:val="auto"/>
              </w:rPr>
            </w:pPr>
            <w:r>
              <w:rPr>
                <w:rFonts w:ascii="Arial" w:cs="Arial" w:eastAsia="Arial" w:hAnsi="Arial"/>
                <w:sz w:val="20"/>
                <w:szCs w:val="20"/>
                <w:color w:val="auto"/>
              </w:rPr>
              <w:t>4400072</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Reidsville Quarry</w:t>
            </w:r>
          </w:p>
        </w:tc>
        <w:tc>
          <w:tcPr>
            <w:tcW w:w="102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3100068</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r>
              <w:rPr>
                <w:rFonts w:ascii="Arial" w:cs="Arial" w:eastAsia="Arial" w:hAnsi="Arial"/>
                <w:sz w:val="20"/>
                <w:szCs w:val="20"/>
                <w:color w:val="auto"/>
              </w:rPr>
              <w:t>Rock Hill Quarry</w:t>
            </w:r>
          </w:p>
        </w:tc>
        <w:tc>
          <w:tcPr>
            <w:tcW w:w="1020" w:type="dxa"/>
            <w:vAlign w:val="bottom"/>
          </w:tcPr>
          <w:p>
            <w:pPr>
              <w:jc w:val="right"/>
              <w:ind w:right="42"/>
              <w:spacing w:after="0"/>
              <w:rPr>
                <w:sz w:val="20"/>
                <w:szCs w:val="20"/>
                <w:color w:val="auto"/>
              </w:rPr>
            </w:pPr>
            <w:r>
              <w:rPr>
                <w:rFonts w:ascii="Arial" w:cs="Arial" w:eastAsia="Arial" w:hAnsi="Arial"/>
                <w:sz w:val="20"/>
                <w:szCs w:val="20"/>
                <w:color w:val="auto"/>
              </w:rPr>
              <w:t>3800026</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62"/>
              <w:spacing w:after="0"/>
              <w:rPr>
                <w:sz w:val="20"/>
                <w:szCs w:val="20"/>
                <w:color w:val="auto"/>
              </w:rPr>
            </w:pPr>
            <w:r>
              <w:rPr>
                <w:rFonts w:ascii="Arial" w:cs="Arial" w:eastAsia="Arial" w:hAnsi="Arial"/>
                <w:sz w:val="20"/>
                <w:szCs w:val="20"/>
                <w:color w:val="auto"/>
              </w:rPr>
              <w:t>118</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Rocky Point Quarry</w:t>
            </w:r>
          </w:p>
        </w:tc>
        <w:tc>
          <w:tcPr>
            <w:tcW w:w="102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3101956</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r>
              <w:rPr>
                <w:rFonts w:ascii="Arial" w:cs="Arial" w:eastAsia="Arial" w:hAnsi="Arial"/>
                <w:sz w:val="20"/>
                <w:szCs w:val="20"/>
                <w:color w:val="auto"/>
              </w:rPr>
              <w:t>Rocky River Quarry</w:t>
            </w:r>
          </w:p>
        </w:tc>
        <w:tc>
          <w:tcPr>
            <w:tcW w:w="1020" w:type="dxa"/>
            <w:vAlign w:val="bottom"/>
          </w:tcPr>
          <w:p>
            <w:pPr>
              <w:jc w:val="right"/>
              <w:ind w:right="42"/>
              <w:spacing w:after="0"/>
              <w:rPr>
                <w:sz w:val="20"/>
                <w:szCs w:val="20"/>
                <w:color w:val="auto"/>
              </w:rPr>
            </w:pPr>
            <w:r>
              <w:rPr>
                <w:rFonts w:ascii="Arial" w:cs="Arial" w:eastAsia="Arial" w:hAnsi="Arial"/>
                <w:sz w:val="20"/>
                <w:szCs w:val="20"/>
                <w:color w:val="auto"/>
              </w:rPr>
              <w:t>3102033</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62"/>
              <w:spacing w:after="0"/>
              <w:rPr>
                <w:sz w:val="20"/>
                <w:szCs w:val="20"/>
                <w:color w:val="auto"/>
              </w:rPr>
            </w:pPr>
            <w:r>
              <w:rPr>
                <w:rFonts w:ascii="Arial" w:cs="Arial" w:eastAsia="Arial" w:hAnsi="Arial"/>
                <w:sz w:val="20"/>
                <w:szCs w:val="20"/>
                <w:color w:val="auto"/>
              </w:rPr>
              <w:t>118</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Salem Stone</w:t>
            </w:r>
          </w:p>
        </w:tc>
        <w:tc>
          <w:tcPr>
            <w:tcW w:w="102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3102038</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r>
              <w:rPr>
                <w:rFonts w:ascii="Arial" w:cs="Arial" w:eastAsia="Arial" w:hAnsi="Arial"/>
                <w:sz w:val="20"/>
                <w:szCs w:val="20"/>
                <w:color w:val="auto"/>
              </w:rPr>
              <w:t>Statesville Quarry</w:t>
            </w:r>
          </w:p>
        </w:tc>
        <w:tc>
          <w:tcPr>
            <w:tcW w:w="1020" w:type="dxa"/>
            <w:vAlign w:val="bottom"/>
          </w:tcPr>
          <w:p>
            <w:pPr>
              <w:jc w:val="right"/>
              <w:ind w:right="42"/>
              <w:spacing w:after="0"/>
              <w:rPr>
                <w:sz w:val="20"/>
                <w:szCs w:val="20"/>
                <w:color w:val="auto"/>
              </w:rPr>
            </w:pPr>
            <w:r>
              <w:rPr>
                <w:rFonts w:ascii="Arial" w:cs="Arial" w:eastAsia="Arial" w:hAnsi="Arial"/>
                <w:sz w:val="20"/>
                <w:szCs w:val="20"/>
                <w:color w:val="auto"/>
              </w:rPr>
              <w:t>3100055</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Thomasville Quarry</w:t>
            </w:r>
          </w:p>
        </w:tc>
        <w:tc>
          <w:tcPr>
            <w:tcW w:w="102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3101475</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867</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r>
              <w:rPr>
                <w:rFonts w:ascii="Arial" w:cs="Arial" w:eastAsia="Arial" w:hAnsi="Arial"/>
                <w:sz w:val="20"/>
                <w:szCs w:val="20"/>
                <w:color w:val="auto"/>
              </w:rPr>
              <w:t>Wilmington Sand</w:t>
            </w:r>
          </w:p>
        </w:tc>
        <w:tc>
          <w:tcPr>
            <w:tcW w:w="1020" w:type="dxa"/>
            <w:vAlign w:val="bottom"/>
          </w:tcPr>
          <w:p>
            <w:pPr>
              <w:jc w:val="right"/>
              <w:ind w:right="42"/>
              <w:spacing w:after="0"/>
              <w:rPr>
                <w:sz w:val="20"/>
                <w:szCs w:val="20"/>
                <w:color w:val="auto"/>
              </w:rPr>
            </w:pPr>
            <w:r>
              <w:rPr>
                <w:rFonts w:ascii="Arial" w:cs="Arial" w:eastAsia="Arial" w:hAnsi="Arial"/>
                <w:sz w:val="20"/>
                <w:szCs w:val="20"/>
                <w:color w:val="auto"/>
              </w:rPr>
              <w:t>3101308</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Wilson Quarry</w:t>
            </w:r>
          </w:p>
        </w:tc>
        <w:tc>
          <w:tcPr>
            <w:tcW w:w="102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3102230</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r>
              <w:rPr>
                <w:rFonts w:ascii="Arial" w:cs="Arial" w:eastAsia="Arial" w:hAnsi="Arial"/>
                <w:sz w:val="20"/>
                <w:szCs w:val="20"/>
                <w:color w:val="auto"/>
              </w:rPr>
              <w:t>Woodleaf Quarry</w:t>
            </w:r>
          </w:p>
        </w:tc>
        <w:tc>
          <w:tcPr>
            <w:tcW w:w="1020" w:type="dxa"/>
            <w:vAlign w:val="bottom"/>
          </w:tcPr>
          <w:p>
            <w:pPr>
              <w:jc w:val="right"/>
              <w:ind w:right="42"/>
              <w:spacing w:after="0"/>
              <w:rPr>
                <w:sz w:val="20"/>
                <w:szCs w:val="20"/>
                <w:color w:val="auto"/>
              </w:rPr>
            </w:pPr>
            <w:r>
              <w:rPr>
                <w:rFonts w:ascii="Arial" w:cs="Arial" w:eastAsia="Arial" w:hAnsi="Arial"/>
                <w:sz w:val="20"/>
                <w:szCs w:val="20"/>
                <w:color w:val="auto"/>
              </w:rPr>
              <w:t>3100069</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62"/>
              <w:spacing w:after="0"/>
              <w:rPr>
                <w:sz w:val="20"/>
                <w:szCs w:val="20"/>
                <w:color w:val="auto"/>
              </w:rPr>
            </w:pPr>
            <w:r>
              <w:rPr>
                <w:rFonts w:ascii="Arial" w:cs="Arial" w:eastAsia="Arial" w:hAnsi="Arial"/>
                <w:sz w:val="20"/>
                <w:szCs w:val="20"/>
                <w:color w:val="auto"/>
              </w:rPr>
              <w:t>607</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6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(45) North Indianapolis</w:t>
            </w:r>
          </w:p>
        </w:tc>
        <w:tc>
          <w:tcPr>
            <w:tcW w:w="10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SURFACE</w:t>
            </w:r>
          </w:p>
        </w:tc>
        <w:tc>
          <w:tcPr>
            <w:tcW w:w="102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1200002</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236</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r>
              <w:rPr>
                <w:rFonts w:ascii="Arial" w:cs="Arial" w:eastAsia="Arial" w:hAnsi="Arial"/>
                <w:sz w:val="20"/>
                <w:szCs w:val="20"/>
                <w:color w:val="auto"/>
              </w:rPr>
              <w:t>Apple Grove S G</w:t>
            </w:r>
          </w:p>
        </w:tc>
        <w:tc>
          <w:tcPr>
            <w:tcW w:w="1020" w:type="dxa"/>
            <w:vAlign w:val="bottom"/>
          </w:tcPr>
          <w:p>
            <w:pPr>
              <w:jc w:val="right"/>
              <w:ind w:right="42"/>
              <w:spacing w:after="0"/>
              <w:rPr>
                <w:sz w:val="20"/>
                <w:szCs w:val="20"/>
                <w:color w:val="auto"/>
              </w:rPr>
            </w:pPr>
            <w:r>
              <w:rPr>
                <w:rFonts w:ascii="Arial" w:cs="Arial" w:eastAsia="Arial" w:hAnsi="Arial"/>
                <w:sz w:val="20"/>
                <w:szCs w:val="20"/>
                <w:color w:val="auto"/>
              </w:rPr>
              <w:t>3301676</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62"/>
              <w:spacing w:after="0"/>
              <w:rPr>
                <w:sz w:val="20"/>
                <w:szCs w:val="20"/>
                <w:color w:val="auto"/>
              </w:rPr>
            </w:pPr>
            <w:r>
              <w:rPr>
                <w:rFonts w:ascii="Arial" w:cs="Arial" w:eastAsia="Arial" w:hAnsi="Arial"/>
                <w:sz w:val="20"/>
                <w:szCs w:val="20"/>
                <w:color w:val="auto"/>
              </w:rPr>
              <w:t>256</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Belmont Sand</w:t>
            </w:r>
          </w:p>
        </w:tc>
        <w:tc>
          <w:tcPr>
            <w:tcW w:w="102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1201911</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236</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6"/>
        </w:trPr>
        <w:tc>
          <w:tcPr>
            <w:tcW w:w="20" w:type="dxa"/>
            <w:vAlign w:val="bottom"/>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50"/>
        </w:trPr>
        <w:tc>
          <w:tcPr>
            <w:tcW w:w="2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gridSpan w:val="2"/>
          </w:tcPr>
          <w:p>
            <w:pPr>
              <w:ind w:left="20"/>
              <w:spacing w:after="0"/>
              <w:rPr>
                <w:sz w:val="20"/>
                <w:szCs w:val="20"/>
                <w:color w:val="auto"/>
              </w:rPr>
            </w:pPr>
            <w:r>
              <w:rPr>
                <w:rFonts w:ascii="Arial" w:cs="Arial" w:eastAsia="Arial" w:hAnsi="Arial"/>
                <w:sz w:val="20"/>
                <w:szCs w:val="20"/>
                <w:color w:val="auto"/>
                <w:w w:val="91"/>
              </w:rPr>
              <w:t>Appendix 1</w:t>
            </w:r>
          </w:p>
        </w:tc>
      </w:tr>
      <w:tr>
        <w:trPr>
          <w:trHeight w:val="464"/>
        </w:trPr>
        <w:tc>
          <w:tcPr>
            <w:tcW w:w="2200" w:type="dxa"/>
            <w:vAlign w:val="bottom"/>
          </w:tcPr>
          <w:p>
            <w:pPr>
              <w:spacing w:after="0"/>
              <w:rPr>
                <w:sz w:val="20"/>
                <w:szCs w:val="20"/>
                <w:color w:val="auto"/>
              </w:rPr>
            </w:pPr>
            <w:r>
              <w:rPr>
                <w:rFonts w:ascii="Arial" w:cs="Arial" w:eastAsia="Arial" w:hAnsi="Arial"/>
                <w:sz w:val="20"/>
                <w:szCs w:val="20"/>
                <w:color w:val="auto"/>
              </w:rPr>
              <w:t>Burning Springs Mine</w:t>
            </w:r>
          </w:p>
        </w:tc>
        <w:tc>
          <w:tcPr>
            <w:tcW w:w="900" w:type="dxa"/>
            <w:vAlign w:val="bottom"/>
          </w:tcPr>
          <w:p>
            <w:pPr>
              <w:jc w:val="right"/>
              <w:ind w:right="42"/>
              <w:spacing w:after="0"/>
              <w:rPr>
                <w:sz w:val="20"/>
                <w:szCs w:val="20"/>
                <w:color w:val="auto"/>
              </w:rPr>
            </w:pPr>
            <w:r>
              <w:rPr>
                <w:rFonts w:ascii="Arial" w:cs="Arial" w:eastAsia="Arial" w:hAnsi="Arial"/>
                <w:sz w:val="20"/>
                <w:szCs w:val="20"/>
                <w:color w:val="auto"/>
                <w:w w:val="95"/>
              </w:rPr>
              <w:t>4608862</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2"/>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4"/>
                <w:szCs w:val="24"/>
                <w:color w:val="auto"/>
              </w:rPr>
            </w:pPr>
          </w:p>
        </w:tc>
      </w:tr>
      <w:tr>
        <w:trPr>
          <w:trHeight w:val="241"/>
        </w:trPr>
        <w:tc>
          <w:tcPr>
            <w:tcW w:w="2200" w:type="dxa"/>
            <w:vAlign w:val="bottom"/>
            <w:shd w:val="clear" w:color="auto" w:fill="CFF0FC"/>
          </w:tcPr>
          <w:p>
            <w:pPr>
              <w:spacing w:after="0"/>
              <w:rPr>
                <w:sz w:val="20"/>
                <w:szCs w:val="20"/>
                <w:color w:val="auto"/>
              </w:rPr>
            </w:pPr>
            <w:r>
              <w:rPr>
                <w:rFonts w:ascii="Arial" w:cs="Arial" w:eastAsia="Arial" w:hAnsi="Arial"/>
                <w:sz w:val="20"/>
                <w:szCs w:val="20"/>
                <w:color w:val="auto"/>
              </w:rPr>
              <w:t>Carmel Sand</w:t>
            </w:r>
          </w:p>
        </w:tc>
        <w:tc>
          <w:tcPr>
            <w:tcW w:w="90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w w:val="95"/>
              </w:rPr>
              <w:t>1202124</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200" w:type="dxa"/>
            <w:vAlign w:val="bottom"/>
          </w:tcPr>
          <w:p>
            <w:pPr>
              <w:spacing w:after="0"/>
              <w:rPr>
                <w:sz w:val="20"/>
                <w:szCs w:val="20"/>
                <w:color w:val="auto"/>
              </w:rPr>
            </w:pPr>
            <w:r>
              <w:rPr>
                <w:rFonts w:ascii="Arial" w:cs="Arial" w:eastAsia="Arial" w:hAnsi="Arial"/>
                <w:sz w:val="20"/>
                <w:szCs w:val="20"/>
                <w:color w:val="auto"/>
              </w:rPr>
              <w:t>Cedarville Quarry</w:t>
            </w:r>
          </w:p>
        </w:tc>
        <w:tc>
          <w:tcPr>
            <w:tcW w:w="900" w:type="dxa"/>
            <w:vAlign w:val="bottom"/>
          </w:tcPr>
          <w:p>
            <w:pPr>
              <w:jc w:val="right"/>
              <w:ind w:right="42"/>
              <w:spacing w:after="0"/>
              <w:rPr>
                <w:sz w:val="20"/>
                <w:szCs w:val="20"/>
                <w:color w:val="auto"/>
              </w:rPr>
            </w:pPr>
            <w:r>
              <w:rPr>
                <w:rFonts w:ascii="Arial" w:cs="Arial" w:eastAsia="Arial" w:hAnsi="Arial"/>
                <w:sz w:val="20"/>
                <w:szCs w:val="20"/>
                <w:color w:val="auto"/>
                <w:w w:val="95"/>
              </w:rPr>
              <w:t>3304072</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200" w:type="dxa"/>
            <w:vAlign w:val="bottom"/>
            <w:shd w:val="clear" w:color="auto" w:fill="CFF0FC"/>
          </w:tcPr>
          <w:p>
            <w:pPr>
              <w:spacing w:after="0"/>
              <w:rPr>
                <w:sz w:val="20"/>
                <w:szCs w:val="20"/>
                <w:color w:val="auto"/>
              </w:rPr>
            </w:pPr>
            <w:r>
              <w:rPr>
                <w:rFonts w:ascii="Arial" w:cs="Arial" w:eastAsia="Arial" w:hAnsi="Arial"/>
                <w:sz w:val="20"/>
                <w:szCs w:val="20"/>
                <w:color w:val="auto"/>
              </w:rPr>
              <w:t>Cloverdale Quarry</w:t>
            </w:r>
          </w:p>
        </w:tc>
        <w:tc>
          <w:tcPr>
            <w:tcW w:w="90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w w:val="95"/>
              </w:rPr>
              <w:t>1201744</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200" w:type="dxa"/>
            <w:vAlign w:val="bottom"/>
          </w:tcPr>
          <w:p>
            <w:pPr>
              <w:spacing w:after="0"/>
              <w:rPr>
                <w:sz w:val="20"/>
                <w:szCs w:val="20"/>
                <w:color w:val="auto"/>
              </w:rPr>
            </w:pPr>
            <w:r>
              <w:rPr>
                <w:rFonts w:ascii="Arial" w:cs="Arial" w:eastAsia="Arial" w:hAnsi="Arial"/>
                <w:sz w:val="20"/>
                <w:szCs w:val="20"/>
                <w:color w:val="auto"/>
              </w:rPr>
              <w:t>E Town Sand Gravel</w:t>
            </w:r>
          </w:p>
        </w:tc>
        <w:tc>
          <w:tcPr>
            <w:tcW w:w="900" w:type="dxa"/>
            <w:vAlign w:val="bottom"/>
          </w:tcPr>
          <w:p>
            <w:pPr>
              <w:jc w:val="right"/>
              <w:ind w:right="42"/>
              <w:spacing w:after="0"/>
              <w:rPr>
                <w:sz w:val="20"/>
                <w:szCs w:val="20"/>
                <w:color w:val="auto"/>
              </w:rPr>
            </w:pPr>
            <w:r>
              <w:rPr>
                <w:rFonts w:ascii="Arial" w:cs="Arial" w:eastAsia="Arial" w:hAnsi="Arial"/>
                <w:sz w:val="20"/>
                <w:szCs w:val="20"/>
                <w:color w:val="auto"/>
                <w:w w:val="95"/>
              </w:rPr>
              <w:t>3304279</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1</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208</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200" w:type="dxa"/>
            <w:vAlign w:val="bottom"/>
            <w:shd w:val="clear" w:color="auto" w:fill="CFF0FC"/>
          </w:tcPr>
          <w:p>
            <w:pPr>
              <w:spacing w:after="0"/>
              <w:rPr>
                <w:sz w:val="20"/>
                <w:szCs w:val="20"/>
                <w:color w:val="auto"/>
              </w:rPr>
            </w:pPr>
            <w:r>
              <w:rPr>
                <w:rFonts w:ascii="Arial" w:cs="Arial" w:eastAsia="Arial" w:hAnsi="Arial"/>
                <w:sz w:val="20"/>
                <w:szCs w:val="20"/>
                <w:color w:val="auto"/>
              </w:rPr>
              <w:t>Fairfield Quarry</w:t>
            </w:r>
          </w:p>
        </w:tc>
        <w:tc>
          <w:tcPr>
            <w:tcW w:w="90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w w:val="95"/>
              </w:rPr>
              <w:t>3301396</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200" w:type="dxa"/>
            <w:vAlign w:val="bottom"/>
          </w:tcPr>
          <w:p>
            <w:pPr>
              <w:spacing w:after="0"/>
              <w:rPr>
                <w:sz w:val="20"/>
                <w:szCs w:val="20"/>
                <w:color w:val="auto"/>
              </w:rPr>
            </w:pPr>
            <w:r>
              <w:rPr>
                <w:rFonts w:ascii="Arial" w:cs="Arial" w:eastAsia="Arial" w:hAnsi="Arial"/>
                <w:sz w:val="20"/>
                <w:szCs w:val="20"/>
                <w:color w:val="auto"/>
              </w:rPr>
              <w:t>Franklin Gravel</w:t>
            </w:r>
          </w:p>
        </w:tc>
        <w:tc>
          <w:tcPr>
            <w:tcW w:w="900" w:type="dxa"/>
            <w:vAlign w:val="bottom"/>
          </w:tcPr>
          <w:p>
            <w:pPr>
              <w:jc w:val="right"/>
              <w:ind w:right="42"/>
              <w:spacing w:after="0"/>
              <w:rPr>
                <w:sz w:val="20"/>
                <w:szCs w:val="20"/>
                <w:color w:val="auto"/>
              </w:rPr>
            </w:pPr>
            <w:r>
              <w:rPr>
                <w:rFonts w:ascii="Arial" w:cs="Arial" w:eastAsia="Arial" w:hAnsi="Arial"/>
                <w:sz w:val="20"/>
                <w:szCs w:val="20"/>
                <w:color w:val="auto"/>
                <w:w w:val="95"/>
              </w:rPr>
              <w:t>3302940</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200" w:type="dxa"/>
            <w:vAlign w:val="bottom"/>
            <w:shd w:val="clear" w:color="auto" w:fill="CFF0FC"/>
          </w:tcPr>
          <w:p>
            <w:pPr>
              <w:spacing w:after="0"/>
              <w:rPr>
                <w:sz w:val="20"/>
                <w:szCs w:val="20"/>
                <w:color w:val="auto"/>
              </w:rPr>
            </w:pPr>
            <w:r>
              <w:rPr>
                <w:rFonts w:ascii="Arial" w:cs="Arial" w:eastAsia="Arial" w:hAnsi="Arial"/>
                <w:sz w:val="20"/>
                <w:szCs w:val="20"/>
                <w:color w:val="auto"/>
              </w:rPr>
              <w:t>Kentucky Ave Mine</w:t>
            </w:r>
          </w:p>
        </w:tc>
        <w:tc>
          <w:tcPr>
            <w:tcW w:w="90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w w:val="95"/>
              </w:rPr>
              <w:t>1201762</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w w:val="87"/>
              </w:rPr>
              <w:t>2,799</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200" w:type="dxa"/>
            <w:vAlign w:val="bottom"/>
          </w:tcPr>
          <w:p>
            <w:pPr>
              <w:spacing w:after="0"/>
              <w:rPr>
                <w:sz w:val="20"/>
                <w:szCs w:val="20"/>
                <w:color w:val="auto"/>
              </w:rPr>
            </w:pPr>
            <w:r>
              <w:rPr>
                <w:rFonts w:ascii="Arial" w:cs="Arial" w:eastAsia="Arial" w:hAnsi="Arial"/>
                <w:sz w:val="20"/>
                <w:szCs w:val="20"/>
                <w:color w:val="auto"/>
              </w:rPr>
              <w:t>Kokomo Mine</w:t>
            </w:r>
          </w:p>
        </w:tc>
        <w:tc>
          <w:tcPr>
            <w:tcW w:w="900" w:type="dxa"/>
            <w:vAlign w:val="bottom"/>
          </w:tcPr>
          <w:p>
            <w:pPr>
              <w:jc w:val="right"/>
              <w:ind w:right="42"/>
              <w:spacing w:after="0"/>
              <w:rPr>
                <w:sz w:val="20"/>
                <w:szCs w:val="20"/>
                <w:color w:val="auto"/>
              </w:rPr>
            </w:pPr>
            <w:r>
              <w:rPr>
                <w:rFonts w:ascii="Arial" w:cs="Arial" w:eastAsia="Arial" w:hAnsi="Arial"/>
                <w:sz w:val="20"/>
                <w:szCs w:val="20"/>
                <w:color w:val="auto"/>
                <w:w w:val="95"/>
              </w:rPr>
              <w:t>1202105</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200" w:type="dxa"/>
            <w:vAlign w:val="bottom"/>
            <w:shd w:val="clear" w:color="auto" w:fill="CFF0FC"/>
          </w:tcPr>
          <w:p>
            <w:pPr>
              <w:spacing w:after="0"/>
              <w:rPr>
                <w:sz w:val="20"/>
                <w:szCs w:val="20"/>
                <w:color w:val="auto"/>
              </w:rPr>
            </w:pPr>
            <w:r>
              <w:rPr>
                <w:rFonts w:ascii="Arial" w:cs="Arial" w:eastAsia="Arial" w:hAnsi="Arial"/>
                <w:sz w:val="20"/>
                <w:szCs w:val="20"/>
                <w:color w:val="auto"/>
              </w:rPr>
              <w:t>Kokomo Sand</w:t>
            </w:r>
          </w:p>
        </w:tc>
        <w:tc>
          <w:tcPr>
            <w:tcW w:w="90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w w:val="95"/>
              </w:rPr>
              <w:t>1202203</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200" w:type="dxa"/>
            <w:vAlign w:val="bottom"/>
          </w:tcPr>
          <w:p>
            <w:pPr>
              <w:spacing w:after="0"/>
              <w:rPr>
                <w:sz w:val="20"/>
                <w:szCs w:val="20"/>
                <w:color w:val="auto"/>
              </w:rPr>
            </w:pPr>
            <w:r>
              <w:rPr>
                <w:rFonts w:ascii="Arial" w:cs="Arial" w:eastAsia="Arial" w:hAnsi="Arial"/>
                <w:sz w:val="20"/>
                <w:szCs w:val="20"/>
                <w:color w:val="auto"/>
              </w:rPr>
              <w:t>Kokomo Stone</w:t>
            </w:r>
          </w:p>
        </w:tc>
        <w:tc>
          <w:tcPr>
            <w:tcW w:w="900" w:type="dxa"/>
            <w:vAlign w:val="bottom"/>
          </w:tcPr>
          <w:p>
            <w:pPr>
              <w:jc w:val="right"/>
              <w:ind w:right="42"/>
              <w:spacing w:after="0"/>
              <w:rPr>
                <w:sz w:val="20"/>
                <w:szCs w:val="20"/>
                <w:color w:val="auto"/>
              </w:rPr>
            </w:pPr>
            <w:r>
              <w:rPr>
                <w:rFonts w:ascii="Arial" w:cs="Arial" w:eastAsia="Arial" w:hAnsi="Arial"/>
                <w:sz w:val="20"/>
                <w:szCs w:val="20"/>
                <w:color w:val="auto"/>
                <w:w w:val="95"/>
              </w:rPr>
              <w:t>1200142</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200" w:type="dxa"/>
            <w:vAlign w:val="bottom"/>
            <w:shd w:val="clear" w:color="auto" w:fill="CFF0FC"/>
          </w:tcPr>
          <w:p>
            <w:pPr>
              <w:spacing w:after="0"/>
              <w:rPr>
                <w:sz w:val="20"/>
                <w:szCs w:val="20"/>
                <w:color w:val="auto"/>
              </w:rPr>
            </w:pPr>
            <w:r>
              <w:rPr>
                <w:rFonts w:ascii="Arial" w:cs="Arial" w:eastAsia="Arial" w:hAnsi="Arial"/>
                <w:sz w:val="20"/>
                <w:szCs w:val="20"/>
                <w:color w:val="auto"/>
              </w:rPr>
              <w:t>Noblesville Sand</w:t>
            </w:r>
          </w:p>
        </w:tc>
        <w:tc>
          <w:tcPr>
            <w:tcW w:w="90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w w:val="95"/>
              </w:rPr>
              <w:t>1201994</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200" w:type="dxa"/>
            <w:vAlign w:val="bottom"/>
          </w:tcPr>
          <w:p>
            <w:pPr>
              <w:spacing w:after="0"/>
              <w:rPr>
                <w:sz w:val="20"/>
                <w:szCs w:val="20"/>
                <w:color w:val="auto"/>
              </w:rPr>
            </w:pPr>
            <w:r>
              <w:rPr>
                <w:rFonts w:ascii="Arial" w:cs="Arial" w:eastAsia="Arial" w:hAnsi="Arial"/>
                <w:sz w:val="20"/>
                <w:szCs w:val="20"/>
                <w:color w:val="auto"/>
              </w:rPr>
              <w:t>Noblesville Stone</w:t>
            </w:r>
          </w:p>
        </w:tc>
        <w:tc>
          <w:tcPr>
            <w:tcW w:w="900" w:type="dxa"/>
            <w:vAlign w:val="bottom"/>
          </w:tcPr>
          <w:p>
            <w:pPr>
              <w:jc w:val="right"/>
              <w:ind w:right="42"/>
              <w:spacing w:after="0"/>
              <w:rPr>
                <w:sz w:val="20"/>
                <w:szCs w:val="20"/>
                <w:color w:val="auto"/>
              </w:rPr>
            </w:pPr>
            <w:r>
              <w:rPr>
                <w:rFonts w:ascii="Arial" w:cs="Arial" w:eastAsia="Arial" w:hAnsi="Arial"/>
                <w:sz w:val="20"/>
                <w:szCs w:val="20"/>
                <w:color w:val="auto"/>
                <w:w w:val="95"/>
              </w:rPr>
              <w:t>1202176</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1</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w w:val="87"/>
              </w:rPr>
              <w:t>2,110</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1</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200" w:type="dxa"/>
            <w:vAlign w:val="bottom"/>
            <w:shd w:val="clear" w:color="auto" w:fill="CFF0FC"/>
          </w:tcPr>
          <w:p>
            <w:pPr>
              <w:spacing w:after="0"/>
              <w:rPr>
                <w:sz w:val="20"/>
                <w:szCs w:val="20"/>
                <w:color w:val="auto"/>
              </w:rPr>
            </w:pPr>
            <w:r>
              <w:rPr>
                <w:rFonts w:ascii="Arial" w:cs="Arial" w:eastAsia="Arial" w:hAnsi="Arial"/>
                <w:sz w:val="20"/>
                <w:szCs w:val="20"/>
                <w:color w:val="auto"/>
                <w:w w:val="95"/>
              </w:rPr>
              <w:t>North Indianapolis Quarry</w:t>
            </w:r>
          </w:p>
        </w:tc>
        <w:tc>
          <w:tcPr>
            <w:tcW w:w="90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w w:val="95"/>
              </w:rPr>
              <w:t>1201993</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1</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361</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1</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200" w:type="dxa"/>
            <w:vAlign w:val="bottom"/>
          </w:tcPr>
          <w:p>
            <w:pPr>
              <w:spacing w:after="0"/>
              <w:rPr>
                <w:sz w:val="20"/>
                <w:szCs w:val="20"/>
                <w:color w:val="auto"/>
              </w:rPr>
            </w:pPr>
            <w:r>
              <w:rPr>
                <w:rFonts w:ascii="Arial" w:cs="Arial" w:eastAsia="Arial" w:hAnsi="Arial"/>
                <w:sz w:val="20"/>
                <w:szCs w:val="20"/>
                <w:color w:val="auto"/>
              </w:rPr>
              <w:t>Petersburg, Ky Gravel</w:t>
            </w:r>
          </w:p>
        </w:tc>
        <w:tc>
          <w:tcPr>
            <w:tcW w:w="900" w:type="dxa"/>
            <w:vAlign w:val="bottom"/>
          </w:tcPr>
          <w:p>
            <w:pPr>
              <w:jc w:val="right"/>
              <w:ind w:right="42"/>
              <w:spacing w:after="0"/>
              <w:rPr>
                <w:sz w:val="20"/>
                <w:szCs w:val="20"/>
                <w:color w:val="auto"/>
              </w:rPr>
            </w:pPr>
            <w:r>
              <w:rPr>
                <w:rFonts w:ascii="Arial" w:cs="Arial" w:eastAsia="Arial" w:hAnsi="Arial"/>
                <w:sz w:val="20"/>
                <w:szCs w:val="20"/>
                <w:color w:val="auto"/>
                <w:w w:val="95"/>
              </w:rPr>
              <w:t>1516895</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200" w:type="dxa"/>
            <w:vAlign w:val="bottom"/>
            <w:shd w:val="clear" w:color="auto" w:fill="CFF0FC"/>
          </w:tcPr>
          <w:p>
            <w:pPr>
              <w:spacing w:after="0"/>
              <w:rPr>
                <w:sz w:val="20"/>
                <w:szCs w:val="20"/>
                <w:color w:val="auto"/>
              </w:rPr>
            </w:pPr>
            <w:r>
              <w:rPr>
                <w:rFonts w:ascii="Arial" w:cs="Arial" w:eastAsia="Arial" w:hAnsi="Arial"/>
                <w:sz w:val="20"/>
                <w:szCs w:val="20"/>
                <w:color w:val="auto"/>
              </w:rPr>
              <w:t>Phillipsburg Quarry</w:t>
            </w:r>
          </w:p>
        </w:tc>
        <w:tc>
          <w:tcPr>
            <w:tcW w:w="90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w w:val="95"/>
              </w:rPr>
              <w:t>3300006</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200" w:type="dxa"/>
            <w:vAlign w:val="bottom"/>
          </w:tcPr>
          <w:p>
            <w:pPr>
              <w:spacing w:after="0"/>
              <w:rPr>
                <w:sz w:val="20"/>
                <w:szCs w:val="20"/>
                <w:color w:val="auto"/>
              </w:rPr>
            </w:pPr>
            <w:r>
              <w:rPr>
                <w:rFonts w:ascii="Arial" w:cs="Arial" w:eastAsia="Arial" w:hAnsi="Arial"/>
                <w:sz w:val="20"/>
                <w:szCs w:val="20"/>
                <w:color w:val="auto"/>
              </w:rPr>
              <w:t>Shamrock SG</w:t>
            </w:r>
          </w:p>
        </w:tc>
        <w:tc>
          <w:tcPr>
            <w:tcW w:w="900" w:type="dxa"/>
            <w:vAlign w:val="bottom"/>
          </w:tcPr>
          <w:p>
            <w:pPr>
              <w:jc w:val="right"/>
              <w:ind w:right="42"/>
              <w:spacing w:after="0"/>
              <w:rPr>
                <w:sz w:val="20"/>
                <w:szCs w:val="20"/>
                <w:color w:val="auto"/>
              </w:rPr>
            </w:pPr>
            <w:r>
              <w:rPr>
                <w:rFonts w:ascii="Arial" w:cs="Arial" w:eastAsia="Arial" w:hAnsi="Arial"/>
                <w:sz w:val="20"/>
                <w:szCs w:val="20"/>
                <w:color w:val="auto"/>
                <w:w w:val="95"/>
              </w:rPr>
              <w:t>3304011</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200" w:type="dxa"/>
            <w:vAlign w:val="bottom"/>
            <w:shd w:val="clear" w:color="auto" w:fill="CFF0FC"/>
          </w:tcPr>
          <w:p>
            <w:pPr>
              <w:spacing w:after="0"/>
              <w:rPr>
                <w:sz w:val="20"/>
                <w:szCs w:val="20"/>
                <w:color w:val="auto"/>
              </w:rPr>
            </w:pPr>
            <w:r>
              <w:rPr>
                <w:rFonts w:ascii="Arial" w:cs="Arial" w:eastAsia="Arial" w:hAnsi="Arial"/>
                <w:sz w:val="20"/>
                <w:szCs w:val="20"/>
                <w:color w:val="auto"/>
                <w:w w:val="92"/>
              </w:rPr>
              <w:t>Spring Valley Cook Rd SG</w:t>
            </w:r>
          </w:p>
        </w:tc>
        <w:tc>
          <w:tcPr>
            <w:tcW w:w="90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w w:val="95"/>
              </w:rPr>
              <w:t>3304534</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200" w:type="dxa"/>
            <w:vAlign w:val="bottom"/>
          </w:tcPr>
          <w:p>
            <w:pPr>
              <w:spacing w:after="0"/>
              <w:rPr>
                <w:sz w:val="20"/>
                <w:szCs w:val="20"/>
                <w:color w:val="auto"/>
              </w:rPr>
            </w:pPr>
            <w:r>
              <w:rPr>
                <w:rFonts w:ascii="Arial" w:cs="Arial" w:eastAsia="Arial" w:hAnsi="Arial"/>
                <w:sz w:val="20"/>
                <w:szCs w:val="20"/>
                <w:color w:val="auto"/>
              </w:rPr>
              <w:t>Troy Gravel</w:t>
            </w:r>
          </w:p>
        </w:tc>
        <w:tc>
          <w:tcPr>
            <w:tcW w:w="900" w:type="dxa"/>
            <w:vAlign w:val="bottom"/>
          </w:tcPr>
          <w:p>
            <w:pPr>
              <w:jc w:val="right"/>
              <w:ind w:right="42"/>
              <w:spacing w:after="0"/>
              <w:rPr>
                <w:sz w:val="20"/>
                <w:szCs w:val="20"/>
                <w:color w:val="auto"/>
              </w:rPr>
            </w:pPr>
            <w:r>
              <w:rPr>
                <w:rFonts w:ascii="Arial" w:cs="Arial" w:eastAsia="Arial" w:hAnsi="Arial"/>
                <w:sz w:val="20"/>
                <w:szCs w:val="20"/>
                <w:color w:val="auto"/>
                <w:w w:val="95"/>
              </w:rPr>
              <w:t>3301678</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200" w:type="dxa"/>
            <w:vAlign w:val="bottom"/>
            <w:shd w:val="clear" w:color="auto" w:fill="CFF0FC"/>
          </w:tcPr>
          <w:p>
            <w:pPr>
              <w:spacing w:after="0"/>
              <w:rPr>
                <w:sz w:val="20"/>
                <w:szCs w:val="20"/>
                <w:color w:val="auto"/>
              </w:rPr>
            </w:pPr>
            <w:r>
              <w:rPr>
                <w:rFonts w:ascii="Arial" w:cs="Arial" w:eastAsia="Arial" w:hAnsi="Arial"/>
                <w:sz w:val="20"/>
                <w:szCs w:val="20"/>
                <w:color w:val="auto"/>
              </w:rPr>
              <w:t>Waverly Sand</w:t>
            </w:r>
          </w:p>
        </w:tc>
        <w:tc>
          <w:tcPr>
            <w:tcW w:w="90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w w:val="95"/>
              </w:rPr>
              <w:t>1202038</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200" w:type="dxa"/>
            <w:vAlign w:val="bottom"/>
          </w:tcPr>
          <w:p>
            <w:pPr>
              <w:spacing w:after="0"/>
              <w:rPr>
                <w:sz w:val="20"/>
                <w:szCs w:val="20"/>
                <w:color w:val="auto"/>
              </w:rPr>
            </w:pPr>
            <w:r>
              <w:rPr>
                <w:rFonts w:ascii="Arial" w:cs="Arial" w:eastAsia="Arial" w:hAnsi="Arial"/>
                <w:sz w:val="20"/>
                <w:szCs w:val="20"/>
                <w:color w:val="auto"/>
              </w:rPr>
              <w:t>Xenia Gravel</w:t>
            </w:r>
          </w:p>
        </w:tc>
        <w:tc>
          <w:tcPr>
            <w:tcW w:w="900" w:type="dxa"/>
            <w:vAlign w:val="bottom"/>
          </w:tcPr>
          <w:p>
            <w:pPr>
              <w:jc w:val="right"/>
              <w:ind w:right="42"/>
              <w:spacing w:after="0"/>
              <w:rPr>
                <w:sz w:val="20"/>
                <w:szCs w:val="20"/>
                <w:color w:val="auto"/>
              </w:rPr>
            </w:pPr>
            <w:r>
              <w:rPr>
                <w:rFonts w:ascii="Arial" w:cs="Arial" w:eastAsia="Arial" w:hAnsi="Arial"/>
                <w:sz w:val="20"/>
                <w:szCs w:val="20"/>
                <w:color w:val="auto"/>
                <w:w w:val="95"/>
              </w:rPr>
              <w:t>3301393</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200" w:type="dxa"/>
            <w:vAlign w:val="bottom"/>
            <w:shd w:val="clear" w:color="auto" w:fill="CFF0FC"/>
          </w:tcPr>
          <w:p>
            <w:pPr>
              <w:spacing w:after="0"/>
              <w:rPr>
                <w:sz w:val="20"/>
                <w:szCs w:val="20"/>
                <w:color w:val="auto"/>
              </w:rPr>
            </w:pPr>
            <w:r>
              <w:rPr>
                <w:rFonts w:ascii="Arial" w:cs="Arial" w:eastAsia="Arial" w:hAnsi="Arial"/>
                <w:sz w:val="20"/>
                <w:szCs w:val="20"/>
                <w:color w:val="auto"/>
              </w:rPr>
              <w:t>Appling Quarry</w:t>
            </w:r>
          </w:p>
        </w:tc>
        <w:tc>
          <w:tcPr>
            <w:tcW w:w="90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901083</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200" w:type="dxa"/>
            <w:vAlign w:val="bottom"/>
          </w:tcPr>
          <w:p>
            <w:pPr>
              <w:spacing w:after="0"/>
              <w:rPr>
                <w:sz w:val="20"/>
                <w:szCs w:val="20"/>
                <w:color w:val="auto"/>
              </w:rPr>
            </w:pPr>
            <w:r>
              <w:rPr>
                <w:rFonts w:ascii="Arial" w:cs="Arial" w:eastAsia="Arial" w:hAnsi="Arial"/>
                <w:sz w:val="20"/>
                <w:szCs w:val="20"/>
                <w:color w:val="auto"/>
              </w:rPr>
              <w:t>Auburn Al Quarry</w:t>
            </w:r>
          </w:p>
        </w:tc>
        <w:tc>
          <w:tcPr>
            <w:tcW w:w="900" w:type="dxa"/>
            <w:vAlign w:val="bottom"/>
          </w:tcPr>
          <w:p>
            <w:pPr>
              <w:jc w:val="right"/>
              <w:ind w:right="42"/>
              <w:spacing w:after="0"/>
              <w:rPr>
                <w:sz w:val="20"/>
                <w:szCs w:val="20"/>
                <w:color w:val="auto"/>
              </w:rPr>
            </w:pPr>
            <w:r>
              <w:rPr>
                <w:rFonts w:ascii="Arial" w:cs="Arial" w:eastAsia="Arial" w:hAnsi="Arial"/>
                <w:sz w:val="20"/>
                <w:szCs w:val="20"/>
                <w:color w:val="auto"/>
              </w:rPr>
              <w:t>100006</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200" w:type="dxa"/>
            <w:vAlign w:val="bottom"/>
            <w:shd w:val="clear" w:color="auto" w:fill="CFF0FC"/>
          </w:tcPr>
          <w:p>
            <w:pPr>
              <w:spacing w:after="0"/>
              <w:rPr>
                <w:sz w:val="20"/>
                <w:szCs w:val="20"/>
                <w:color w:val="auto"/>
              </w:rPr>
            </w:pPr>
            <w:r>
              <w:rPr>
                <w:rFonts w:ascii="Arial" w:cs="Arial" w:eastAsia="Arial" w:hAnsi="Arial"/>
                <w:sz w:val="20"/>
                <w:szCs w:val="20"/>
                <w:color w:val="auto"/>
              </w:rPr>
              <w:t>Auburn, GA Quarry</w:t>
            </w:r>
          </w:p>
        </w:tc>
        <w:tc>
          <w:tcPr>
            <w:tcW w:w="90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900436</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200" w:type="dxa"/>
            <w:vAlign w:val="bottom"/>
          </w:tcPr>
          <w:p>
            <w:pPr>
              <w:spacing w:after="0"/>
              <w:rPr>
                <w:sz w:val="20"/>
                <w:szCs w:val="20"/>
                <w:color w:val="auto"/>
              </w:rPr>
            </w:pPr>
            <w:r>
              <w:rPr>
                <w:rFonts w:ascii="Arial" w:cs="Arial" w:eastAsia="Arial" w:hAnsi="Arial"/>
                <w:sz w:val="20"/>
                <w:szCs w:val="20"/>
                <w:color w:val="auto"/>
              </w:rPr>
              <w:t>Augusta, GA Quarry</w:t>
            </w:r>
          </w:p>
        </w:tc>
        <w:tc>
          <w:tcPr>
            <w:tcW w:w="900" w:type="dxa"/>
            <w:vAlign w:val="bottom"/>
          </w:tcPr>
          <w:p>
            <w:pPr>
              <w:jc w:val="right"/>
              <w:ind w:right="42"/>
              <w:spacing w:after="0"/>
              <w:rPr>
                <w:sz w:val="20"/>
                <w:szCs w:val="20"/>
                <w:color w:val="auto"/>
              </w:rPr>
            </w:pPr>
            <w:r>
              <w:rPr>
                <w:rFonts w:ascii="Arial" w:cs="Arial" w:eastAsia="Arial" w:hAnsi="Arial"/>
                <w:sz w:val="20"/>
                <w:szCs w:val="20"/>
                <w:color w:val="auto"/>
              </w:rPr>
              <w:t>900065</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705</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200" w:type="dxa"/>
            <w:vAlign w:val="bottom"/>
            <w:shd w:val="clear" w:color="auto" w:fill="CFF0FC"/>
          </w:tcPr>
          <w:p>
            <w:pPr>
              <w:spacing w:after="0"/>
              <w:rPr>
                <w:sz w:val="20"/>
                <w:szCs w:val="20"/>
                <w:color w:val="auto"/>
              </w:rPr>
            </w:pPr>
            <w:r>
              <w:rPr>
                <w:rFonts w:ascii="Arial" w:cs="Arial" w:eastAsia="Arial" w:hAnsi="Arial"/>
                <w:sz w:val="20"/>
                <w:szCs w:val="20"/>
                <w:color w:val="auto"/>
              </w:rPr>
              <w:t>Chattanooga Quarry</w:t>
            </w:r>
          </w:p>
        </w:tc>
        <w:tc>
          <w:tcPr>
            <w:tcW w:w="90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w w:val="95"/>
              </w:rPr>
              <w:t>4003159</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200" w:type="dxa"/>
            <w:vAlign w:val="bottom"/>
          </w:tcPr>
          <w:p>
            <w:pPr>
              <w:spacing w:after="0"/>
              <w:rPr>
                <w:sz w:val="20"/>
                <w:szCs w:val="20"/>
                <w:color w:val="auto"/>
              </w:rPr>
            </w:pPr>
            <w:r>
              <w:rPr>
                <w:rFonts w:ascii="Arial" w:cs="Arial" w:eastAsia="Arial" w:hAnsi="Arial"/>
                <w:sz w:val="20"/>
                <w:szCs w:val="20"/>
                <w:color w:val="auto"/>
              </w:rPr>
              <w:t>Forsyth Quarry</w:t>
            </w:r>
          </w:p>
        </w:tc>
        <w:tc>
          <w:tcPr>
            <w:tcW w:w="900" w:type="dxa"/>
            <w:vAlign w:val="bottom"/>
          </w:tcPr>
          <w:p>
            <w:pPr>
              <w:jc w:val="right"/>
              <w:ind w:right="42"/>
              <w:spacing w:after="0"/>
              <w:rPr>
                <w:sz w:val="20"/>
                <w:szCs w:val="20"/>
                <w:color w:val="auto"/>
              </w:rPr>
            </w:pPr>
            <w:r>
              <w:rPr>
                <w:rFonts w:ascii="Arial" w:cs="Arial" w:eastAsia="Arial" w:hAnsi="Arial"/>
                <w:sz w:val="20"/>
                <w:szCs w:val="20"/>
                <w:color w:val="auto"/>
              </w:rPr>
              <w:t>901035</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200" w:type="dxa"/>
            <w:vAlign w:val="bottom"/>
            <w:shd w:val="clear" w:color="auto" w:fill="CFF0FC"/>
          </w:tcPr>
          <w:p>
            <w:pPr>
              <w:spacing w:after="0"/>
              <w:rPr>
                <w:sz w:val="20"/>
                <w:szCs w:val="20"/>
                <w:color w:val="auto"/>
              </w:rPr>
            </w:pPr>
            <w:r>
              <w:rPr>
                <w:rFonts w:ascii="Arial" w:cs="Arial" w:eastAsia="Arial" w:hAnsi="Arial"/>
                <w:sz w:val="20"/>
                <w:szCs w:val="20"/>
                <w:color w:val="auto"/>
              </w:rPr>
              <w:t>Jefferson Quarry</w:t>
            </w:r>
          </w:p>
        </w:tc>
        <w:tc>
          <w:tcPr>
            <w:tcW w:w="90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901106</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200" w:type="dxa"/>
            <w:vAlign w:val="bottom"/>
          </w:tcPr>
          <w:p>
            <w:pPr>
              <w:spacing w:after="0"/>
              <w:rPr>
                <w:sz w:val="20"/>
                <w:szCs w:val="20"/>
                <w:color w:val="auto"/>
              </w:rPr>
            </w:pPr>
            <w:r>
              <w:rPr>
                <w:rFonts w:ascii="Arial" w:cs="Arial" w:eastAsia="Arial" w:hAnsi="Arial"/>
                <w:sz w:val="20"/>
                <w:szCs w:val="20"/>
                <w:color w:val="auto"/>
              </w:rPr>
              <w:t>Junction City Quarry</w:t>
            </w:r>
          </w:p>
        </w:tc>
        <w:tc>
          <w:tcPr>
            <w:tcW w:w="900" w:type="dxa"/>
            <w:vAlign w:val="bottom"/>
          </w:tcPr>
          <w:p>
            <w:pPr>
              <w:jc w:val="right"/>
              <w:ind w:right="42"/>
              <w:spacing w:after="0"/>
              <w:rPr>
                <w:sz w:val="20"/>
                <w:szCs w:val="20"/>
                <w:color w:val="auto"/>
              </w:rPr>
            </w:pPr>
            <w:r>
              <w:rPr>
                <w:rFonts w:ascii="Arial" w:cs="Arial" w:eastAsia="Arial" w:hAnsi="Arial"/>
                <w:sz w:val="20"/>
                <w:szCs w:val="20"/>
                <w:color w:val="auto"/>
              </w:rPr>
              <w:t>901029</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200" w:type="dxa"/>
            <w:vAlign w:val="bottom"/>
            <w:shd w:val="clear" w:color="auto" w:fill="CFF0FC"/>
          </w:tcPr>
          <w:p>
            <w:pPr>
              <w:spacing w:after="0"/>
              <w:rPr>
                <w:sz w:val="20"/>
                <w:szCs w:val="20"/>
                <w:color w:val="auto"/>
              </w:rPr>
            </w:pPr>
            <w:r>
              <w:rPr>
                <w:rFonts w:ascii="Arial" w:cs="Arial" w:eastAsia="Arial" w:hAnsi="Arial"/>
                <w:sz w:val="20"/>
                <w:szCs w:val="20"/>
                <w:color w:val="auto"/>
              </w:rPr>
              <w:t>Lithonia Quarry</w:t>
            </w:r>
          </w:p>
        </w:tc>
        <w:tc>
          <w:tcPr>
            <w:tcW w:w="90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900023</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200" w:type="dxa"/>
            <w:vAlign w:val="bottom"/>
          </w:tcPr>
          <w:p>
            <w:pPr>
              <w:spacing w:after="0"/>
              <w:rPr>
                <w:sz w:val="20"/>
                <w:szCs w:val="20"/>
                <w:color w:val="auto"/>
              </w:rPr>
            </w:pPr>
            <w:r>
              <w:rPr>
                <w:rFonts w:ascii="Arial" w:cs="Arial" w:eastAsia="Arial" w:hAnsi="Arial"/>
                <w:sz w:val="20"/>
                <w:szCs w:val="20"/>
                <w:color w:val="auto"/>
              </w:rPr>
              <w:t>Maylene Quarry</w:t>
            </w:r>
          </w:p>
        </w:tc>
        <w:tc>
          <w:tcPr>
            <w:tcW w:w="900" w:type="dxa"/>
            <w:vAlign w:val="bottom"/>
          </w:tcPr>
          <w:p>
            <w:pPr>
              <w:jc w:val="right"/>
              <w:ind w:right="42"/>
              <w:spacing w:after="0"/>
              <w:rPr>
                <w:sz w:val="20"/>
                <w:szCs w:val="20"/>
                <w:color w:val="auto"/>
              </w:rPr>
            </w:pPr>
            <w:r>
              <w:rPr>
                <w:rFonts w:ascii="Arial" w:cs="Arial" w:eastAsia="Arial" w:hAnsi="Arial"/>
                <w:sz w:val="20"/>
                <w:szCs w:val="20"/>
                <w:color w:val="auto"/>
              </w:rPr>
              <w:t>100634</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200" w:type="dxa"/>
            <w:vAlign w:val="bottom"/>
            <w:shd w:val="clear" w:color="auto" w:fill="CFF0FC"/>
          </w:tcPr>
          <w:p>
            <w:pPr>
              <w:spacing w:after="0"/>
              <w:rPr>
                <w:sz w:val="20"/>
                <w:szCs w:val="20"/>
                <w:color w:val="auto"/>
              </w:rPr>
            </w:pPr>
            <w:r>
              <w:rPr>
                <w:rFonts w:ascii="Arial" w:cs="Arial" w:eastAsia="Arial" w:hAnsi="Arial"/>
                <w:sz w:val="20"/>
                <w:szCs w:val="20"/>
                <w:color w:val="auto"/>
              </w:rPr>
              <w:t>Morgan County</w:t>
            </w:r>
          </w:p>
        </w:tc>
        <w:tc>
          <w:tcPr>
            <w:tcW w:w="90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901126</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200" w:type="dxa"/>
            <w:vAlign w:val="bottom"/>
          </w:tcPr>
          <w:p>
            <w:pPr>
              <w:spacing w:after="0"/>
              <w:rPr>
                <w:sz w:val="20"/>
                <w:szCs w:val="20"/>
                <w:color w:val="auto"/>
              </w:rPr>
            </w:pPr>
            <w:r>
              <w:rPr>
                <w:rFonts w:ascii="Arial" w:cs="Arial" w:eastAsia="Arial" w:hAnsi="Arial"/>
                <w:sz w:val="20"/>
                <w:szCs w:val="20"/>
                <w:color w:val="auto"/>
              </w:rPr>
              <w:t>Newton Quarry</w:t>
            </w:r>
          </w:p>
        </w:tc>
        <w:tc>
          <w:tcPr>
            <w:tcW w:w="900" w:type="dxa"/>
            <w:vAlign w:val="bottom"/>
          </w:tcPr>
          <w:p>
            <w:pPr>
              <w:jc w:val="right"/>
              <w:ind w:right="42"/>
              <w:spacing w:after="0"/>
              <w:rPr>
                <w:sz w:val="20"/>
                <w:szCs w:val="20"/>
                <w:color w:val="auto"/>
              </w:rPr>
            </w:pPr>
            <w:r>
              <w:rPr>
                <w:rFonts w:ascii="Arial" w:cs="Arial" w:eastAsia="Arial" w:hAnsi="Arial"/>
                <w:sz w:val="20"/>
                <w:szCs w:val="20"/>
                <w:color w:val="auto"/>
              </w:rPr>
              <w:t>900899</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118</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200" w:type="dxa"/>
            <w:vAlign w:val="bottom"/>
            <w:shd w:val="clear" w:color="auto" w:fill="CFF0FC"/>
          </w:tcPr>
          <w:p>
            <w:pPr>
              <w:spacing w:after="0"/>
              <w:rPr>
                <w:sz w:val="20"/>
                <w:szCs w:val="20"/>
                <w:color w:val="auto"/>
              </w:rPr>
            </w:pPr>
            <w:r>
              <w:rPr>
                <w:rFonts w:ascii="Arial" w:cs="Arial" w:eastAsia="Arial" w:hAnsi="Arial"/>
                <w:sz w:val="20"/>
                <w:szCs w:val="20"/>
                <w:color w:val="auto"/>
              </w:rPr>
              <w:t>O'Neal Plant  Co 19</w:t>
            </w:r>
          </w:p>
        </w:tc>
        <w:tc>
          <w:tcPr>
            <w:tcW w:w="90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103076</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756"/>
        </w:trPr>
        <w:tc>
          <w:tcPr>
            <w:tcW w:w="22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50"/>
        </w:trPr>
        <w:tc>
          <w:tcPr>
            <w:tcW w:w="1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gridSpan w:val="2"/>
          </w:tcPr>
          <w:p>
            <w:pPr>
              <w:ind w:left="20"/>
              <w:spacing w:after="0"/>
              <w:rPr>
                <w:sz w:val="20"/>
                <w:szCs w:val="20"/>
                <w:color w:val="auto"/>
              </w:rPr>
            </w:pPr>
            <w:r>
              <w:rPr>
                <w:rFonts w:ascii="Arial" w:cs="Arial" w:eastAsia="Arial" w:hAnsi="Arial"/>
                <w:sz w:val="20"/>
                <w:szCs w:val="20"/>
                <w:color w:val="auto"/>
                <w:w w:val="91"/>
              </w:rPr>
              <w:t>Appendix 1</w:t>
            </w:r>
          </w:p>
        </w:tc>
      </w:tr>
      <w:tr>
        <w:trPr>
          <w:trHeight w:val="464"/>
        </w:trPr>
        <w:tc>
          <w:tcPr>
            <w:tcW w:w="2120" w:type="dxa"/>
            <w:vAlign w:val="bottom"/>
            <w:gridSpan w:val="2"/>
          </w:tcPr>
          <w:p>
            <w:pPr>
              <w:spacing w:after="0"/>
              <w:rPr>
                <w:sz w:val="20"/>
                <w:szCs w:val="20"/>
                <w:color w:val="auto"/>
              </w:rPr>
            </w:pPr>
            <w:r>
              <w:rPr>
                <w:rFonts w:ascii="Arial" w:cs="Arial" w:eastAsia="Arial" w:hAnsi="Arial"/>
                <w:sz w:val="20"/>
                <w:szCs w:val="20"/>
                <w:color w:val="auto"/>
              </w:rPr>
              <w:t>Paulding Quarry</w:t>
            </w:r>
          </w:p>
        </w:tc>
        <w:tc>
          <w:tcPr>
            <w:tcW w:w="980" w:type="dxa"/>
            <w:vAlign w:val="bottom"/>
          </w:tcPr>
          <w:p>
            <w:pPr>
              <w:jc w:val="right"/>
              <w:ind w:right="42"/>
              <w:spacing w:after="0"/>
              <w:rPr>
                <w:sz w:val="20"/>
                <w:szCs w:val="20"/>
                <w:color w:val="auto"/>
              </w:rPr>
            </w:pPr>
            <w:r>
              <w:rPr>
                <w:rFonts w:ascii="Arial" w:cs="Arial" w:eastAsia="Arial" w:hAnsi="Arial"/>
                <w:sz w:val="20"/>
                <w:szCs w:val="20"/>
                <w:color w:val="auto"/>
              </w:rPr>
              <w:t>901107</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4"/>
                <w:szCs w:val="24"/>
                <w:color w:val="auto"/>
              </w:rPr>
            </w:pPr>
          </w:p>
        </w:tc>
      </w:tr>
      <w:tr>
        <w:trPr>
          <w:trHeight w:val="241"/>
        </w:trPr>
        <w:tc>
          <w:tcPr>
            <w:tcW w:w="1200" w:type="dxa"/>
            <w:vAlign w:val="bottom"/>
            <w:shd w:val="clear" w:color="auto" w:fill="CFF0FC"/>
          </w:tcPr>
          <w:p>
            <w:pPr>
              <w:spacing w:after="0"/>
              <w:rPr>
                <w:sz w:val="20"/>
                <w:szCs w:val="20"/>
                <w:color w:val="auto"/>
              </w:rPr>
            </w:pPr>
            <w:r>
              <w:rPr>
                <w:rFonts w:ascii="Arial" w:cs="Arial" w:eastAsia="Arial" w:hAnsi="Arial"/>
                <w:sz w:val="20"/>
                <w:szCs w:val="20"/>
                <w:color w:val="auto"/>
              </w:rPr>
              <w:t>Perry Quarry</w:t>
            </w:r>
          </w:p>
        </w:tc>
        <w:tc>
          <w:tcPr>
            <w:tcW w:w="92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801083</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120" w:type="dxa"/>
            <w:vAlign w:val="bottom"/>
            <w:gridSpan w:val="2"/>
          </w:tcPr>
          <w:p>
            <w:pPr>
              <w:spacing w:after="0"/>
              <w:rPr>
                <w:sz w:val="20"/>
                <w:szCs w:val="20"/>
                <w:color w:val="auto"/>
              </w:rPr>
            </w:pPr>
            <w:r>
              <w:rPr>
                <w:rFonts w:ascii="Arial" w:cs="Arial" w:eastAsia="Arial" w:hAnsi="Arial"/>
                <w:sz w:val="20"/>
                <w:szCs w:val="20"/>
                <w:color w:val="auto"/>
              </w:rPr>
              <w:t>Red Oak Quarry</w:t>
            </w:r>
          </w:p>
        </w:tc>
        <w:tc>
          <w:tcPr>
            <w:tcW w:w="980" w:type="dxa"/>
            <w:vAlign w:val="bottom"/>
          </w:tcPr>
          <w:p>
            <w:pPr>
              <w:jc w:val="right"/>
              <w:ind w:right="42"/>
              <w:spacing w:after="0"/>
              <w:rPr>
                <w:sz w:val="20"/>
                <w:szCs w:val="20"/>
                <w:color w:val="auto"/>
              </w:rPr>
            </w:pPr>
            <w:r>
              <w:rPr>
                <w:rFonts w:ascii="Arial" w:cs="Arial" w:eastAsia="Arial" w:hAnsi="Arial"/>
                <w:sz w:val="20"/>
                <w:szCs w:val="20"/>
                <w:color w:val="auto"/>
              </w:rPr>
              <w:t>900069</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118</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1200" w:type="dxa"/>
            <w:vAlign w:val="bottom"/>
            <w:shd w:val="clear" w:color="auto" w:fill="CFF0FC"/>
          </w:tcPr>
          <w:p>
            <w:pPr>
              <w:spacing w:after="0"/>
              <w:rPr>
                <w:sz w:val="20"/>
                <w:szCs w:val="20"/>
                <w:color w:val="auto"/>
              </w:rPr>
            </w:pPr>
            <w:r>
              <w:rPr>
                <w:rFonts w:ascii="Arial" w:cs="Arial" w:eastAsia="Arial" w:hAnsi="Arial"/>
                <w:sz w:val="20"/>
                <w:szCs w:val="20"/>
                <w:color w:val="auto"/>
              </w:rPr>
              <w:t>Ruby Quarry</w:t>
            </w:r>
          </w:p>
        </w:tc>
        <w:tc>
          <w:tcPr>
            <w:tcW w:w="92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900074</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120" w:type="dxa"/>
            <w:vAlign w:val="bottom"/>
            <w:gridSpan w:val="2"/>
          </w:tcPr>
          <w:p>
            <w:pPr>
              <w:spacing w:after="0"/>
              <w:rPr>
                <w:sz w:val="20"/>
                <w:szCs w:val="20"/>
                <w:color w:val="auto"/>
              </w:rPr>
            </w:pPr>
            <w:r>
              <w:rPr>
                <w:rFonts w:ascii="Arial" w:cs="Arial" w:eastAsia="Arial" w:hAnsi="Arial"/>
                <w:sz w:val="20"/>
                <w:szCs w:val="20"/>
                <w:color w:val="auto"/>
              </w:rPr>
              <w:t>Six Mile Quarry</w:t>
            </w:r>
          </w:p>
        </w:tc>
        <w:tc>
          <w:tcPr>
            <w:tcW w:w="980" w:type="dxa"/>
            <w:vAlign w:val="bottom"/>
          </w:tcPr>
          <w:p>
            <w:pPr>
              <w:jc w:val="right"/>
              <w:ind w:right="42"/>
              <w:spacing w:after="0"/>
              <w:rPr>
                <w:sz w:val="20"/>
                <w:szCs w:val="20"/>
                <w:color w:val="auto"/>
              </w:rPr>
            </w:pPr>
            <w:r>
              <w:rPr>
                <w:rFonts w:ascii="Arial" w:cs="Arial" w:eastAsia="Arial" w:hAnsi="Arial"/>
                <w:sz w:val="20"/>
                <w:szCs w:val="20"/>
                <w:color w:val="auto"/>
              </w:rPr>
              <w:t>901144</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1200" w:type="dxa"/>
            <w:vAlign w:val="bottom"/>
            <w:shd w:val="clear" w:color="auto" w:fill="CFF0FC"/>
          </w:tcPr>
          <w:p>
            <w:pPr>
              <w:spacing w:after="0"/>
              <w:rPr>
                <w:sz w:val="20"/>
                <w:szCs w:val="20"/>
                <w:color w:val="auto"/>
              </w:rPr>
            </w:pPr>
            <w:r>
              <w:rPr>
                <w:rFonts w:ascii="Arial" w:cs="Arial" w:eastAsia="Arial" w:hAnsi="Arial"/>
                <w:sz w:val="20"/>
                <w:szCs w:val="20"/>
                <w:color w:val="auto"/>
                <w:w w:val="91"/>
              </w:rPr>
              <w:t>Tyrone Quarry</w:t>
            </w:r>
          </w:p>
        </w:tc>
        <w:tc>
          <w:tcPr>
            <w:tcW w:w="92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900306</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1200" w:type="dxa"/>
            <w:vAlign w:val="bottom"/>
          </w:tcPr>
          <w:p>
            <w:pPr>
              <w:spacing w:after="0"/>
              <w:rPr>
                <w:sz w:val="20"/>
                <w:szCs w:val="20"/>
                <w:color w:val="auto"/>
              </w:rPr>
            </w:pPr>
            <w:r>
              <w:rPr>
                <w:rFonts w:ascii="Arial" w:cs="Arial" w:eastAsia="Arial" w:hAnsi="Arial"/>
                <w:sz w:val="20"/>
                <w:szCs w:val="20"/>
                <w:color w:val="auto"/>
                <w:w w:val="95"/>
              </w:rPr>
              <w:t>Vance Quarry</w:t>
            </w:r>
          </w:p>
        </w:tc>
        <w:tc>
          <w:tcPr>
            <w:tcW w:w="920" w:type="dxa"/>
            <w:vAlign w:val="bottom"/>
          </w:tcPr>
          <w:p>
            <w:pPr>
              <w:ind w:left="40"/>
              <w:spacing w:after="0"/>
              <w:rPr>
                <w:sz w:val="20"/>
                <w:szCs w:val="20"/>
                <w:color w:val="auto"/>
              </w:rPr>
            </w:pPr>
            <w:r>
              <w:rPr>
                <w:rFonts w:ascii="Arial" w:cs="Arial" w:eastAsia="Arial" w:hAnsi="Arial"/>
                <w:sz w:val="20"/>
                <w:szCs w:val="20"/>
                <w:color w:val="auto"/>
              </w:rPr>
              <w:t>Co 19</w:t>
            </w:r>
          </w:p>
        </w:tc>
        <w:tc>
          <w:tcPr>
            <w:tcW w:w="980" w:type="dxa"/>
            <w:vAlign w:val="bottom"/>
          </w:tcPr>
          <w:p>
            <w:pPr>
              <w:jc w:val="right"/>
              <w:ind w:right="42"/>
              <w:spacing w:after="0"/>
              <w:rPr>
                <w:sz w:val="20"/>
                <w:szCs w:val="20"/>
                <w:color w:val="auto"/>
              </w:rPr>
            </w:pPr>
            <w:r>
              <w:rPr>
                <w:rFonts w:ascii="Arial" w:cs="Arial" w:eastAsia="Arial" w:hAnsi="Arial"/>
                <w:sz w:val="20"/>
                <w:szCs w:val="20"/>
                <w:color w:val="auto"/>
              </w:rPr>
              <w:t>103022</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12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Warrenton Quarry</w:t>
            </w:r>
          </w:p>
        </w:tc>
        <w:tc>
          <w:tcPr>
            <w:tcW w:w="98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900580</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120" w:type="dxa"/>
            <w:vAlign w:val="bottom"/>
            <w:gridSpan w:val="2"/>
          </w:tcPr>
          <w:p>
            <w:pPr>
              <w:spacing w:after="0"/>
              <w:rPr>
                <w:sz w:val="20"/>
                <w:szCs w:val="20"/>
                <w:color w:val="auto"/>
              </w:rPr>
            </w:pPr>
            <w:r>
              <w:rPr>
                <w:rFonts w:ascii="Arial" w:cs="Arial" w:eastAsia="Arial" w:hAnsi="Arial"/>
                <w:sz w:val="20"/>
                <w:szCs w:val="20"/>
                <w:color w:val="auto"/>
                <w:w w:val="99"/>
              </w:rPr>
              <w:t>Alden Portable Plant #1</w:t>
            </w:r>
          </w:p>
        </w:tc>
        <w:tc>
          <w:tcPr>
            <w:tcW w:w="980" w:type="dxa"/>
            <w:vAlign w:val="bottom"/>
          </w:tcPr>
          <w:p>
            <w:pPr>
              <w:jc w:val="right"/>
              <w:ind w:right="42"/>
              <w:spacing w:after="0"/>
              <w:rPr>
                <w:sz w:val="20"/>
                <w:szCs w:val="20"/>
                <w:color w:val="auto"/>
              </w:rPr>
            </w:pPr>
            <w:r>
              <w:rPr>
                <w:rFonts w:ascii="Arial" w:cs="Arial" w:eastAsia="Arial" w:hAnsi="Arial"/>
                <w:sz w:val="20"/>
                <w:szCs w:val="20"/>
                <w:color w:val="auto"/>
              </w:rPr>
              <w:t>1302031</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120" w:type="dxa"/>
            <w:vAlign w:val="bottom"/>
            <w:gridSpan w:val="2"/>
            <w:shd w:val="clear" w:color="auto" w:fill="CFF0FC"/>
          </w:tcPr>
          <w:p>
            <w:pPr>
              <w:spacing w:after="0"/>
              <w:rPr>
                <w:sz w:val="20"/>
                <w:szCs w:val="20"/>
                <w:color w:val="auto"/>
              </w:rPr>
            </w:pPr>
            <w:r>
              <w:rPr>
                <w:rFonts w:ascii="Arial" w:cs="Arial" w:eastAsia="Arial" w:hAnsi="Arial"/>
                <w:sz w:val="20"/>
                <w:szCs w:val="20"/>
                <w:color w:val="auto"/>
                <w:w w:val="99"/>
              </w:rPr>
              <w:t>Alden Portable Plant #2</w:t>
            </w:r>
          </w:p>
        </w:tc>
        <w:tc>
          <w:tcPr>
            <w:tcW w:w="98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1302033</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118</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120" w:type="dxa"/>
            <w:vAlign w:val="bottom"/>
            <w:gridSpan w:val="2"/>
          </w:tcPr>
          <w:p>
            <w:pPr>
              <w:spacing w:after="0"/>
              <w:rPr>
                <w:sz w:val="20"/>
                <w:szCs w:val="20"/>
                <w:color w:val="auto"/>
              </w:rPr>
            </w:pPr>
            <w:r>
              <w:rPr>
                <w:rFonts w:ascii="Arial" w:cs="Arial" w:eastAsia="Arial" w:hAnsi="Arial"/>
                <w:sz w:val="20"/>
                <w:szCs w:val="20"/>
                <w:color w:val="auto"/>
              </w:rPr>
              <w:t>Alden Portable Sand</w:t>
            </w:r>
          </w:p>
        </w:tc>
        <w:tc>
          <w:tcPr>
            <w:tcW w:w="980" w:type="dxa"/>
            <w:vAlign w:val="bottom"/>
          </w:tcPr>
          <w:p>
            <w:pPr>
              <w:jc w:val="right"/>
              <w:ind w:right="42"/>
              <w:spacing w:after="0"/>
              <w:rPr>
                <w:sz w:val="20"/>
                <w:szCs w:val="20"/>
                <w:color w:val="auto"/>
              </w:rPr>
            </w:pPr>
            <w:r>
              <w:rPr>
                <w:rFonts w:ascii="Arial" w:cs="Arial" w:eastAsia="Arial" w:hAnsi="Arial"/>
                <w:sz w:val="20"/>
                <w:szCs w:val="20"/>
                <w:color w:val="auto"/>
              </w:rPr>
              <w:t>1302037</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1200" w:type="dxa"/>
            <w:vAlign w:val="bottom"/>
            <w:shd w:val="clear" w:color="auto" w:fill="CFF0FC"/>
          </w:tcPr>
          <w:p>
            <w:pPr>
              <w:spacing w:after="0"/>
              <w:rPr>
                <w:sz w:val="20"/>
                <w:szCs w:val="20"/>
                <w:color w:val="auto"/>
              </w:rPr>
            </w:pPr>
            <w:r>
              <w:rPr>
                <w:rFonts w:ascii="Arial" w:cs="Arial" w:eastAsia="Arial" w:hAnsi="Arial"/>
                <w:sz w:val="20"/>
                <w:szCs w:val="20"/>
                <w:color w:val="auto"/>
              </w:rPr>
              <w:t>Alden Quarry</w:t>
            </w:r>
          </w:p>
        </w:tc>
        <w:tc>
          <w:tcPr>
            <w:tcW w:w="92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1300228</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2</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840</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1200" w:type="dxa"/>
            <w:vAlign w:val="bottom"/>
          </w:tcPr>
          <w:p>
            <w:pPr>
              <w:spacing w:after="0"/>
              <w:rPr>
                <w:sz w:val="20"/>
                <w:szCs w:val="20"/>
                <w:color w:val="auto"/>
              </w:rPr>
            </w:pPr>
            <w:r>
              <w:rPr>
                <w:rFonts w:ascii="Arial" w:cs="Arial" w:eastAsia="Arial" w:hAnsi="Arial"/>
                <w:sz w:val="20"/>
                <w:szCs w:val="20"/>
                <w:color w:val="auto"/>
              </w:rPr>
              <w:t>Ames Mine</w:t>
            </w:r>
          </w:p>
        </w:tc>
        <w:tc>
          <w:tcPr>
            <w:tcW w:w="920" w:type="dxa"/>
            <w:vAlign w:val="bottom"/>
          </w:tcPr>
          <w:p>
            <w:pPr>
              <w:spacing w:after="0"/>
              <w:rPr>
                <w:sz w:val="20"/>
                <w:szCs w:val="20"/>
                <w:color w:val="auto"/>
              </w:rPr>
            </w:pPr>
          </w:p>
        </w:tc>
        <w:tc>
          <w:tcPr>
            <w:tcW w:w="980" w:type="dxa"/>
            <w:vAlign w:val="bottom"/>
          </w:tcPr>
          <w:p>
            <w:pPr>
              <w:jc w:val="right"/>
              <w:ind w:right="42"/>
              <w:spacing w:after="0"/>
              <w:rPr>
                <w:sz w:val="20"/>
                <w:szCs w:val="20"/>
                <w:color w:val="auto"/>
              </w:rPr>
            </w:pPr>
            <w:r>
              <w:rPr>
                <w:rFonts w:ascii="Arial" w:cs="Arial" w:eastAsia="Arial" w:hAnsi="Arial"/>
                <w:sz w:val="20"/>
                <w:szCs w:val="20"/>
                <w:color w:val="auto"/>
              </w:rPr>
              <w:t>1300014</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351</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12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Cedar Rapids Quarry</w:t>
            </w:r>
          </w:p>
        </w:tc>
        <w:tc>
          <w:tcPr>
            <w:tcW w:w="98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1300122</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1</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343</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120" w:type="dxa"/>
            <w:vAlign w:val="bottom"/>
            <w:gridSpan w:val="2"/>
          </w:tcPr>
          <w:p>
            <w:pPr>
              <w:spacing w:after="0"/>
              <w:rPr>
                <w:sz w:val="20"/>
                <w:szCs w:val="20"/>
                <w:color w:val="auto"/>
              </w:rPr>
            </w:pPr>
            <w:r>
              <w:rPr>
                <w:rFonts w:ascii="Arial" w:cs="Arial" w:eastAsia="Arial" w:hAnsi="Arial"/>
                <w:sz w:val="20"/>
                <w:szCs w:val="20"/>
                <w:color w:val="auto"/>
              </w:rPr>
              <w:t>Des Moines Portable</w:t>
            </w:r>
          </w:p>
        </w:tc>
        <w:tc>
          <w:tcPr>
            <w:tcW w:w="980" w:type="dxa"/>
            <w:vAlign w:val="bottom"/>
          </w:tcPr>
          <w:p>
            <w:pPr>
              <w:jc w:val="right"/>
              <w:ind w:right="42"/>
              <w:spacing w:after="0"/>
              <w:rPr>
                <w:sz w:val="20"/>
                <w:szCs w:val="20"/>
                <w:color w:val="auto"/>
              </w:rPr>
            </w:pPr>
            <w:r>
              <w:rPr>
                <w:rFonts w:ascii="Arial" w:cs="Arial" w:eastAsia="Arial" w:hAnsi="Arial"/>
                <w:sz w:val="20"/>
                <w:szCs w:val="20"/>
                <w:color w:val="auto"/>
              </w:rPr>
              <w:t>1300150</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726</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2"/>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0"/>
                <w:szCs w:val="20"/>
                <w:color w:val="auto"/>
              </w:rPr>
            </w:pPr>
          </w:p>
        </w:tc>
      </w:tr>
      <w:tr>
        <w:trPr>
          <w:trHeight w:val="241"/>
        </w:trPr>
        <w:tc>
          <w:tcPr>
            <w:tcW w:w="1200" w:type="dxa"/>
            <w:vAlign w:val="bottom"/>
            <w:shd w:val="clear" w:color="auto" w:fill="CFF0FC"/>
          </w:tcPr>
          <w:p>
            <w:pPr>
              <w:spacing w:after="0"/>
              <w:rPr>
                <w:sz w:val="20"/>
                <w:szCs w:val="20"/>
                <w:color w:val="auto"/>
              </w:rPr>
            </w:pPr>
            <w:r>
              <w:rPr>
                <w:rFonts w:ascii="Arial" w:cs="Arial" w:eastAsia="Arial" w:hAnsi="Arial"/>
                <w:sz w:val="20"/>
                <w:szCs w:val="20"/>
                <w:color w:val="auto"/>
                <w:w w:val="91"/>
              </w:rPr>
              <w:t>Dubois Quarry</w:t>
            </w:r>
          </w:p>
        </w:tc>
        <w:tc>
          <w:tcPr>
            <w:tcW w:w="92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2501046</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118</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2</w:t>
            </w:r>
          </w:p>
        </w:tc>
        <w:tc>
          <w:tcPr>
            <w:tcW w:w="20" w:type="dxa"/>
            <w:vAlign w:val="bottom"/>
          </w:tcPr>
          <w:p>
            <w:pPr>
              <w:spacing w:after="0"/>
              <w:rPr>
                <w:sz w:val="20"/>
                <w:szCs w:val="20"/>
                <w:color w:val="auto"/>
              </w:rPr>
            </w:pPr>
          </w:p>
        </w:tc>
      </w:tr>
      <w:tr>
        <w:trPr>
          <w:trHeight w:val="241"/>
        </w:trPr>
        <w:tc>
          <w:tcPr>
            <w:tcW w:w="1200" w:type="dxa"/>
            <w:vAlign w:val="bottom"/>
          </w:tcPr>
          <w:p>
            <w:pPr>
              <w:spacing w:after="0"/>
              <w:rPr>
                <w:sz w:val="20"/>
                <w:szCs w:val="20"/>
                <w:color w:val="auto"/>
              </w:rPr>
            </w:pPr>
            <w:r>
              <w:rPr>
                <w:rFonts w:ascii="Arial" w:cs="Arial" w:eastAsia="Arial" w:hAnsi="Arial"/>
                <w:sz w:val="20"/>
                <w:szCs w:val="20"/>
                <w:color w:val="auto"/>
                <w:w w:val="98"/>
              </w:rPr>
              <w:t>Durham Mine</w:t>
            </w:r>
          </w:p>
        </w:tc>
        <w:tc>
          <w:tcPr>
            <w:tcW w:w="920" w:type="dxa"/>
            <w:vAlign w:val="bottom"/>
          </w:tcPr>
          <w:p>
            <w:pPr>
              <w:spacing w:after="0"/>
              <w:rPr>
                <w:sz w:val="20"/>
                <w:szCs w:val="20"/>
                <w:color w:val="auto"/>
              </w:rPr>
            </w:pPr>
          </w:p>
        </w:tc>
        <w:tc>
          <w:tcPr>
            <w:tcW w:w="980" w:type="dxa"/>
            <w:vAlign w:val="bottom"/>
          </w:tcPr>
          <w:p>
            <w:pPr>
              <w:jc w:val="right"/>
              <w:ind w:right="42"/>
              <w:spacing w:after="0"/>
              <w:rPr>
                <w:sz w:val="20"/>
                <w:szCs w:val="20"/>
                <w:color w:val="auto"/>
              </w:rPr>
            </w:pPr>
            <w:r>
              <w:rPr>
                <w:rFonts w:ascii="Arial" w:cs="Arial" w:eastAsia="Arial" w:hAnsi="Arial"/>
                <w:sz w:val="20"/>
                <w:szCs w:val="20"/>
                <w:color w:val="auto"/>
              </w:rPr>
              <w:t>1301225</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w w:val="87"/>
              </w:rPr>
              <w:t>1,683</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3100" w:type="dxa"/>
            <w:vAlign w:val="bottom"/>
            <w:gridSpan w:val="3"/>
            <w:shd w:val="clear" w:color="auto" w:fill="CFF0FC"/>
          </w:tcPr>
          <w:p>
            <w:pPr>
              <w:spacing w:after="0"/>
              <w:rPr>
                <w:sz w:val="20"/>
                <w:szCs w:val="20"/>
                <w:color w:val="auto"/>
              </w:rPr>
            </w:pPr>
            <w:r>
              <w:rPr>
                <w:rFonts w:ascii="Arial" w:cs="Arial" w:eastAsia="Arial" w:hAnsi="Arial"/>
                <w:sz w:val="20"/>
                <w:szCs w:val="20"/>
                <w:color w:val="auto"/>
                <w:w w:val="93"/>
              </w:rPr>
              <w:t>Plant 862 (Earlham Quarry) 1302123</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336</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120" w:type="dxa"/>
            <w:vAlign w:val="bottom"/>
            <w:gridSpan w:val="2"/>
          </w:tcPr>
          <w:p>
            <w:pPr>
              <w:spacing w:after="0"/>
              <w:rPr>
                <w:sz w:val="20"/>
                <w:szCs w:val="20"/>
                <w:color w:val="auto"/>
              </w:rPr>
            </w:pPr>
            <w:r>
              <w:rPr>
                <w:rFonts w:ascii="Arial" w:cs="Arial" w:eastAsia="Arial" w:hAnsi="Arial"/>
                <w:sz w:val="20"/>
                <w:szCs w:val="20"/>
                <w:color w:val="auto"/>
              </w:rPr>
              <w:t>Ferguson Quarry</w:t>
            </w:r>
          </w:p>
        </w:tc>
        <w:tc>
          <w:tcPr>
            <w:tcW w:w="980" w:type="dxa"/>
            <w:vAlign w:val="bottom"/>
          </w:tcPr>
          <w:p>
            <w:pPr>
              <w:jc w:val="right"/>
              <w:ind w:right="42"/>
              <w:spacing w:after="0"/>
              <w:rPr>
                <w:sz w:val="20"/>
                <w:szCs w:val="20"/>
                <w:color w:val="auto"/>
              </w:rPr>
            </w:pPr>
            <w:r>
              <w:rPr>
                <w:rFonts w:ascii="Arial" w:cs="Arial" w:eastAsia="Arial" w:hAnsi="Arial"/>
                <w:sz w:val="20"/>
                <w:szCs w:val="20"/>
                <w:color w:val="auto"/>
              </w:rPr>
              <w:t>1300124</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12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Fort Calhoun Quarry</w:t>
            </w:r>
          </w:p>
        </w:tc>
        <w:tc>
          <w:tcPr>
            <w:tcW w:w="98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2500006</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236</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120" w:type="dxa"/>
            <w:vAlign w:val="bottom"/>
            <w:gridSpan w:val="2"/>
          </w:tcPr>
          <w:p>
            <w:pPr>
              <w:spacing w:after="0"/>
              <w:rPr>
                <w:sz w:val="20"/>
                <w:szCs w:val="20"/>
                <w:color w:val="auto"/>
              </w:rPr>
            </w:pPr>
            <w:r>
              <w:rPr>
                <w:rFonts w:ascii="Arial" w:cs="Arial" w:eastAsia="Arial" w:hAnsi="Arial"/>
                <w:sz w:val="20"/>
                <w:szCs w:val="20"/>
                <w:color w:val="auto"/>
              </w:rPr>
              <w:t>Fort Calhoun UG</w:t>
            </w:r>
          </w:p>
        </w:tc>
        <w:tc>
          <w:tcPr>
            <w:tcW w:w="980" w:type="dxa"/>
            <w:vAlign w:val="bottom"/>
          </w:tcPr>
          <w:p>
            <w:pPr>
              <w:jc w:val="right"/>
              <w:ind w:right="42"/>
              <w:spacing w:after="0"/>
              <w:rPr>
                <w:sz w:val="20"/>
                <w:szCs w:val="20"/>
                <w:color w:val="auto"/>
              </w:rPr>
            </w:pPr>
            <w:r>
              <w:rPr>
                <w:rFonts w:ascii="Arial" w:cs="Arial" w:eastAsia="Arial" w:hAnsi="Arial"/>
                <w:sz w:val="20"/>
                <w:szCs w:val="20"/>
                <w:color w:val="auto"/>
              </w:rPr>
              <w:t>2501300</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12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Fort Dodge Mine</w:t>
            </w:r>
          </w:p>
        </w:tc>
        <w:tc>
          <w:tcPr>
            <w:tcW w:w="98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1300032</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4</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w w:val="87"/>
              </w:rPr>
              <w:t>4,380</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1</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120" w:type="dxa"/>
            <w:vAlign w:val="bottom"/>
            <w:gridSpan w:val="2"/>
          </w:tcPr>
          <w:p>
            <w:pPr>
              <w:spacing w:after="0"/>
              <w:rPr>
                <w:sz w:val="20"/>
                <w:szCs w:val="20"/>
                <w:color w:val="auto"/>
              </w:rPr>
            </w:pPr>
            <w:r>
              <w:rPr>
                <w:rFonts w:ascii="Arial" w:cs="Arial" w:eastAsia="Arial" w:hAnsi="Arial"/>
                <w:sz w:val="20"/>
                <w:szCs w:val="20"/>
                <w:color w:val="auto"/>
                <w:w w:val="97"/>
              </w:rPr>
              <w:t>Greenwood Quarry New</w:t>
            </w:r>
          </w:p>
        </w:tc>
        <w:tc>
          <w:tcPr>
            <w:tcW w:w="980" w:type="dxa"/>
            <w:vAlign w:val="bottom"/>
          </w:tcPr>
          <w:p>
            <w:pPr>
              <w:jc w:val="right"/>
              <w:ind w:right="42"/>
              <w:spacing w:after="0"/>
              <w:rPr>
                <w:sz w:val="20"/>
                <w:szCs w:val="20"/>
                <w:color w:val="auto"/>
              </w:rPr>
            </w:pPr>
            <w:r>
              <w:rPr>
                <w:rFonts w:ascii="Arial" w:cs="Arial" w:eastAsia="Arial" w:hAnsi="Arial"/>
                <w:sz w:val="20"/>
                <w:szCs w:val="20"/>
                <w:color w:val="auto"/>
              </w:rPr>
              <w:t>2300141</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1</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12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Inactive Iowa Grading</w:t>
            </w:r>
          </w:p>
        </w:tc>
        <w:tc>
          <w:tcPr>
            <w:tcW w:w="98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1302126</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1200" w:type="dxa"/>
            <w:vAlign w:val="bottom"/>
          </w:tcPr>
          <w:p>
            <w:pPr>
              <w:spacing w:after="0"/>
              <w:rPr>
                <w:sz w:val="20"/>
                <w:szCs w:val="20"/>
                <w:color w:val="auto"/>
              </w:rPr>
            </w:pPr>
            <w:r>
              <w:rPr>
                <w:rFonts w:ascii="Arial" w:cs="Arial" w:eastAsia="Arial" w:hAnsi="Arial"/>
                <w:sz w:val="20"/>
                <w:szCs w:val="20"/>
                <w:color w:val="auto"/>
                <w:w w:val="99"/>
              </w:rPr>
              <w:t>Iowa Grading</w:t>
            </w:r>
          </w:p>
        </w:tc>
        <w:tc>
          <w:tcPr>
            <w:tcW w:w="920" w:type="dxa"/>
            <w:vAlign w:val="bottom"/>
          </w:tcPr>
          <w:p>
            <w:pPr>
              <w:spacing w:after="0"/>
              <w:rPr>
                <w:sz w:val="20"/>
                <w:szCs w:val="20"/>
                <w:color w:val="auto"/>
              </w:rPr>
            </w:pPr>
          </w:p>
        </w:tc>
        <w:tc>
          <w:tcPr>
            <w:tcW w:w="980" w:type="dxa"/>
            <w:vAlign w:val="bottom"/>
          </w:tcPr>
          <w:p>
            <w:pPr>
              <w:jc w:val="right"/>
              <w:ind w:right="42"/>
              <w:spacing w:after="0"/>
              <w:rPr>
                <w:sz w:val="20"/>
                <w:szCs w:val="20"/>
                <w:color w:val="auto"/>
              </w:rPr>
            </w:pPr>
            <w:r>
              <w:rPr>
                <w:rFonts w:ascii="Arial" w:cs="Arial" w:eastAsia="Arial" w:hAnsi="Arial"/>
                <w:sz w:val="20"/>
                <w:szCs w:val="20"/>
                <w:color w:val="auto"/>
              </w:rPr>
              <w:t>1302316</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12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Linn County Sand</w:t>
            </w:r>
          </w:p>
        </w:tc>
        <w:tc>
          <w:tcPr>
            <w:tcW w:w="98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1302208</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1200" w:type="dxa"/>
            <w:vAlign w:val="bottom"/>
          </w:tcPr>
          <w:p>
            <w:pPr>
              <w:spacing w:after="0"/>
              <w:rPr>
                <w:sz w:val="20"/>
                <w:szCs w:val="20"/>
                <w:color w:val="auto"/>
              </w:rPr>
            </w:pPr>
            <w:r>
              <w:rPr>
                <w:rFonts w:ascii="Arial" w:cs="Arial" w:eastAsia="Arial" w:hAnsi="Arial"/>
                <w:sz w:val="20"/>
                <w:szCs w:val="20"/>
                <w:color w:val="auto"/>
                <w:w w:val="99"/>
              </w:rPr>
              <w:t>Malcom Mine</w:t>
            </w:r>
          </w:p>
        </w:tc>
        <w:tc>
          <w:tcPr>
            <w:tcW w:w="920" w:type="dxa"/>
            <w:vAlign w:val="bottom"/>
          </w:tcPr>
          <w:p>
            <w:pPr>
              <w:spacing w:after="0"/>
              <w:rPr>
                <w:sz w:val="20"/>
                <w:szCs w:val="20"/>
                <w:color w:val="auto"/>
              </w:rPr>
            </w:pPr>
          </w:p>
        </w:tc>
        <w:tc>
          <w:tcPr>
            <w:tcW w:w="980" w:type="dxa"/>
            <w:vAlign w:val="bottom"/>
          </w:tcPr>
          <w:p>
            <w:pPr>
              <w:jc w:val="right"/>
              <w:ind w:right="42"/>
              <w:spacing w:after="0"/>
              <w:rPr>
                <w:sz w:val="20"/>
                <w:szCs w:val="20"/>
                <w:color w:val="auto"/>
              </w:rPr>
            </w:pPr>
            <w:r>
              <w:rPr>
                <w:rFonts w:ascii="Arial" w:cs="Arial" w:eastAsia="Arial" w:hAnsi="Arial"/>
                <w:sz w:val="20"/>
                <w:szCs w:val="20"/>
                <w:color w:val="auto"/>
              </w:rPr>
              <w:t>1300112</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12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Marshalltown Sand</w:t>
            </w:r>
          </w:p>
        </w:tc>
        <w:tc>
          <w:tcPr>
            <w:tcW w:w="98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1300718</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120" w:type="dxa"/>
            <w:vAlign w:val="bottom"/>
            <w:gridSpan w:val="2"/>
          </w:tcPr>
          <w:p>
            <w:pPr>
              <w:spacing w:after="0"/>
              <w:rPr>
                <w:sz w:val="20"/>
                <w:szCs w:val="20"/>
                <w:color w:val="auto"/>
              </w:rPr>
            </w:pPr>
            <w:r>
              <w:rPr>
                <w:rFonts w:ascii="Arial" w:cs="Arial" w:eastAsia="Arial" w:hAnsi="Arial"/>
                <w:sz w:val="20"/>
                <w:szCs w:val="20"/>
                <w:color w:val="auto"/>
              </w:rPr>
              <w:t>Midwest Division OH</w:t>
            </w:r>
          </w:p>
        </w:tc>
        <w:tc>
          <w:tcPr>
            <w:tcW w:w="980" w:type="dxa"/>
            <w:vAlign w:val="bottom"/>
          </w:tcPr>
          <w:p>
            <w:pPr>
              <w:jc w:val="right"/>
              <w:ind w:right="222"/>
              <w:spacing w:after="0"/>
              <w:rPr>
                <w:sz w:val="20"/>
                <w:szCs w:val="20"/>
                <w:color w:val="auto"/>
              </w:rPr>
            </w:pPr>
            <w:r>
              <w:rPr>
                <w:rFonts w:ascii="Arial" w:cs="Arial" w:eastAsia="Arial" w:hAnsi="Arial"/>
                <w:sz w:val="20"/>
                <w:szCs w:val="20"/>
                <w:color w:val="auto"/>
              </w:rPr>
              <w:t>A2354</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1200" w:type="dxa"/>
            <w:vAlign w:val="bottom"/>
            <w:shd w:val="clear" w:color="auto" w:fill="CFF0FC"/>
          </w:tcPr>
          <w:p>
            <w:pPr>
              <w:spacing w:after="0"/>
              <w:rPr>
                <w:sz w:val="20"/>
                <w:szCs w:val="20"/>
                <w:color w:val="auto"/>
              </w:rPr>
            </w:pPr>
            <w:r>
              <w:rPr>
                <w:rFonts w:ascii="Arial" w:cs="Arial" w:eastAsia="Arial" w:hAnsi="Arial"/>
                <w:sz w:val="20"/>
                <w:szCs w:val="20"/>
                <w:color w:val="auto"/>
                <w:w w:val="95"/>
              </w:rPr>
              <w:t>Moore Quarry</w:t>
            </w:r>
          </w:p>
        </w:tc>
        <w:tc>
          <w:tcPr>
            <w:tcW w:w="92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1302188</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120" w:type="dxa"/>
            <w:vAlign w:val="bottom"/>
            <w:gridSpan w:val="2"/>
          </w:tcPr>
          <w:p>
            <w:pPr>
              <w:spacing w:after="0"/>
              <w:rPr>
                <w:sz w:val="20"/>
                <w:szCs w:val="20"/>
                <w:color w:val="auto"/>
              </w:rPr>
            </w:pPr>
            <w:r>
              <w:rPr>
                <w:rFonts w:ascii="Arial" w:cs="Arial" w:eastAsia="Arial" w:hAnsi="Arial"/>
                <w:sz w:val="20"/>
                <w:szCs w:val="20"/>
                <w:color w:val="auto"/>
              </w:rPr>
              <w:t>New Harvey Sand</w:t>
            </w:r>
          </w:p>
        </w:tc>
        <w:tc>
          <w:tcPr>
            <w:tcW w:w="980" w:type="dxa"/>
            <w:vAlign w:val="bottom"/>
          </w:tcPr>
          <w:p>
            <w:pPr>
              <w:jc w:val="right"/>
              <w:ind w:right="42"/>
              <w:spacing w:after="0"/>
              <w:rPr>
                <w:sz w:val="20"/>
                <w:szCs w:val="20"/>
                <w:color w:val="auto"/>
              </w:rPr>
            </w:pPr>
            <w:r>
              <w:rPr>
                <w:rFonts w:ascii="Arial" w:cs="Arial" w:eastAsia="Arial" w:hAnsi="Arial"/>
                <w:sz w:val="20"/>
                <w:szCs w:val="20"/>
                <w:color w:val="auto"/>
              </w:rPr>
              <w:t>1301778</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1200" w:type="dxa"/>
            <w:vAlign w:val="bottom"/>
            <w:shd w:val="clear" w:color="auto" w:fill="CFF0FC"/>
          </w:tcPr>
          <w:p>
            <w:pPr>
              <w:spacing w:after="0"/>
              <w:rPr>
                <w:sz w:val="20"/>
                <w:szCs w:val="20"/>
                <w:color w:val="auto"/>
              </w:rPr>
            </w:pPr>
            <w:r>
              <w:rPr>
                <w:rFonts w:ascii="Arial" w:cs="Arial" w:eastAsia="Arial" w:hAnsi="Arial"/>
                <w:sz w:val="20"/>
                <w:szCs w:val="20"/>
                <w:color w:val="auto"/>
                <w:w w:val="90"/>
              </w:rPr>
              <w:t>Ottawa Quarry</w:t>
            </w:r>
          </w:p>
        </w:tc>
        <w:tc>
          <w:tcPr>
            <w:tcW w:w="920" w:type="dxa"/>
            <w:vAlign w:val="bottom"/>
            <w:shd w:val="clear" w:color="auto" w:fill="CFF0FC"/>
          </w:tcPr>
          <w:p>
            <w:pPr>
              <w:ind w:left="120"/>
              <w:spacing w:after="0"/>
              <w:rPr>
                <w:sz w:val="20"/>
                <w:szCs w:val="20"/>
                <w:color w:val="auto"/>
              </w:rPr>
            </w:pPr>
            <w:r>
              <w:rPr>
                <w:rFonts w:ascii="Arial" w:cs="Arial" w:eastAsia="Arial" w:hAnsi="Arial"/>
                <w:sz w:val="20"/>
                <w:szCs w:val="20"/>
                <w:color w:val="auto"/>
              </w:rPr>
              <w:t>New</w:t>
            </w:r>
          </w:p>
        </w:tc>
        <w:tc>
          <w:tcPr>
            <w:tcW w:w="98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1401590</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118</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1200" w:type="dxa"/>
            <w:vAlign w:val="bottom"/>
          </w:tcPr>
          <w:p>
            <w:pPr>
              <w:spacing w:after="0"/>
              <w:rPr>
                <w:sz w:val="20"/>
                <w:szCs w:val="20"/>
                <w:color w:val="auto"/>
              </w:rPr>
            </w:pPr>
            <w:r>
              <w:rPr>
                <w:rFonts w:ascii="Arial" w:cs="Arial" w:eastAsia="Arial" w:hAnsi="Arial"/>
                <w:sz w:val="20"/>
                <w:szCs w:val="20"/>
                <w:color w:val="auto"/>
                <w:w w:val="93"/>
              </w:rPr>
              <w:t>Pacific Quarry</w:t>
            </w:r>
          </w:p>
        </w:tc>
        <w:tc>
          <w:tcPr>
            <w:tcW w:w="920" w:type="dxa"/>
            <w:vAlign w:val="bottom"/>
          </w:tcPr>
          <w:p>
            <w:pPr>
              <w:spacing w:after="0"/>
              <w:rPr>
                <w:sz w:val="20"/>
                <w:szCs w:val="20"/>
                <w:color w:val="auto"/>
              </w:rPr>
            </w:pPr>
          </w:p>
        </w:tc>
        <w:tc>
          <w:tcPr>
            <w:tcW w:w="980" w:type="dxa"/>
            <w:vAlign w:val="bottom"/>
          </w:tcPr>
          <w:p>
            <w:pPr>
              <w:jc w:val="right"/>
              <w:ind w:right="42"/>
              <w:spacing w:after="0"/>
              <w:rPr>
                <w:sz w:val="20"/>
                <w:szCs w:val="20"/>
                <w:color w:val="auto"/>
              </w:rPr>
            </w:pPr>
            <w:r>
              <w:rPr>
                <w:rFonts w:ascii="Arial" w:cs="Arial" w:eastAsia="Arial" w:hAnsi="Arial"/>
                <w:sz w:val="20"/>
                <w:szCs w:val="20"/>
                <w:color w:val="auto"/>
              </w:rPr>
              <w:t>4500844</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118</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1200" w:type="dxa"/>
            <w:vAlign w:val="bottom"/>
            <w:shd w:val="clear" w:color="auto" w:fill="CFF0FC"/>
          </w:tcPr>
          <w:p>
            <w:pPr>
              <w:spacing w:after="0"/>
              <w:rPr>
                <w:sz w:val="20"/>
                <w:szCs w:val="20"/>
                <w:color w:val="auto"/>
              </w:rPr>
            </w:pPr>
            <w:r>
              <w:rPr>
                <w:rFonts w:ascii="Arial" w:cs="Arial" w:eastAsia="Arial" w:hAnsi="Arial"/>
                <w:sz w:val="20"/>
                <w:szCs w:val="20"/>
                <w:color w:val="auto"/>
                <w:w w:val="94"/>
              </w:rPr>
              <w:t>Parkville Mine</w:t>
            </w:r>
          </w:p>
        </w:tc>
        <w:tc>
          <w:tcPr>
            <w:tcW w:w="920" w:type="dxa"/>
            <w:vAlign w:val="bottom"/>
            <w:shd w:val="clear" w:color="auto" w:fill="CFF0FC"/>
          </w:tcPr>
          <w:p>
            <w:pPr>
              <w:ind w:left="120"/>
              <w:spacing w:after="0"/>
              <w:rPr>
                <w:sz w:val="20"/>
                <w:szCs w:val="20"/>
                <w:color w:val="auto"/>
              </w:rPr>
            </w:pPr>
            <w:r>
              <w:rPr>
                <w:rFonts w:ascii="Arial" w:cs="Arial" w:eastAsia="Arial" w:hAnsi="Arial"/>
                <w:sz w:val="20"/>
                <w:szCs w:val="20"/>
                <w:color w:val="auto"/>
              </w:rPr>
              <w:t>New</w:t>
            </w:r>
          </w:p>
        </w:tc>
        <w:tc>
          <w:tcPr>
            <w:tcW w:w="98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2301883</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1</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361</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756"/>
        </w:trPr>
        <w:tc>
          <w:tcPr>
            <w:tcW w:w="12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50"/>
        </w:trPr>
        <w:tc>
          <w:tcPr>
            <w:tcW w:w="2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gridSpan w:val="2"/>
          </w:tcPr>
          <w:p>
            <w:pPr>
              <w:ind w:left="20"/>
              <w:spacing w:after="0"/>
              <w:rPr>
                <w:sz w:val="20"/>
                <w:szCs w:val="20"/>
                <w:color w:val="auto"/>
              </w:rPr>
            </w:pPr>
            <w:r>
              <w:rPr>
                <w:rFonts w:ascii="Arial" w:cs="Arial" w:eastAsia="Arial" w:hAnsi="Arial"/>
                <w:sz w:val="20"/>
                <w:szCs w:val="20"/>
                <w:color w:val="auto"/>
                <w:w w:val="91"/>
              </w:rPr>
              <w:t>Appendix 1</w:t>
            </w:r>
          </w:p>
        </w:tc>
      </w:tr>
      <w:tr>
        <w:trPr>
          <w:trHeight w:val="464"/>
        </w:trPr>
        <w:tc>
          <w:tcPr>
            <w:tcW w:w="2100" w:type="dxa"/>
            <w:vAlign w:val="bottom"/>
          </w:tcPr>
          <w:p>
            <w:pPr>
              <w:spacing w:after="0"/>
              <w:rPr>
                <w:sz w:val="20"/>
                <w:szCs w:val="20"/>
                <w:color w:val="auto"/>
              </w:rPr>
            </w:pPr>
            <w:r>
              <w:rPr>
                <w:rFonts w:ascii="Arial" w:cs="Arial" w:eastAsia="Arial" w:hAnsi="Arial"/>
                <w:sz w:val="20"/>
                <w:szCs w:val="20"/>
                <w:color w:val="auto"/>
              </w:rPr>
              <w:t>Pedersen Quarry</w:t>
            </w:r>
          </w:p>
        </w:tc>
        <w:tc>
          <w:tcPr>
            <w:tcW w:w="1000" w:type="dxa"/>
            <w:vAlign w:val="bottom"/>
          </w:tcPr>
          <w:p>
            <w:pPr>
              <w:jc w:val="right"/>
              <w:ind w:right="42"/>
              <w:spacing w:after="0"/>
              <w:rPr>
                <w:sz w:val="20"/>
                <w:szCs w:val="20"/>
                <w:color w:val="auto"/>
              </w:rPr>
            </w:pPr>
            <w:r>
              <w:rPr>
                <w:rFonts w:ascii="Arial" w:cs="Arial" w:eastAsia="Arial" w:hAnsi="Arial"/>
                <w:sz w:val="20"/>
                <w:szCs w:val="20"/>
                <w:color w:val="auto"/>
              </w:rPr>
              <w:t>1302192</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4"/>
                <w:szCs w:val="24"/>
                <w:color w:val="auto"/>
              </w:rPr>
            </w:pPr>
          </w:p>
        </w:tc>
      </w:tr>
      <w:tr>
        <w:trPr>
          <w:trHeight w:val="224"/>
        </w:trPr>
        <w:tc>
          <w:tcPr>
            <w:tcW w:w="210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Alden Portable Wash</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(Portland Quarry)</w:t>
            </w:r>
          </w:p>
        </w:tc>
        <w:tc>
          <w:tcPr>
            <w:tcW w:w="100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1302122</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118</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1"/>
        </w:trPr>
        <w:tc>
          <w:tcPr>
            <w:tcW w:w="2100" w:type="dxa"/>
            <w:vAlign w:val="bottom"/>
          </w:tcPr>
          <w:p>
            <w:pPr>
              <w:spacing w:after="0"/>
              <w:rPr>
                <w:sz w:val="20"/>
                <w:szCs w:val="20"/>
                <w:color w:val="auto"/>
              </w:rPr>
            </w:pPr>
            <w:r>
              <w:rPr>
                <w:rFonts w:ascii="Arial" w:cs="Arial" w:eastAsia="Arial" w:hAnsi="Arial"/>
                <w:sz w:val="20"/>
                <w:szCs w:val="20"/>
                <w:color w:val="auto"/>
              </w:rPr>
              <w:t>Raccoon River Sand</w:t>
            </w:r>
          </w:p>
        </w:tc>
        <w:tc>
          <w:tcPr>
            <w:tcW w:w="1000" w:type="dxa"/>
            <w:vAlign w:val="bottom"/>
          </w:tcPr>
          <w:p>
            <w:pPr>
              <w:jc w:val="right"/>
              <w:ind w:right="42"/>
              <w:spacing w:after="0"/>
              <w:rPr>
                <w:sz w:val="20"/>
                <w:szCs w:val="20"/>
                <w:color w:val="auto"/>
              </w:rPr>
            </w:pPr>
            <w:r>
              <w:rPr>
                <w:rFonts w:ascii="Arial" w:cs="Arial" w:eastAsia="Arial" w:hAnsi="Arial"/>
                <w:sz w:val="20"/>
                <w:szCs w:val="20"/>
                <w:color w:val="auto"/>
              </w:rPr>
              <w:t>1302315</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Randolph Deep Mine</w:t>
            </w:r>
          </w:p>
        </w:tc>
        <w:tc>
          <w:tcPr>
            <w:tcW w:w="100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2302308</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1</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128</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1</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2</w:t>
            </w:r>
          </w:p>
        </w:tc>
        <w:tc>
          <w:tcPr>
            <w:tcW w:w="20" w:type="dxa"/>
            <w:vAlign w:val="bottom"/>
          </w:tcPr>
          <w:p>
            <w:pPr>
              <w:spacing w:after="0"/>
              <w:rPr>
                <w:sz w:val="20"/>
                <w:szCs w:val="20"/>
                <w:color w:val="auto"/>
              </w:rPr>
            </w:pPr>
          </w:p>
        </w:tc>
      </w:tr>
      <w:tr>
        <w:trPr>
          <w:trHeight w:val="241"/>
        </w:trPr>
        <w:tc>
          <w:tcPr>
            <w:tcW w:w="2100" w:type="dxa"/>
            <w:vAlign w:val="bottom"/>
          </w:tcPr>
          <w:p>
            <w:pPr>
              <w:spacing w:after="0"/>
              <w:rPr>
                <w:sz w:val="20"/>
                <w:szCs w:val="20"/>
                <w:color w:val="auto"/>
              </w:rPr>
            </w:pPr>
            <w:r>
              <w:rPr>
                <w:rFonts w:ascii="Arial" w:cs="Arial" w:eastAsia="Arial" w:hAnsi="Arial"/>
                <w:sz w:val="20"/>
                <w:szCs w:val="20"/>
                <w:color w:val="auto"/>
              </w:rPr>
              <w:t>Reasnor Sand</w:t>
            </w:r>
          </w:p>
        </w:tc>
        <w:tc>
          <w:tcPr>
            <w:tcW w:w="1000" w:type="dxa"/>
            <w:vAlign w:val="bottom"/>
          </w:tcPr>
          <w:p>
            <w:pPr>
              <w:jc w:val="right"/>
              <w:ind w:right="42"/>
              <w:spacing w:after="0"/>
              <w:rPr>
                <w:sz w:val="20"/>
                <w:szCs w:val="20"/>
                <w:color w:val="auto"/>
              </w:rPr>
            </w:pPr>
            <w:r>
              <w:rPr>
                <w:rFonts w:ascii="Arial" w:cs="Arial" w:eastAsia="Arial" w:hAnsi="Arial"/>
                <w:sz w:val="20"/>
                <w:szCs w:val="20"/>
                <w:color w:val="auto"/>
              </w:rPr>
              <w:t>1300814</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Saylorville Sand</w:t>
            </w:r>
          </w:p>
        </w:tc>
        <w:tc>
          <w:tcPr>
            <w:tcW w:w="100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1302290</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100" w:type="dxa"/>
            <w:vAlign w:val="bottom"/>
          </w:tcPr>
          <w:p>
            <w:pPr>
              <w:spacing w:after="0"/>
              <w:rPr>
                <w:sz w:val="20"/>
                <w:szCs w:val="20"/>
                <w:color w:val="auto"/>
              </w:rPr>
            </w:pPr>
            <w:r>
              <w:rPr>
                <w:rFonts w:ascii="Arial" w:cs="Arial" w:eastAsia="Arial" w:hAnsi="Arial"/>
                <w:sz w:val="20"/>
                <w:szCs w:val="20"/>
                <w:color w:val="auto"/>
                <w:w w:val="98"/>
              </w:rPr>
              <w:t>Smithson Valley Quarry</w:t>
            </w:r>
          </w:p>
        </w:tc>
        <w:tc>
          <w:tcPr>
            <w:tcW w:w="1000" w:type="dxa"/>
            <w:vAlign w:val="bottom"/>
          </w:tcPr>
          <w:p>
            <w:pPr>
              <w:jc w:val="right"/>
              <w:ind w:right="42"/>
              <w:spacing w:after="0"/>
              <w:rPr>
                <w:sz w:val="20"/>
                <w:szCs w:val="20"/>
                <w:color w:val="auto"/>
              </w:rPr>
            </w:pPr>
            <w:r>
              <w:rPr>
                <w:rFonts w:ascii="Arial" w:cs="Arial" w:eastAsia="Arial" w:hAnsi="Arial"/>
                <w:sz w:val="20"/>
                <w:szCs w:val="20"/>
                <w:color w:val="auto"/>
              </w:rPr>
              <w:t>4104108</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St Cloud Quarry</w:t>
            </w:r>
          </w:p>
        </w:tc>
        <w:tc>
          <w:tcPr>
            <w:tcW w:w="100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2100081</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100" w:type="dxa"/>
            <w:vAlign w:val="bottom"/>
          </w:tcPr>
          <w:p>
            <w:pPr>
              <w:spacing w:after="0"/>
              <w:rPr>
                <w:sz w:val="20"/>
                <w:szCs w:val="20"/>
                <w:color w:val="auto"/>
              </w:rPr>
            </w:pPr>
            <w:r>
              <w:rPr>
                <w:rFonts w:ascii="Arial" w:cs="Arial" w:eastAsia="Arial" w:hAnsi="Arial"/>
                <w:sz w:val="20"/>
                <w:szCs w:val="20"/>
                <w:color w:val="auto"/>
              </w:rPr>
              <w:t>Stamper Mine</w:t>
            </w:r>
          </w:p>
        </w:tc>
        <w:tc>
          <w:tcPr>
            <w:tcW w:w="1000" w:type="dxa"/>
            <w:vAlign w:val="bottom"/>
          </w:tcPr>
          <w:p>
            <w:pPr>
              <w:jc w:val="right"/>
              <w:ind w:right="42"/>
              <w:spacing w:after="0"/>
              <w:rPr>
                <w:sz w:val="20"/>
                <w:szCs w:val="20"/>
                <w:color w:val="auto"/>
              </w:rPr>
            </w:pPr>
            <w:r>
              <w:rPr>
                <w:rFonts w:ascii="Arial" w:cs="Arial" w:eastAsia="Arial" w:hAnsi="Arial"/>
                <w:sz w:val="20"/>
                <w:szCs w:val="20"/>
                <w:color w:val="auto"/>
              </w:rPr>
              <w:t>2302232</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2</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w w:val="87"/>
              </w:rPr>
              <w:t>4,309</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2</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2"/>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0"/>
                <w:szCs w:val="20"/>
                <w:color w:val="auto"/>
              </w:rPr>
            </w:pPr>
          </w:p>
        </w:tc>
      </w:tr>
      <w:tr>
        <w:trPr>
          <w:trHeight w:val="241"/>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Sully Mine</w:t>
            </w:r>
          </w:p>
        </w:tc>
        <w:tc>
          <w:tcPr>
            <w:tcW w:w="100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1300063</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208</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100" w:type="dxa"/>
            <w:vAlign w:val="bottom"/>
          </w:tcPr>
          <w:p>
            <w:pPr>
              <w:spacing w:after="0"/>
              <w:rPr>
                <w:sz w:val="20"/>
                <w:szCs w:val="20"/>
                <w:color w:val="auto"/>
              </w:rPr>
            </w:pPr>
            <w:r>
              <w:rPr>
                <w:rFonts w:ascii="Arial" w:cs="Arial" w:eastAsia="Arial" w:hAnsi="Arial"/>
                <w:sz w:val="20"/>
                <w:szCs w:val="20"/>
                <w:color w:val="auto"/>
              </w:rPr>
              <w:t>Sunflower Qy  Co 61</w:t>
            </w:r>
          </w:p>
        </w:tc>
        <w:tc>
          <w:tcPr>
            <w:tcW w:w="1000" w:type="dxa"/>
            <w:vAlign w:val="bottom"/>
          </w:tcPr>
          <w:p>
            <w:pPr>
              <w:jc w:val="right"/>
              <w:ind w:right="42"/>
              <w:spacing w:after="0"/>
              <w:rPr>
                <w:sz w:val="20"/>
                <w:szCs w:val="20"/>
                <w:color w:val="auto"/>
              </w:rPr>
            </w:pPr>
            <w:r>
              <w:rPr>
                <w:rFonts w:ascii="Arial" w:cs="Arial" w:eastAsia="Arial" w:hAnsi="Arial"/>
                <w:sz w:val="20"/>
                <w:szCs w:val="20"/>
                <w:color w:val="auto"/>
              </w:rPr>
              <w:t>1401556</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Weeping Water Mine</w:t>
            </w:r>
          </w:p>
        </w:tc>
        <w:tc>
          <w:tcPr>
            <w:tcW w:w="100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2500998</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w w:val="87"/>
              </w:rPr>
              <w:t>1,828</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1</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w:t>
            </w:r>
          </w:p>
        </w:tc>
        <w:tc>
          <w:tcPr>
            <w:tcW w:w="9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0"/>
                <w:szCs w:val="20"/>
                <w:color w:val="auto"/>
              </w:rPr>
            </w:pPr>
          </w:p>
        </w:tc>
      </w:tr>
      <w:tr>
        <w:trPr>
          <w:trHeight w:val="241"/>
        </w:trPr>
        <w:tc>
          <w:tcPr>
            <w:tcW w:w="2100" w:type="dxa"/>
            <w:vAlign w:val="bottom"/>
          </w:tcPr>
          <w:p>
            <w:pPr>
              <w:spacing w:after="0"/>
              <w:rPr>
                <w:sz w:val="20"/>
                <w:szCs w:val="20"/>
                <w:color w:val="auto"/>
              </w:rPr>
            </w:pPr>
            <w:r>
              <w:rPr>
                <w:rFonts w:ascii="Arial" w:cs="Arial" w:eastAsia="Arial" w:hAnsi="Arial"/>
                <w:sz w:val="20"/>
                <w:szCs w:val="20"/>
                <w:color w:val="auto"/>
                <w:w w:val="98"/>
              </w:rPr>
              <w:t>Yellow Medicine Quarry</w:t>
            </w:r>
          </w:p>
        </w:tc>
        <w:tc>
          <w:tcPr>
            <w:tcW w:w="1000" w:type="dxa"/>
            <w:vAlign w:val="bottom"/>
          </w:tcPr>
          <w:p>
            <w:pPr>
              <w:jc w:val="right"/>
              <w:ind w:right="42"/>
              <w:spacing w:after="0"/>
              <w:rPr>
                <w:sz w:val="20"/>
                <w:szCs w:val="20"/>
                <w:color w:val="auto"/>
              </w:rPr>
            </w:pPr>
            <w:r>
              <w:rPr>
                <w:rFonts w:ascii="Arial" w:cs="Arial" w:eastAsia="Arial" w:hAnsi="Arial"/>
                <w:sz w:val="20"/>
                <w:szCs w:val="20"/>
                <w:color w:val="auto"/>
              </w:rPr>
              <w:t>2100033</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1</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163</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Augusta, KS Quarry</w:t>
            </w:r>
          </w:p>
        </w:tc>
        <w:tc>
          <w:tcPr>
            <w:tcW w:w="100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1400126</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100" w:type="dxa"/>
            <w:vAlign w:val="bottom"/>
          </w:tcPr>
          <w:p>
            <w:pPr>
              <w:spacing w:after="0"/>
              <w:rPr>
                <w:sz w:val="20"/>
                <w:szCs w:val="20"/>
                <w:color w:val="auto"/>
              </w:rPr>
            </w:pPr>
            <w:r>
              <w:rPr>
                <w:rFonts w:ascii="Arial" w:cs="Arial" w:eastAsia="Arial" w:hAnsi="Arial"/>
                <w:sz w:val="20"/>
                <w:szCs w:val="20"/>
                <w:color w:val="auto"/>
              </w:rPr>
              <w:t>Beckmann Quarry</w:t>
            </w:r>
          </w:p>
        </w:tc>
        <w:tc>
          <w:tcPr>
            <w:tcW w:w="1000" w:type="dxa"/>
            <w:vAlign w:val="bottom"/>
          </w:tcPr>
          <w:p>
            <w:pPr>
              <w:jc w:val="right"/>
              <w:ind w:right="42"/>
              <w:spacing w:after="0"/>
              <w:rPr>
                <w:sz w:val="20"/>
                <w:szCs w:val="20"/>
                <w:color w:val="auto"/>
              </w:rPr>
            </w:pPr>
            <w:r>
              <w:rPr>
                <w:rFonts w:ascii="Arial" w:cs="Arial" w:eastAsia="Arial" w:hAnsi="Arial"/>
                <w:sz w:val="20"/>
                <w:szCs w:val="20"/>
                <w:color w:val="auto"/>
              </w:rPr>
              <w:t>4101335</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w w:val="87"/>
              </w:rPr>
              <w:t>3,050</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1</w:t>
            </w:r>
          </w:p>
        </w:tc>
        <w:tc>
          <w:tcPr>
            <w:tcW w:w="440" w:type="dxa"/>
            <w:vAlign w:val="bottom"/>
          </w:tcPr>
          <w:p>
            <w:pPr>
              <w:jc w:val="right"/>
              <w:spacing w:after="0"/>
              <w:rPr>
                <w:sz w:val="20"/>
                <w:szCs w:val="20"/>
                <w:color w:val="auto"/>
              </w:rPr>
            </w:pPr>
            <w:r>
              <w:rPr>
                <w:rFonts w:ascii="Arial" w:cs="Arial" w:eastAsia="Arial" w:hAnsi="Arial"/>
                <w:sz w:val="20"/>
                <w:szCs w:val="20"/>
                <w:color w:val="auto"/>
              </w:rPr>
              <w:t>1</w:t>
            </w:r>
          </w:p>
        </w:tc>
        <w:tc>
          <w:tcPr>
            <w:tcW w:w="9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Bedrock Sand Gravel</w:t>
            </w:r>
          </w:p>
        </w:tc>
        <w:tc>
          <w:tcPr>
            <w:tcW w:w="100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4103283</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1</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w:t>
            </w:r>
          </w:p>
        </w:tc>
        <w:tc>
          <w:tcPr>
            <w:tcW w:w="9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100" w:type="dxa"/>
            <w:vAlign w:val="bottom"/>
          </w:tcPr>
          <w:p>
            <w:pPr>
              <w:spacing w:after="0"/>
              <w:rPr>
                <w:sz w:val="20"/>
                <w:szCs w:val="20"/>
                <w:color w:val="auto"/>
              </w:rPr>
            </w:pPr>
            <w:r>
              <w:rPr>
                <w:rFonts w:ascii="Arial" w:cs="Arial" w:eastAsia="Arial" w:hAnsi="Arial"/>
                <w:sz w:val="20"/>
                <w:szCs w:val="20"/>
                <w:color w:val="auto"/>
              </w:rPr>
              <w:t>Bells Savoy SG</w:t>
            </w:r>
          </w:p>
        </w:tc>
        <w:tc>
          <w:tcPr>
            <w:tcW w:w="1000" w:type="dxa"/>
            <w:vAlign w:val="bottom"/>
          </w:tcPr>
          <w:p>
            <w:pPr>
              <w:jc w:val="right"/>
              <w:ind w:right="42"/>
              <w:spacing w:after="0"/>
              <w:rPr>
                <w:sz w:val="20"/>
                <w:szCs w:val="20"/>
                <w:color w:val="auto"/>
              </w:rPr>
            </w:pPr>
            <w:r>
              <w:rPr>
                <w:rFonts w:ascii="Arial" w:cs="Arial" w:eastAsia="Arial" w:hAnsi="Arial"/>
                <w:sz w:val="20"/>
                <w:szCs w:val="20"/>
                <w:color w:val="auto"/>
              </w:rPr>
              <w:t>4104019</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354</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Black Rock Quarry</w:t>
            </w:r>
          </w:p>
        </w:tc>
        <w:tc>
          <w:tcPr>
            <w:tcW w:w="100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300011</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118</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100" w:type="dxa"/>
            <w:vAlign w:val="bottom"/>
          </w:tcPr>
          <w:p>
            <w:pPr>
              <w:spacing w:after="0"/>
              <w:rPr>
                <w:sz w:val="20"/>
                <w:szCs w:val="20"/>
                <w:color w:val="auto"/>
              </w:rPr>
            </w:pPr>
            <w:r>
              <w:rPr>
                <w:rFonts w:ascii="Arial" w:cs="Arial" w:eastAsia="Arial" w:hAnsi="Arial"/>
                <w:sz w:val="20"/>
                <w:szCs w:val="20"/>
                <w:color w:val="auto"/>
              </w:rPr>
              <w:t>Black Spur Quarry</w:t>
            </w:r>
          </w:p>
        </w:tc>
        <w:tc>
          <w:tcPr>
            <w:tcW w:w="1000" w:type="dxa"/>
            <w:vAlign w:val="bottom"/>
          </w:tcPr>
          <w:p>
            <w:pPr>
              <w:jc w:val="right"/>
              <w:ind w:right="42"/>
              <w:spacing w:after="0"/>
              <w:rPr>
                <w:sz w:val="20"/>
                <w:szCs w:val="20"/>
                <w:color w:val="auto"/>
              </w:rPr>
            </w:pPr>
            <w:r>
              <w:rPr>
                <w:rFonts w:ascii="Arial" w:cs="Arial" w:eastAsia="Arial" w:hAnsi="Arial"/>
                <w:sz w:val="20"/>
                <w:szCs w:val="20"/>
                <w:color w:val="auto"/>
              </w:rPr>
              <w:t>4104159</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w w:val="87"/>
              </w:rPr>
              <w:t>1,677</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1</w:t>
            </w:r>
          </w:p>
        </w:tc>
        <w:tc>
          <w:tcPr>
            <w:tcW w:w="440" w:type="dxa"/>
            <w:vAlign w:val="bottom"/>
          </w:tcPr>
          <w:p>
            <w:pPr>
              <w:jc w:val="right"/>
              <w:spacing w:after="0"/>
              <w:rPr>
                <w:sz w:val="20"/>
                <w:szCs w:val="20"/>
                <w:color w:val="auto"/>
              </w:rPr>
            </w:pPr>
            <w:r>
              <w:rPr>
                <w:rFonts w:ascii="Arial" w:cs="Arial" w:eastAsia="Arial" w:hAnsi="Arial"/>
                <w:sz w:val="20"/>
                <w:szCs w:val="20"/>
                <w:color w:val="auto"/>
              </w:rPr>
              <w:t>1</w:t>
            </w:r>
          </w:p>
        </w:tc>
        <w:tc>
          <w:tcPr>
            <w:tcW w:w="9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Blake Quarry</w:t>
            </w:r>
          </w:p>
        </w:tc>
        <w:tc>
          <w:tcPr>
            <w:tcW w:w="100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1401584</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100" w:type="dxa"/>
            <w:vAlign w:val="bottom"/>
          </w:tcPr>
          <w:p>
            <w:pPr>
              <w:spacing w:after="0"/>
              <w:rPr>
                <w:sz w:val="20"/>
                <w:szCs w:val="20"/>
                <w:color w:val="auto"/>
              </w:rPr>
            </w:pPr>
            <w:r>
              <w:rPr>
                <w:rFonts w:ascii="Arial" w:cs="Arial" w:eastAsia="Arial" w:hAnsi="Arial"/>
                <w:sz w:val="20"/>
                <w:szCs w:val="20"/>
                <w:color w:val="auto"/>
              </w:rPr>
              <w:t>Bridgeport Stone</w:t>
            </w:r>
          </w:p>
        </w:tc>
        <w:tc>
          <w:tcPr>
            <w:tcW w:w="1000" w:type="dxa"/>
            <w:vAlign w:val="bottom"/>
          </w:tcPr>
          <w:p>
            <w:pPr>
              <w:jc w:val="right"/>
              <w:ind w:right="42"/>
              <w:spacing w:after="0"/>
              <w:rPr>
                <w:sz w:val="20"/>
                <w:szCs w:val="20"/>
                <w:color w:val="auto"/>
              </w:rPr>
            </w:pPr>
            <w:r>
              <w:rPr>
                <w:rFonts w:ascii="Arial" w:cs="Arial" w:eastAsia="Arial" w:hAnsi="Arial"/>
                <w:sz w:val="20"/>
                <w:szCs w:val="20"/>
                <w:color w:val="auto"/>
              </w:rPr>
              <w:t>4100007</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354</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Broken Bow SG</w:t>
            </w:r>
          </w:p>
        </w:tc>
        <w:tc>
          <w:tcPr>
            <w:tcW w:w="100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3400460</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236</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100" w:type="dxa"/>
            <w:vAlign w:val="bottom"/>
          </w:tcPr>
          <w:p>
            <w:pPr>
              <w:spacing w:after="0"/>
              <w:rPr>
                <w:sz w:val="20"/>
                <w:szCs w:val="20"/>
                <w:color w:val="auto"/>
              </w:rPr>
            </w:pPr>
            <w:r>
              <w:rPr>
                <w:rFonts w:ascii="Arial" w:cs="Arial" w:eastAsia="Arial" w:hAnsi="Arial"/>
                <w:sz w:val="20"/>
                <w:szCs w:val="20"/>
                <w:color w:val="auto"/>
              </w:rPr>
              <w:t>Chico Quarry</w:t>
            </w:r>
          </w:p>
        </w:tc>
        <w:tc>
          <w:tcPr>
            <w:tcW w:w="1000" w:type="dxa"/>
            <w:vAlign w:val="bottom"/>
          </w:tcPr>
          <w:p>
            <w:pPr>
              <w:jc w:val="right"/>
              <w:ind w:right="42"/>
              <w:spacing w:after="0"/>
              <w:rPr>
                <w:sz w:val="20"/>
                <w:szCs w:val="20"/>
                <w:color w:val="auto"/>
              </w:rPr>
            </w:pPr>
            <w:r>
              <w:rPr>
                <w:rFonts w:ascii="Arial" w:cs="Arial" w:eastAsia="Arial" w:hAnsi="Arial"/>
                <w:sz w:val="20"/>
                <w:szCs w:val="20"/>
                <w:color w:val="auto"/>
              </w:rPr>
              <w:t>4103360</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118</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Davis Quarry</w:t>
            </w:r>
          </w:p>
        </w:tc>
        <w:tc>
          <w:tcPr>
            <w:tcW w:w="100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3401299</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1</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264</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100" w:type="dxa"/>
            <w:vAlign w:val="bottom"/>
          </w:tcPr>
          <w:p>
            <w:pPr>
              <w:spacing w:after="0"/>
              <w:rPr>
                <w:sz w:val="20"/>
                <w:szCs w:val="20"/>
                <w:color w:val="auto"/>
              </w:rPr>
            </w:pPr>
            <w:r>
              <w:rPr>
                <w:rFonts w:ascii="Arial" w:cs="Arial" w:eastAsia="Arial" w:hAnsi="Arial"/>
                <w:sz w:val="20"/>
                <w:szCs w:val="20"/>
                <w:color w:val="auto"/>
              </w:rPr>
              <w:t>Garfield SG</w:t>
            </w:r>
          </w:p>
        </w:tc>
        <w:tc>
          <w:tcPr>
            <w:tcW w:w="1000" w:type="dxa"/>
            <w:vAlign w:val="bottom"/>
          </w:tcPr>
          <w:p>
            <w:pPr>
              <w:jc w:val="right"/>
              <w:ind w:right="42"/>
              <w:spacing w:after="0"/>
              <w:rPr>
                <w:sz w:val="20"/>
                <w:szCs w:val="20"/>
                <w:color w:val="auto"/>
              </w:rPr>
            </w:pPr>
            <w:r>
              <w:rPr>
                <w:rFonts w:ascii="Arial" w:cs="Arial" w:eastAsia="Arial" w:hAnsi="Arial"/>
                <w:sz w:val="20"/>
                <w:szCs w:val="20"/>
                <w:color w:val="auto"/>
              </w:rPr>
              <w:t>4103909</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236</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Garwood Gravel</w:t>
            </w:r>
          </w:p>
        </w:tc>
        <w:tc>
          <w:tcPr>
            <w:tcW w:w="100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4102886</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4</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100" w:type="dxa"/>
            <w:vAlign w:val="bottom"/>
          </w:tcPr>
          <w:p>
            <w:pPr>
              <w:spacing w:after="0"/>
              <w:rPr>
                <w:sz w:val="20"/>
                <w:szCs w:val="20"/>
                <w:color w:val="auto"/>
              </w:rPr>
            </w:pPr>
            <w:r>
              <w:rPr>
                <w:rFonts w:ascii="Arial" w:cs="Arial" w:eastAsia="Arial" w:hAnsi="Arial"/>
                <w:sz w:val="20"/>
                <w:szCs w:val="20"/>
                <w:color w:val="auto"/>
              </w:rPr>
              <w:t>GMS  TXI</w:t>
            </w:r>
          </w:p>
        </w:tc>
        <w:tc>
          <w:tcPr>
            <w:tcW w:w="1000" w:type="dxa"/>
            <w:vAlign w:val="bottom"/>
          </w:tcPr>
          <w:p>
            <w:pPr>
              <w:jc w:val="right"/>
              <w:ind w:right="322"/>
              <w:spacing w:after="0"/>
              <w:rPr>
                <w:sz w:val="20"/>
                <w:szCs w:val="20"/>
                <w:color w:val="auto"/>
              </w:rPr>
            </w:pPr>
            <w:r>
              <w:rPr>
                <w:rFonts w:ascii="Arial" w:cs="Arial" w:eastAsia="Arial" w:hAnsi="Arial"/>
                <w:sz w:val="20"/>
                <w:szCs w:val="20"/>
                <w:color w:val="auto"/>
              </w:rPr>
              <w:t>C335</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Hatton Quarry</w:t>
            </w:r>
          </w:p>
        </w:tc>
        <w:tc>
          <w:tcPr>
            <w:tcW w:w="100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301614</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100" w:type="dxa"/>
            <w:vAlign w:val="bottom"/>
          </w:tcPr>
          <w:p>
            <w:pPr>
              <w:spacing w:after="0"/>
              <w:rPr>
                <w:sz w:val="20"/>
                <w:szCs w:val="20"/>
                <w:color w:val="auto"/>
              </w:rPr>
            </w:pPr>
            <w:r>
              <w:rPr>
                <w:rFonts w:ascii="Arial" w:cs="Arial" w:eastAsia="Arial" w:hAnsi="Arial"/>
                <w:sz w:val="20"/>
                <w:szCs w:val="20"/>
                <w:color w:val="auto"/>
              </w:rPr>
              <w:t>Helotes</w:t>
            </w:r>
          </w:p>
        </w:tc>
        <w:tc>
          <w:tcPr>
            <w:tcW w:w="1000" w:type="dxa"/>
            <w:vAlign w:val="bottom"/>
          </w:tcPr>
          <w:p>
            <w:pPr>
              <w:jc w:val="right"/>
              <w:ind w:right="42"/>
              <w:spacing w:after="0"/>
              <w:rPr>
                <w:sz w:val="20"/>
                <w:szCs w:val="20"/>
                <w:color w:val="auto"/>
              </w:rPr>
            </w:pPr>
            <w:r>
              <w:rPr>
                <w:rFonts w:ascii="Arial" w:cs="Arial" w:eastAsia="Arial" w:hAnsi="Arial"/>
                <w:sz w:val="20"/>
                <w:szCs w:val="20"/>
                <w:color w:val="auto"/>
              </w:rPr>
              <w:t>4103137</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927</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1</w:t>
            </w:r>
          </w:p>
        </w:tc>
        <w:tc>
          <w:tcPr>
            <w:tcW w:w="440" w:type="dxa"/>
            <w:vAlign w:val="bottom"/>
          </w:tcPr>
          <w:p>
            <w:pPr>
              <w:jc w:val="right"/>
              <w:spacing w:after="0"/>
              <w:rPr>
                <w:sz w:val="20"/>
                <w:szCs w:val="20"/>
                <w:color w:val="auto"/>
              </w:rPr>
            </w:pPr>
            <w:r>
              <w:rPr>
                <w:rFonts w:ascii="Arial" w:cs="Arial" w:eastAsia="Arial" w:hAnsi="Arial"/>
                <w:sz w:val="20"/>
                <w:szCs w:val="20"/>
                <w:color w:val="auto"/>
              </w:rPr>
              <w:t>1</w:t>
            </w:r>
          </w:p>
        </w:tc>
        <w:tc>
          <w:tcPr>
            <w:tcW w:w="9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Highway 211 Quarry</w:t>
            </w:r>
          </w:p>
        </w:tc>
        <w:tc>
          <w:tcPr>
            <w:tcW w:w="100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4103829</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100" w:type="dxa"/>
            <w:vAlign w:val="bottom"/>
          </w:tcPr>
          <w:p>
            <w:pPr>
              <w:spacing w:after="0"/>
              <w:rPr>
                <w:sz w:val="20"/>
                <w:szCs w:val="20"/>
                <w:color w:val="auto"/>
              </w:rPr>
            </w:pPr>
            <w:r>
              <w:rPr>
                <w:rFonts w:ascii="Arial" w:cs="Arial" w:eastAsia="Arial" w:hAnsi="Arial"/>
                <w:sz w:val="20"/>
                <w:szCs w:val="20"/>
                <w:color w:val="auto"/>
              </w:rPr>
              <w:t>Hondo #2</w:t>
            </w:r>
          </w:p>
        </w:tc>
        <w:tc>
          <w:tcPr>
            <w:tcW w:w="1000" w:type="dxa"/>
            <w:vAlign w:val="bottom"/>
          </w:tcPr>
          <w:p>
            <w:pPr>
              <w:jc w:val="right"/>
              <w:ind w:right="42"/>
              <w:spacing w:after="0"/>
              <w:rPr>
                <w:sz w:val="20"/>
                <w:szCs w:val="20"/>
                <w:color w:val="auto"/>
              </w:rPr>
            </w:pPr>
            <w:r>
              <w:rPr>
                <w:rFonts w:ascii="Arial" w:cs="Arial" w:eastAsia="Arial" w:hAnsi="Arial"/>
                <w:sz w:val="20"/>
                <w:szCs w:val="20"/>
                <w:color w:val="auto"/>
              </w:rPr>
              <w:t>4104708</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862</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1</w:t>
            </w:r>
          </w:p>
        </w:tc>
        <w:tc>
          <w:tcPr>
            <w:tcW w:w="440" w:type="dxa"/>
            <w:vAlign w:val="bottom"/>
          </w:tcPr>
          <w:p>
            <w:pPr>
              <w:jc w:val="right"/>
              <w:spacing w:after="0"/>
              <w:rPr>
                <w:sz w:val="20"/>
                <w:szCs w:val="20"/>
                <w:color w:val="auto"/>
              </w:rPr>
            </w:pPr>
            <w:r>
              <w:rPr>
                <w:rFonts w:ascii="Arial" w:cs="Arial" w:eastAsia="Arial" w:hAnsi="Arial"/>
                <w:sz w:val="20"/>
                <w:szCs w:val="20"/>
                <w:color w:val="auto"/>
              </w:rPr>
              <w:t>1</w:t>
            </w:r>
          </w:p>
        </w:tc>
        <w:tc>
          <w:tcPr>
            <w:tcW w:w="9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1"/>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Hondo #1 (West)</w:t>
            </w:r>
          </w:p>
        </w:tc>
        <w:tc>
          <w:tcPr>
            <w:tcW w:w="100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4104090</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r>
      <w:tr>
        <w:trPr>
          <w:trHeight w:val="249"/>
        </w:trPr>
        <w:tc>
          <w:tcPr>
            <w:tcW w:w="2100" w:type="dxa"/>
            <w:vAlign w:val="bottom"/>
          </w:tcPr>
          <w:p>
            <w:pPr>
              <w:spacing w:after="0"/>
              <w:rPr>
                <w:sz w:val="20"/>
                <w:szCs w:val="20"/>
                <w:color w:val="auto"/>
              </w:rPr>
            </w:pPr>
            <w:r>
              <w:rPr>
                <w:rFonts w:ascii="Arial" w:cs="Arial" w:eastAsia="Arial" w:hAnsi="Arial"/>
                <w:sz w:val="20"/>
                <w:szCs w:val="20"/>
                <w:color w:val="auto"/>
              </w:rPr>
              <w:t>Hugo Quarry</w:t>
            </w:r>
          </w:p>
        </w:tc>
        <w:tc>
          <w:tcPr>
            <w:tcW w:w="1000" w:type="dxa"/>
            <w:vAlign w:val="bottom"/>
          </w:tcPr>
          <w:p>
            <w:pPr>
              <w:jc w:val="right"/>
              <w:ind w:right="42"/>
              <w:spacing w:after="0"/>
              <w:rPr>
                <w:sz w:val="20"/>
                <w:szCs w:val="20"/>
                <w:color w:val="auto"/>
              </w:rPr>
            </w:pPr>
            <w:r>
              <w:rPr>
                <w:rFonts w:ascii="Arial" w:cs="Arial" w:eastAsia="Arial" w:hAnsi="Arial"/>
                <w:sz w:val="20"/>
                <w:szCs w:val="20"/>
                <w:color w:val="auto"/>
              </w:rPr>
              <w:t>3400061</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2"/>
              <w:spacing w:after="0"/>
              <w:rPr>
                <w:sz w:val="20"/>
                <w:szCs w:val="20"/>
                <w:color w:val="auto"/>
              </w:rPr>
            </w:pPr>
            <w:r>
              <w:rPr>
                <w:rFonts w:ascii="Arial" w:cs="Arial" w:eastAsia="Arial" w:hAnsi="Arial"/>
                <w:sz w:val="20"/>
                <w:szCs w:val="20"/>
                <w:color w:val="auto"/>
              </w:rPr>
              <w:t>118</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748"/>
        </w:trPr>
        <w:tc>
          <w:tcPr>
            <w:tcW w:w="2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gridSpan w:val="2"/>
          </w:tcPr>
          <w:p>
            <w:pPr>
              <w:ind w:left="40"/>
              <w:spacing w:after="0"/>
              <w:rPr>
                <w:sz w:val="20"/>
                <w:szCs w:val="20"/>
                <w:color w:val="auto"/>
              </w:rPr>
            </w:pPr>
            <w:r>
              <w:rPr>
                <w:rFonts w:ascii="Arial" w:cs="Arial" w:eastAsia="Arial" w:hAnsi="Arial"/>
                <w:sz w:val="20"/>
                <w:szCs w:val="20"/>
                <w:color w:val="auto"/>
                <w:w w:val="91"/>
              </w:rPr>
              <w:t>Appendix 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vMerge w:val="continue"/>
          </w:tcPr>
          <w:p>
            <w:pPr>
              <w:spacing w:after="0"/>
              <w:rPr>
                <w:sz w:val="20"/>
                <w:szCs w:val="20"/>
                <w:color w:val="auto"/>
              </w:rPr>
            </w:pPr>
          </w:p>
        </w:tc>
        <w:tc>
          <w:tcPr>
            <w:tcW w:w="2220" w:type="dxa"/>
            <w:vAlign w:val="bottom"/>
            <w:shd w:val="clear" w:color="auto" w:fill="CFF0FC"/>
          </w:tcPr>
          <w:p>
            <w:pPr>
              <w:spacing w:after="0"/>
              <w:rPr>
                <w:sz w:val="20"/>
                <w:szCs w:val="20"/>
                <w:color w:val="auto"/>
              </w:rPr>
            </w:pPr>
            <w:r>
              <w:rPr>
                <w:rFonts w:ascii="Arial" w:cs="Arial" w:eastAsia="Arial" w:hAnsi="Arial"/>
                <w:sz w:val="20"/>
                <w:szCs w:val="20"/>
                <w:color w:val="auto"/>
              </w:rPr>
              <w:t>Hunter Stone</w:t>
            </w:r>
          </w:p>
        </w:tc>
        <w:tc>
          <w:tcPr>
            <w:tcW w:w="86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w w:val="89"/>
              </w:rPr>
              <w:t>4105230</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r>
              <w:rPr>
                <w:rFonts w:ascii="Arial" w:cs="Arial" w:eastAsia="Arial" w:hAnsi="Arial"/>
                <w:sz w:val="20"/>
                <w:szCs w:val="20"/>
                <w:color w:val="auto"/>
              </w:rPr>
              <w:t>Idabel Quarry</w:t>
            </w:r>
          </w:p>
        </w:tc>
        <w:tc>
          <w:tcPr>
            <w:tcW w:w="860" w:type="dxa"/>
            <w:vAlign w:val="bottom"/>
          </w:tcPr>
          <w:p>
            <w:pPr>
              <w:jc w:val="right"/>
              <w:ind w:right="42"/>
              <w:spacing w:after="0"/>
              <w:rPr>
                <w:sz w:val="20"/>
                <w:szCs w:val="20"/>
                <w:color w:val="auto"/>
              </w:rPr>
            </w:pPr>
            <w:r>
              <w:rPr>
                <w:rFonts w:ascii="Arial" w:cs="Arial" w:eastAsia="Arial" w:hAnsi="Arial"/>
                <w:sz w:val="20"/>
                <w:szCs w:val="20"/>
                <w:color w:val="auto"/>
                <w:w w:val="89"/>
              </w:rPr>
              <w:t>3400507</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20" w:type="dxa"/>
            <w:vAlign w:val="bottom"/>
            <w:shd w:val="clear" w:color="auto" w:fill="CFF0FC"/>
          </w:tcPr>
          <w:p>
            <w:pPr>
              <w:spacing w:after="0"/>
              <w:rPr>
                <w:sz w:val="20"/>
                <w:szCs w:val="20"/>
                <w:color w:val="auto"/>
              </w:rPr>
            </w:pPr>
            <w:r>
              <w:rPr>
                <w:rFonts w:ascii="Arial" w:cs="Arial" w:eastAsia="Arial" w:hAnsi="Arial"/>
                <w:sz w:val="20"/>
                <w:szCs w:val="20"/>
                <w:color w:val="auto"/>
              </w:rPr>
              <w:t>Jena Aggregates</w:t>
            </w:r>
          </w:p>
        </w:tc>
        <w:tc>
          <w:tcPr>
            <w:tcW w:w="86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w w:val="89"/>
              </w:rPr>
              <w:t>1601298</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r>
              <w:rPr>
                <w:rFonts w:ascii="Arial" w:cs="Arial" w:eastAsia="Arial" w:hAnsi="Arial"/>
                <w:sz w:val="20"/>
                <w:szCs w:val="20"/>
                <w:color w:val="auto"/>
              </w:rPr>
              <w:t>Jones Mill Quarry</w:t>
            </w:r>
          </w:p>
        </w:tc>
        <w:tc>
          <w:tcPr>
            <w:tcW w:w="860" w:type="dxa"/>
            <w:vAlign w:val="bottom"/>
          </w:tcPr>
          <w:p>
            <w:pPr>
              <w:jc w:val="right"/>
              <w:ind w:right="42"/>
              <w:spacing w:after="0"/>
              <w:rPr>
                <w:sz w:val="20"/>
                <w:szCs w:val="20"/>
                <w:color w:val="auto"/>
              </w:rPr>
            </w:pPr>
            <w:r>
              <w:rPr>
                <w:rFonts w:ascii="Arial" w:cs="Arial" w:eastAsia="Arial" w:hAnsi="Arial"/>
                <w:sz w:val="20"/>
                <w:szCs w:val="20"/>
                <w:color w:val="auto"/>
              </w:rPr>
              <w:t>301586</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62"/>
              <w:spacing w:after="0"/>
              <w:rPr>
                <w:sz w:val="20"/>
                <w:szCs w:val="20"/>
                <w:color w:val="auto"/>
              </w:rPr>
            </w:pPr>
            <w:r>
              <w:rPr>
                <w:rFonts w:ascii="Arial" w:cs="Arial" w:eastAsia="Arial" w:hAnsi="Arial"/>
                <w:sz w:val="20"/>
                <w:szCs w:val="20"/>
                <w:color w:val="auto"/>
              </w:rPr>
              <w:t>236</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20" w:type="dxa"/>
            <w:vAlign w:val="bottom"/>
            <w:shd w:val="clear" w:color="auto" w:fill="CFF0FC"/>
          </w:tcPr>
          <w:p>
            <w:pPr>
              <w:spacing w:after="0"/>
              <w:rPr>
                <w:sz w:val="20"/>
                <w:szCs w:val="20"/>
                <w:color w:val="auto"/>
              </w:rPr>
            </w:pPr>
            <w:r>
              <w:rPr>
                <w:rFonts w:ascii="Arial" w:cs="Arial" w:eastAsia="Arial" w:hAnsi="Arial"/>
                <w:sz w:val="20"/>
                <w:szCs w:val="20"/>
                <w:color w:val="auto"/>
              </w:rPr>
              <w:t>Medina Rock Rail</w:t>
            </w:r>
          </w:p>
        </w:tc>
        <w:tc>
          <w:tcPr>
            <w:tcW w:w="86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w w:val="89"/>
              </w:rPr>
              <w:t>4105170</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r>
              <w:rPr>
                <w:rFonts w:ascii="Arial" w:cs="Arial" w:eastAsia="Arial" w:hAnsi="Arial"/>
                <w:sz w:val="20"/>
                <w:szCs w:val="20"/>
                <w:color w:val="auto"/>
              </w:rPr>
              <w:t>Mill Creek Limestone</w:t>
            </w:r>
          </w:p>
        </w:tc>
        <w:tc>
          <w:tcPr>
            <w:tcW w:w="860" w:type="dxa"/>
            <w:vAlign w:val="bottom"/>
          </w:tcPr>
          <w:p>
            <w:pPr>
              <w:jc w:val="right"/>
              <w:ind w:right="42"/>
              <w:spacing w:after="0"/>
              <w:rPr>
                <w:sz w:val="20"/>
                <w:szCs w:val="20"/>
                <w:color w:val="auto"/>
              </w:rPr>
            </w:pPr>
            <w:r>
              <w:rPr>
                <w:rFonts w:ascii="Arial" w:cs="Arial" w:eastAsia="Arial" w:hAnsi="Arial"/>
                <w:sz w:val="20"/>
                <w:szCs w:val="20"/>
                <w:color w:val="auto"/>
                <w:w w:val="89"/>
              </w:rPr>
              <w:t>3401859</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62"/>
              <w:spacing w:after="0"/>
              <w:rPr>
                <w:sz w:val="20"/>
                <w:szCs w:val="20"/>
                <w:color w:val="auto"/>
              </w:rPr>
            </w:pPr>
            <w:r>
              <w:rPr>
                <w:rFonts w:ascii="Arial" w:cs="Arial" w:eastAsia="Arial" w:hAnsi="Arial"/>
                <w:sz w:val="20"/>
                <w:szCs w:val="20"/>
                <w:color w:val="auto"/>
              </w:rPr>
              <w:t>191</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20" w:type="dxa"/>
            <w:vAlign w:val="bottom"/>
            <w:shd w:val="clear" w:color="auto" w:fill="CFF0FC"/>
          </w:tcPr>
          <w:p>
            <w:pPr>
              <w:spacing w:after="0"/>
              <w:rPr>
                <w:sz w:val="20"/>
                <w:szCs w:val="20"/>
                <w:color w:val="auto"/>
              </w:rPr>
            </w:pPr>
            <w:r>
              <w:rPr>
                <w:rFonts w:ascii="Arial" w:cs="Arial" w:eastAsia="Arial" w:hAnsi="Arial"/>
                <w:sz w:val="20"/>
                <w:szCs w:val="20"/>
                <w:color w:val="auto"/>
              </w:rPr>
              <w:t>Mill Creek Quarry</w:t>
            </w:r>
          </w:p>
        </w:tc>
        <w:tc>
          <w:tcPr>
            <w:tcW w:w="86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w w:val="89"/>
              </w:rPr>
              <w:t>3401285</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1</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w:t>
            </w:r>
          </w:p>
        </w:tc>
        <w:tc>
          <w:tcPr>
            <w:tcW w:w="96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r>
              <w:rPr>
                <w:rFonts w:ascii="Arial" w:cs="Arial" w:eastAsia="Arial" w:hAnsi="Arial"/>
                <w:sz w:val="20"/>
                <w:szCs w:val="20"/>
                <w:color w:val="auto"/>
              </w:rPr>
              <w:t>Perryville Aggregates</w:t>
            </w:r>
          </w:p>
        </w:tc>
        <w:tc>
          <w:tcPr>
            <w:tcW w:w="860" w:type="dxa"/>
            <w:vAlign w:val="bottom"/>
          </w:tcPr>
          <w:p>
            <w:pPr>
              <w:jc w:val="right"/>
              <w:ind w:right="42"/>
              <w:spacing w:after="0"/>
              <w:rPr>
                <w:sz w:val="20"/>
                <w:szCs w:val="20"/>
                <w:color w:val="auto"/>
              </w:rPr>
            </w:pPr>
            <w:r>
              <w:rPr>
                <w:rFonts w:ascii="Arial" w:cs="Arial" w:eastAsia="Arial" w:hAnsi="Arial"/>
                <w:sz w:val="20"/>
                <w:szCs w:val="20"/>
                <w:color w:val="auto"/>
                <w:w w:val="89"/>
              </w:rPr>
              <w:t>1601417</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20" w:type="dxa"/>
            <w:vAlign w:val="bottom"/>
            <w:shd w:val="clear" w:color="auto" w:fill="CFF0FC"/>
          </w:tcPr>
          <w:p>
            <w:pPr>
              <w:spacing w:after="0"/>
              <w:rPr>
                <w:sz w:val="20"/>
                <w:szCs w:val="20"/>
                <w:color w:val="auto"/>
              </w:rPr>
            </w:pPr>
            <w:r>
              <w:rPr>
                <w:rFonts w:ascii="Arial" w:cs="Arial" w:eastAsia="Arial" w:hAnsi="Arial"/>
                <w:sz w:val="20"/>
                <w:szCs w:val="20"/>
                <w:color w:val="auto"/>
              </w:rPr>
              <w:t>Poteet Sand</w:t>
            </w:r>
          </w:p>
        </w:tc>
        <w:tc>
          <w:tcPr>
            <w:tcW w:w="86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w w:val="89"/>
              </w:rPr>
              <w:t>4101342</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397</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r>
              <w:rPr>
                <w:rFonts w:ascii="Arial" w:cs="Arial" w:eastAsia="Arial" w:hAnsi="Arial"/>
                <w:sz w:val="20"/>
                <w:szCs w:val="20"/>
                <w:color w:val="auto"/>
              </w:rPr>
              <w:t>Rio Medina</w:t>
            </w:r>
          </w:p>
        </w:tc>
        <w:tc>
          <w:tcPr>
            <w:tcW w:w="860" w:type="dxa"/>
            <w:vAlign w:val="bottom"/>
          </w:tcPr>
          <w:p>
            <w:pPr>
              <w:jc w:val="right"/>
              <w:ind w:right="42"/>
              <w:spacing w:after="0"/>
              <w:rPr>
                <w:sz w:val="20"/>
                <w:szCs w:val="20"/>
                <w:color w:val="auto"/>
              </w:rPr>
            </w:pPr>
            <w:r>
              <w:rPr>
                <w:rFonts w:ascii="Arial" w:cs="Arial" w:eastAsia="Arial" w:hAnsi="Arial"/>
                <w:sz w:val="20"/>
                <w:szCs w:val="20"/>
                <w:color w:val="auto"/>
                <w:w w:val="89"/>
              </w:rPr>
              <w:t>4103594</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62"/>
              <w:spacing w:after="0"/>
              <w:rPr>
                <w:sz w:val="20"/>
                <w:szCs w:val="20"/>
                <w:color w:val="auto"/>
              </w:rPr>
            </w:pPr>
            <w:r>
              <w:rPr>
                <w:rFonts w:ascii="Arial" w:cs="Arial" w:eastAsia="Arial" w:hAnsi="Arial"/>
                <w:sz w:val="20"/>
                <w:szCs w:val="20"/>
                <w:color w:val="auto"/>
              </w:rPr>
              <w:t>118</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20" w:type="dxa"/>
            <w:vAlign w:val="bottom"/>
            <w:shd w:val="clear" w:color="auto" w:fill="CFF0FC"/>
          </w:tcPr>
          <w:p>
            <w:pPr>
              <w:spacing w:after="0"/>
              <w:rPr>
                <w:sz w:val="20"/>
                <w:szCs w:val="20"/>
                <w:color w:val="auto"/>
              </w:rPr>
            </w:pPr>
            <w:r>
              <w:rPr>
                <w:rFonts w:ascii="Arial" w:cs="Arial" w:eastAsia="Arial" w:hAnsi="Arial"/>
                <w:sz w:val="20"/>
                <w:szCs w:val="20"/>
                <w:color w:val="auto"/>
              </w:rPr>
              <w:t>San Pedro Quarry</w:t>
            </w:r>
          </w:p>
        </w:tc>
        <w:tc>
          <w:tcPr>
            <w:tcW w:w="86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w w:val="89"/>
              </w:rPr>
              <w:t>4101337</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r>
              <w:rPr>
                <w:rFonts w:ascii="Arial" w:cs="Arial" w:eastAsia="Arial" w:hAnsi="Arial"/>
                <w:sz w:val="20"/>
                <w:szCs w:val="20"/>
                <w:color w:val="auto"/>
              </w:rPr>
              <w:t>Sawyer Quarry</w:t>
            </w:r>
          </w:p>
        </w:tc>
        <w:tc>
          <w:tcPr>
            <w:tcW w:w="860" w:type="dxa"/>
            <w:vAlign w:val="bottom"/>
          </w:tcPr>
          <w:p>
            <w:pPr>
              <w:jc w:val="right"/>
              <w:ind w:right="42"/>
              <w:spacing w:after="0"/>
              <w:rPr>
                <w:sz w:val="20"/>
                <w:szCs w:val="20"/>
                <w:color w:val="auto"/>
              </w:rPr>
            </w:pPr>
            <w:r>
              <w:rPr>
                <w:rFonts w:ascii="Arial" w:cs="Arial" w:eastAsia="Arial" w:hAnsi="Arial"/>
                <w:sz w:val="20"/>
                <w:szCs w:val="20"/>
                <w:color w:val="auto"/>
                <w:w w:val="89"/>
              </w:rPr>
              <w:t>3401634</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20" w:type="dxa"/>
            <w:vAlign w:val="bottom"/>
            <w:shd w:val="clear" w:color="auto" w:fill="CFF0FC"/>
          </w:tcPr>
          <w:p>
            <w:pPr>
              <w:spacing w:after="0"/>
              <w:rPr>
                <w:sz w:val="20"/>
                <w:szCs w:val="20"/>
                <w:color w:val="auto"/>
              </w:rPr>
            </w:pPr>
            <w:r>
              <w:rPr>
                <w:rFonts w:ascii="Arial" w:cs="Arial" w:eastAsia="Arial" w:hAnsi="Arial"/>
                <w:sz w:val="20"/>
                <w:szCs w:val="20"/>
                <w:color w:val="auto"/>
              </w:rPr>
              <w:t>Snyder Quarry</w:t>
            </w:r>
          </w:p>
        </w:tc>
        <w:tc>
          <w:tcPr>
            <w:tcW w:w="86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w w:val="89"/>
              </w:rPr>
              <w:t>3401651</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236</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220" w:type="dxa"/>
            <w:vAlign w:val="bottom"/>
          </w:tcPr>
          <w:p>
            <w:pPr>
              <w:spacing w:after="0" w:line="224" w:lineRule="exact"/>
              <w:rPr>
                <w:sz w:val="20"/>
                <w:szCs w:val="20"/>
                <w:color w:val="auto"/>
              </w:rPr>
            </w:pPr>
            <w:r>
              <w:rPr>
                <w:rFonts w:ascii="Arial" w:cs="Arial" w:eastAsia="Arial" w:hAnsi="Arial"/>
                <w:sz w:val="20"/>
                <w:szCs w:val="20"/>
                <w:color w:val="auto"/>
                <w:w w:val="90"/>
              </w:rPr>
              <w:t>Portable Crusher #2 (South</w:t>
            </w: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240" w:type="dxa"/>
            <w:vAlign w:val="bottom"/>
            <w:gridSpan w:val="2"/>
          </w:tcPr>
          <w:p>
            <w:pPr>
              <w:spacing w:after="0"/>
              <w:rPr>
                <w:sz w:val="20"/>
                <w:szCs w:val="20"/>
                <w:color w:val="auto"/>
              </w:rPr>
            </w:pPr>
            <w:r>
              <w:rPr>
                <w:rFonts w:ascii="Arial" w:cs="Arial" w:eastAsia="Arial" w:hAnsi="Arial"/>
                <w:sz w:val="20"/>
                <w:szCs w:val="20"/>
                <w:color w:val="auto"/>
              </w:rPr>
              <w:t>Texas Port #2)</w:t>
            </w:r>
          </w:p>
        </w:tc>
        <w:tc>
          <w:tcPr>
            <w:tcW w:w="860" w:type="dxa"/>
            <w:vAlign w:val="bottom"/>
          </w:tcPr>
          <w:p>
            <w:pPr>
              <w:jc w:val="right"/>
              <w:ind w:right="42"/>
              <w:spacing w:after="0"/>
              <w:rPr>
                <w:sz w:val="20"/>
                <w:szCs w:val="20"/>
                <w:color w:val="auto"/>
              </w:rPr>
            </w:pPr>
            <w:r>
              <w:rPr>
                <w:rFonts w:ascii="Arial" w:cs="Arial" w:eastAsia="Arial" w:hAnsi="Arial"/>
                <w:sz w:val="20"/>
                <w:szCs w:val="20"/>
                <w:color w:val="auto"/>
                <w:w w:val="89"/>
              </w:rPr>
              <w:t>4104204</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62"/>
              <w:spacing w:after="0"/>
              <w:rPr>
                <w:sz w:val="20"/>
                <w:szCs w:val="20"/>
                <w:color w:val="auto"/>
              </w:rPr>
            </w:pPr>
            <w:r>
              <w:rPr>
                <w:rFonts w:ascii="Arial" w:cs="Arial" w:eastAsia="Arial" w:hAnsi="Arial"/>
                <w:sz w:val="20"/>
                <w:szCs w:val="20"/>
                <w:color w:val="auto"/>
              </w:rPr>
              <w:t>118</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20" w:type="dxa"/>
            <w:vAlign w:val="bottom"/>
            <w:shd w:val="clear" w:color="auto" w:fill="CFF0FC"/>
          </w:tcPr>
          <w:p>
            <w:pPr>
              <w:spacing w:after="0"/>
              <w:rPr>
                <w:sz w:val="20"/>
                <w:szCs w:val="20"/>
                <w:color w:val="auto"/>
              </w:rPr>
            </w:pPr>
            <w:r>
              <w:rPr>
                <w:rFonts w:ascii="Arial" w:cs="Arial" w:eastAsia="Arial" w:hAnsi="Arial"/>
                <w:sz w:val="20"/>
                <w:szCs w:val="20"/>
                <w:color w:val="auto"/>
              </w:rPr>
              <w:t>Tin Top SG</w:t>
            </w:r>
          </w:p>
        </w:tc>
        <w:tc>
          <w:tcPr>
            <w:tcW w:w="86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w w:val="89"/>
              </w:rPr>
              <w:t>4102852</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985</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r>
              <w:rPr>
                <w:rFonts w:ascii="Arial" w:cs="Arial" w:eastAsia="Arial" w:hAnsi="Arial"/>
                <w:sz w:val="20"/>
                <w:szCs w:val="20"/>
                <w:color w:val="auto"/>
              </w:rPr>
              <w:t>Washita Quarry</w:t>
            </w:r>
          </w:p>
        </w:tc>
        <w:tc>
          <w:tcPr>
            <w:tcW w:w="860" w:type="dxa"/>
            <w:vAlign w:val="bottom"/>
          </w:tcPr>
          <w:p>
            <w:pPr>
              <w:jc w:val="right"/>
              <w:ind w:right="42"/>
              <w:spacing w:after="0"/>
              <w:rPr>
                <w:sz w:val="20"/>
                <w:szCs w:val="20"/>
                <w:color w:val="auto"/>
              </w:rPr>
            </w:pPr>
            <w:r>
              <w:rPr>
                <w:rFonts w:ascii="Arial" w:cs="Arial" w:eastAsia="Arial" w:hAnsi="Arial"/>
                <w:sz w:val="20"/>
                <w:szCs w:val="20"/>
                <w:color w:val="auto"/>
                <w:w w:val="89"/>
              </w:rPr>
              <w:t>3402049</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20" w:type="dxa"/>
            <w:vAlign w:val="bottom"/>
            <w:shd w:val="clear" w:color="auto" w:fill="CFF0FC"/>
          </w:tcPr>
          <w:p>
            <w:pPr>
              <w:spacing w:after="0"/>
              <w:rPr>
                <w:sz w:val="20"/>
                <w:szCs w:val="20"/>
                <w:color w:val="auto"/>
              </w:rPr>
            </w:pPr>
            <w:r>
              <w:rPr>
                <w:rFonts w:ascii="Arial" w:cs="Arial" w:eastAsia="Arial" w:hAnsi="Arial"/>
                <w:sz w:val="20"/>
                <w:szCs w:val="20"/>
                <w:color w:val="auto"/>
              </w:rPr>
              <w:t>Webberville</w:t>
            </w:r>
          </w:p>
        </w:tc>
        <w:tc>
          <w:tcPr>
            <w:tcW w:w="86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w w:val="89"/>
              </w:rPr>
              <w:t>4104363</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594</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r>
              <w:rPr>
                <w:rFonts w:ascii="Arial" w:cs="Arial" w:eastAsia="Arial" w:hAnsi="Arial"/>
                <w:sz w:val="20"/>
                <w:szCs w:val="20"/>
                <w:color w:val="auto"/>
              </w:rPr>
              <w:t>Woodworth Aggregates</w:t>
            </w:r>
          </w:p>
        </w:tc>
        <w:tc>
          <w:tcPr>
            <w:tcW w:w="860" w:type="dxa"/>
            <w:vAlign w:val="bottom"/>
          </w:tcPr>
          <w:p>
            <w:pPr>
              <w:jc w:val="right"/>
              <w:ind w:right="42"/>
              <w:spacing w:after="0"/>
              <w:rPr>
                <w:sz w:val="20"/>
                <w:szCs w:val="20"/>
                <w:color w:val="auto"/>
              </w:rPr>
            </w:pPr>
            <w:r>
              <w:rPr>
                <w:rFonts w:ascii="Arial" w:cs="Arial" w:eastAsia="Arial" w:hAnsi="Arial"/>
                <w:sz w:val="20"/>
                <w:szCs w:val="20"/>
                <w:color w:val="auto"/>
                <w:w w:val="89"/>
              </w:rPr>
              <w:t>1601070</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20" w:type="dxa"/>
            <w:vAlign w:val="bottom"/>
            <w:shd w:val="clear" w:color="auto" w:fill="CFF0FC"/>
          </w:tcPr>
          <w:p>
            <w:pPr>
              <w:spacing w:after="0"/>
              <w:rPr>
                <w:sz w:val="20"/>
                <w:szCs w:val="20"/>
                <w:color w:val="auto"/>
              </w:rPr>
            </w:pPr>
            <w:r>
              <w:rPr>
                <w:rFonts w:ascii="Arial" w:cs="Arial" w:eastAsia="Arial" w:hAnsi="Arial"/>
                <w:sz w:val="20"/>
                <w:szCs w:val="20"/>
                <w:color w:val="auto"/>
                <w:w w:val="98"/>
              </w:rPr>
              <w:t>Cottonwood Sand Gravel</w:t>
            </w:r>
          </w:p>
        </w:tc>
        <w:tc>
          <w:tcPr>
            <w:tcW w:w="86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504418</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r>
              <w:rPr>
                <w:rFonts w:ascii="Arial" w:cs="Arial" w:eastAsia="Arial" w:hAnsi="Arial"/>
                <w:sz w:val="20"/>
                <w:szCs w:val="20"/>
                <w:color w:val="auto"/>
              </w:rPr>
              <w:t>Fountain Sand Gravel</w:t>
            </w:r>
          </w:p>
        </w:tc>
        <w:tc>
          <w:tcPr>
            <w:tcW w:w="860" w:type="dxa"/>
            <w:vAlign w:val="bottom"/>
          </w:tcPr>
          <w:p>
            <w:pPr>
              <w:jc w:val="right"/>
              <w:ind w:right="42"/>
              <w:spacing w:after="0"/>
              <w:rPr>
                <w:sz w:val="20"/>
                <w:szCs w:val="20"/>
                <w:color w:val="auto"/>
              </w:rPr>
            </w:pPr>
            <w:r>
              <w:rPr>
                <w:rFonts w:ascii="Arial" w:cs="Arial" w:eastAsia="Arial" w:hAnsi="Arial"/>
                <w:sz w:val="20"/>
                <w:szCs w:val="20"/>
                <w:color w:val="auto"/>
              </w:rPr>
              <w:t>503821</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20" w:type="dxa"/>
            <w:vAlign w:val="bottom"/>
            <w:shd w:val="clear" w:color="auto" w:fill="CFF0FC"/>
          </w:tcPr>
          <w:p>
            <w:pPr>
              <w:spacing w:after="0"/>
              <w:rPr>
                <w:sz w:val="20"/>
                <w:szCs w:val="20"/>
                <w:color w:val="auto"/>
              </w:rPr>
            </w:pPr>
            <w:r>
              <w:rPr>
                <w:rFonts w:ascii="Arial" w:cs="Arial" w:eastAsia="Arial" w:hAnsi="Arial"/>
                <w:sz w:val="20"/>
                <w:szCs w:val="20"/>
                <w:color w:val="auto"/>
              </w:rPr>
              <w:t>Granite Canyon Quarry</w:t>
            </w:r>
          </w:p>
        </w:tc>
        <w:tc>
          <w:tcPr>
            <w:tcW w:w="86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w w:val="89"/>
              </w:rPr>
              <w:t>4800018</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618</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r>
              <w:rPr>
                <w:rFonts w:ascii="Arial" w:cs="Arial" w:eastAsia="Arial" w:hAnsi="Arial"/>
                <w:sz w:val="20"/>
                <w:szCs w:val="20"/>
                <w:color w:val="auto"/>
              </w:rPr>
              <w:t>Greeley 35th Ready Mix</w:t>
            </w:r>
          </w:p>
        </w:tc>
        <w:tc>
          <w:tcPr>
            <w:tcW w:w="860" w:type="dxa"/>
            <w:vAlign w:val="bottom"/>
          </w:tcPr>
          <w:p>
            <w:pPr>
              <w:jc w:val="right"/>
              <w:ind w:right="42"/>
              <w:spacing w:after="0"/>
              <w:rPr>
                <w:sz w:val="20"/>
                <w:szCs w:val="20"/>
                <w:color w:val="auto"/>
              </w:rPr>
            </w:pPr>
            <w:r>
              <w:rPr>
                <w:rFonts w:ascii="Arial" w:cs="Arial" w:eastAsia="Arial" w:hAnsi="Arial"/>
                <w:sz w:val="20"/>
                <w:szCs w:val="20"/>
                <w:color w:val="auto"/>
              </w:rPr>
              <w:t>503215</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20" w:type="dxa"/>
            <w:vAlign w:val="bottom"/>
            <w:shd w:val="clear" w:color="auto" w:fill="CFF0FC"/>
          </w:tcPr>
          <w:p>
            <w:pPr>
              <w:spacing w:after="0"/>
              <w:rPr>
                <w:sz w:val="20"/>
                <w:szCs w:val="20"/>
                <w:color w:val="auto"/>
              </w:rPr>
            </w:pPr>
            <w:r>
              <w:rPr>
                <w:rFonts w:ascii="Arial" w:cs="Arial" w:eastAsia="Arial" w:hAnsi="Arial"/>
                <w:sz w:val="20"/>
                <w:szCs w:val="20"/>
                <w:color w:val="auto"/>
                <w:w w:val="95"/>
              </w:rPr>
              <w:t>Greeley 35th Sand Gravel</w:t>
            </w:r>
          </w:p>
        </w:tc>
        <w:tc>
          <w:tcPr>
            <w:tcW w:w="86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504613</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r>
              <w:rPr>
                <w:rFonts w:ascii="Arial" w:cs="Arial" w:eastAsia="Arial" w:hAnsi="Arial"/>
                <w:sz w:val="20"/>
                <w:szCs w:val="20"/>
                <w:color w:val="auto"/>
              </w:rPr>
              <w:t>Guernsey Quarry</w:t>
            </w:r>
          </w:p>
        </w:tc>
        <w:tc>
          <w:tcPr>
            <w:tcW w:w="860" w:type="dxa"/>
            <w:vAlign w:val="bottom"/>
          </w:tcPr>
          <w:p>
            <w:pPr>
              <w:jc w:val="right"/>
              <w:ind w:right="42"/>
              <w:spacing w:after="0"/>
              <w:rPr>
                <w:sz w:val="20"/>
                <w:szCs w:val="20"/>
                <w:color w:val="auto"/>
              </w:rPr>
            </w:pPr>
            <w:r>
              <w:rPr>
                <w:rFonts w:ascii="Arial" w:cs="Arial" w:eastAsia="Arial" w:hAnsi="Arial"/>
                <w:sz w:val="20"/>
                <w:szCs w:val="20"/>
                <w:color w:val="auto"/>
                <w:w w:val="89"/>
              </w:rPr>
              <w:t>4800004</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20" w:type="dxa"/>
            <w:vAlign w:val="bottom"/>
            <w:shd w:val="clear" w:color="auto" w:fill="CFF0FC"/>
          </w:tcPr>
          <w:p>
            <w:pPr>
              <w:spacing w:after="0"/>
              <w:rPr>
                <w:sz w:val="20"/>
                <w:szCs w:val="20"/>
                <w:color w:val="auto"/>
              </w:rPr>
            </w:pPr>
            <w:r>
              <w:rPr>
                <w:rFonts w:ascii="Arial" w:cs="Arial" w:eastAsia="Arial" w:hAnsi="Arial"/>
                <w:sz w:val="20"/>
                <w:szCs w:val="20"/>
                <w:color w:val="auto"/>
              </w:rPr>
              <w:t>Milford Quarry  Utah</w:t>
            </w:r>
          </w:p>
        </w:tc>
        <w:tc>
          <w:tcPr>
            <w:tcW w:w="86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w w:val="89"/>
              </w:rPr>
              <w:t>4202177</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118</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r>
              <w:rPr>
                <w:rFonts w:ascii="Arial" w:cs="Arial" w:eastAsia="Arial" w:hAnsi="Arial"/>
                <w:sz w:val="20"/>
                <w:szCs w:val="20"/>
                <w:color w:val="auto"/>
              </w:rPr>
              <w:t>Parkdale Quarry</w:t>
            </w:r>
          </w:p>
        </w:tc>
        <w:tc>
          <w:tcPr>
            <w:tcW w:w="860" w:type="dxa"/>
            <w:vAlign w:val="bottom"/>
          </w:tcPr>
          <w:p>
            <w:pPr>
              <w:jc w:val="right"/>
              <w:ind w:right="42"/>
              <w:spacing w:after="0"/>
              <w:rPr>
                <w:sz w:val="20"/>
                <w:szCs w:val="20"/>
                <w:color w:val="auto"/>
              </w:rPr>
            </w:pPr>
            <w:r>
              <w:rPr>
                <w:rFonts w:ascii="Arial" w:cs="Arial" w:eastAsia="Arial" w:hAnsi="Arial"/>
                <w:sz w:val="20"/>
                <w:szCs w:val="20"/>
                <w:color w:val="auto"/>
                <w:w w:val="89"/>
              </w:rPr>
              <w:t>0504635</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62"/>
              <w:spacing w:after="0"/>
              <w:rPr>
                <w:sz w:val="20"/>
                <w:szCs w:val="20"/>
                <w:color w:val="auto"/>
              </w:rPr>
            </w:pPr>
            <w:r>
              <w:rPr>
                <w:rFonts w:ascii="Arial" w:cs="Arial" w:eastAsia="Arial" w:hAnsi="Arial"/>
                <w:sz w:val="20"/>
                <w:szCs w:val="20"/>
                <w:color w:val="auto"/>
              </w:rPr>
              <w:t>236</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22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w w:val="88"/>
              </w:rPr>
              <w:t>Northern Portable Plant #19</w:t>
            </w:r>
          </w:p>
        </w:tc>
        <w:tc>
          <w:tcPr>
            <w:tcW w:w="8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220" w:type="dxa"/>
            <w:vAlign w:val="bottom"/>
            <w:shd w:val="clear" w:color="auto" w:fill="CFF0FC"/>
          </w:tcPr>
          <w:p>
            <w:pPr>
              <w:spacing w:after="0"/>
              <w:rPr>
                <w:sz w:val="20"/>
                <w:szCs w:val="20"/>
                <w:color w:val="auto"/>
              </w:rPr>
            </w:pPr>
            <w:r>
              <w:rPr>
                <w:rFonts w:ascii="Arial" w:cs="Arial" w:eastAsia="Arial" w:hAnsi="Arial"/>
                <w:sz w:val="20"/>
                <w:szCs w:val="20"/>
                <w:color w:val="auto"/>
              </w:rPr>
              <w:t>(Parsons Sand Gravel)</w:t>
            </w:r>
          </w:p>
        </w:tc>
        <w:tc>
          <w:tcPr>
            <w:tcW w:w="86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504382</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1</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756</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r>
              <w:rPr>
                <w:rFonts w:ascii="Arial" w:cs="Arial" w:eastAsia="Arial" w:hAnsi="Arial"/>
                <w:sz w:val="20"/>
                <w:szCs w:val="20"/>
                <w:color w:val="auto"/>
              </w:rPr>
              <w:t>PC Portable Plant 4</w:t>
            </w:r>
          </w:p>
        </w:tc>
        <w:tc>
          <w:tcPr>
            <w:tcW w:w="860" w:type="dxa"/>
            <w:vAlign w:val="bottom"/>
          </w:tcPr>
          <w:p>
            <w:pPr>
              <w:jc w:val="right"/>
              <w:ind w:right="42"/>
              <w:spacing w:after="0"/>
              <w:rPr>
                <w:sz w:val="20"/>
                <w:szCs w:val="20"/>
                <w:color w:val="auto"/>
              </w:rPr>
            </w:pPr>
            <w:r>
              <w:rPr>
                <w:rFonts w:ascii="Arial" w:cs="Arial" w:eastAsia="Arial" w:hAnsi="Arial"/>
                <w:sz w:val="20"/>
                <w:szCs w:val="20"/>
                <w:color w:val="auto"/>
                <w:w w:val="89"/>
              </w:rPr>
              <w:t>4801565</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20" w:type="dxa"/>
            <w:vAlign w:val="bottom"/>
            <w:shd w:val="clear" w:color="auto" w:fill="CFF0FC"/>
          </w:tcPr>
          <w:p>
            <w:pPr>
              <w:spacing w:after="0"/>
              <w:rPr>
                <w:sz w:val="20"/>
                <w:szCs w:val="20"/>
                <w:color w:val="auto"/>
              </w:rPr>
            </w:pPr>
            <w:r>
              <w:rPr>
                <w:rFonts w:ascii="Arial" w:cs="Arial" w:eastAsia="Arial" w:hAnsi="Arial"/>
                <w:sz w:val="20"/>
                <w:szCs w:val="20"/>
                <w:color w:val="auto"/>
                <w:w w:val="95"/>
              </w:rPr>
              <w:t>Penrose Sand and Gravel</w:t>
            </w:r>
          </w:p>
        </w:tc>
        <w:tc>
          <w:tcPr>
            <w:tcW w:w="86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504509</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r>
              <w:rPr>
                <w:rFonts w:ascii="Arial" w:cs="Arial" w:eastAsia="Arial" w:hAnsi="Arial"/>
                <w:sz w:val="20"/>
                <w:szCs w:val="20"/>
                <w:color w:val="auto"/>
              </w:rPr>
              <w:t>Portable Crushing</w:t>
            </w:r>
          </w:p>
        </w:tc>
        <w:tc>
          <w:tcPr>
            <w:tcW w:w="860" w:type="dxa"/>
            <w:vAlign w:val="bottom"/>
          </w:tcPr>
          <w:p>
            <w:pPr>
              <w:jc w:val="right"/>
              <w:ind w:right="42"/>
              <w:spacing w:after="0"/>
              <w:rPr>
                <w:sz w:val="20"/>
                <w:szCs w:val="20"/>
                <w:color w:val="auto"/>
              </w:rPr>
            </w:pPr>
            <w:r>
              <w:rPr>
                <w:rFonts w:ascii="Arial" w:cs="Arial" w:eastAsia="Arial" w:hAnsi="Arial"/>
                <w:sz w:val="20"/>
                <w:szCs w:val="20"/>
                <w:color w:val="auto"/>
              </w:rPr>
              <w:t>503984</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20" w:type="dxa"/>
            <w:vAlign w:val="bottom"/>
            <w:shd w:val="clear" w:color="auto" w:fill="CFF0FC"/>
          </w:tcPr>
          <w:p>
            <w:pPr>
              <w:spacing w:after="0"/>
              <w:rPr>
                <w:sz w:val="20"/>
                <w:szCs w:val="20"/>
                <w:color w:val="auto"/>
              </w:rPr>
            </w:pPr>
            <w:r>
              <w:rPr>
                <w:rFonts w:ascii="Arial" w:cs="Arial" w:eastAsia="Arial" w:hAnsi="Arial"/>
                <w:sz w:val="20"/>
                <w:szCs w:val="20"/>
                <w:color w:val="auto"/>
              </w:rPr>
              <w:t>Portable Plant 1</w:t>
            </w:r>
          </w:p>
        </w:tc>
        <w:tc>
          <w:tcPr>
            <w:tcW w:w="86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504359</w:t>
            </w:r>
          </w:p>
        </w:tc>
        <w:tc>
          <w:tcPr>
            <w:tcW w:w="58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2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220" w:type="dxa"/>
            <w:vAlign w:val="bottom"/>
          </w:tcPr>
          <w:p>
            <w:pPr>
              <w:spacing w:after="0"/>
              <w:rPr>
                <w:sz w:val="20"/>
                <w:szCs w:val="20"/>
                <w:color w:val="auto"/>
              </w:rPr>
            </w:pPr>
            <w:r>
              <w:rPr>
                <w:rFonts w:ascii="Arial" w:cs="Arial" w:eastAsia="Arial" w:hAnsi="Arial"/>
                <w:sz w:val="20"/>
                <w:szCs w:val="20"/>
                <w:color w:val="auto"/>
              </w:rPr>
              <w:t>Portable Plant 21</w:t>
            </w:r>
          </w:p>
        </w:tc>
        <w:tc>
          <w:tcPr>
            <w:tcW w:w="860" w:type="dxa"/>
            <w:vAlign w:val="bottom"/>
          </w:tcPr>
          <w:p>
            <w:pPr>
              <w:jc w:val="right"/>
              <w:ind w:right="42"/>
              <w:spacing w:after="0"/>
              <w:rPr>
                <w:sz w:val="20"/>
                <w:szCs w:val="20"/>
                <w:color w:val="auto"/>
              </w:rPr>
            </w:pPr>
            <w:r>
              <w:rPr>
                <w:rFonts w:ascii="Arial" w:cs="Arial" w:eastAsia="Arial" w:hAnsi="Arial"/>
                <w:sz w:val="20"/>
                <w:szCs w:val="20"/>
                <w:color w:val="auto"/>
              </w:rPr>
              <w:t>504520</w:t>
            </w:r>
          </w:p>
        </w:tc>
        <w:tc>
          <w:tcPr>
            <w:tcW w:w="58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44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22"/>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48"/>
        </w:trPr>
        <w:tc>
          <w:tcPr>
            <w:tcW w:w="2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w w:val="91"/>
              </w:rPr>
              <w:t>Appendix 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vMerge w:val="continue"/>
          </w:tcPr>
          <w:p>
            <w:pPr>
              <w:spacing w:after="0"/>
              <w:rPr>
                <w:sz w:val="20"/>
                <w:szCs w:val="20"/>
                <w:color w:val="auto"/>
              </w:rPr>
            </w:pPr>
          </w:p>
        </w:tc>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Red Canyon Quarry</w:t>
            </w:r>
          </w:p>
        </w:tc>
        <w:tc>
          <w:tcPr>
            <w:tcW w:w="840" w:type="dxa"/>
            <w:vAlign w:val="bottom"/>
            <w:shd w:val="clear" w:color="auto" w:fill="CFF0FC"/>
          </w:tcPr>
          <w:p>
            <w:pPr>
              <w:jc w:val="right"/>
              <w:ind w:right="22"/>
              <w:spacing w:after="0"/>
              <w:rPr>
                <w:sz w:val="20"/>
                <w:szCs w:val="20"/>
                <w:color w:val="auto"/>
              </w:rPr>
            </w:pPr>
            <w:r>
              <w:rPr>
                <w:rFonts w:ascii="Arial" w:cs="Arial" w:eastAsia="Arial" w:hAnsi="Arial"/>
                <w:sz w:val="20"/>
                <w:szCs w:val="20"/>
                <w:color w:val="auto"/>
              </w:rPr>
              <w:t>504136</w:t>
            </w:r>
          </w:p>
        </w:tc>
        <w:tc>
          <w:tcPr>
            <w:tcW w:w="620" w:type="dxa"/>
            <w:vAlign w:val="bottom"/>
            <w:shd w:val="clear" w:color="auto" w:fill="CFF0FC"/>
          </w:tcPr>
          <w:p>
            <w:pPr>
              <w:jc w:val="center"/>
              <w:ind w:right="62"/>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1,685</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Arial" w:cs="Arial" w:eastAsia="Arial" w:hAnsi="Arial"/>
                <w:sz w:val="20"/>
                <w:szCs w:val="20"/>
                <w:color w:val="auto"/>
              </w:rPr>
              <w:t>Riverbend Sand Gravel</w:t>
            </w:r>
          </w:p>
        </w:tc>
        <w:tc>
          <w:tcPr>
            <w:tcW w:w="840" w:type="dxa"/>
            <w:vAlign w:val="bottom"/>
          </w:tcPr>
          <w:p>
            <w:pPr>
              <w:jc w:val="right"/>
              <w:ind w:right="22"/>
              <w:spacing w:after="0"/>
              <w:rPr>
                <w:sz w:val="20"/>
                <w:szCs w:val="20"/>
                <w:color w:val="auto"/>
              </w:rPr>
            </w:pPr>
            <w:r>
              <w:rPr>
                <w:rFonts w:ascii="Arial" w:cs="Arial" w:eastAsia="Arial" w:hAnsi="Arial"/>
                <w:sz w:val="20"/>
                <w:szCs w:val="20"/>
                <w:color w:val="auto"/>
              </w:rPr>
              <w:t>504841</w:t>
            </w:r>
          </w:p>
        </w:tc>
        <w:tc>
          <w:tcPr>
            <w:tcW w:w="620" w:type="dxa"/>
            <w:vAlign w:val="bottom"/>
          </w:tcPr>
          <w:p>
            <w:pPr>
              <w:jc w:val="center"/>
              <w:ind w:right="62"/>
              <w:spacing w:after="0"/>
              <w:rPr>
                <w:sz w:val="20"/>
                <w:szCs w:val="20"/>
                <w:color w:val="auto"/>
              </w:rPr>
            </w:pPr>
            <w:r>
              <w:rPr>
                <w:rFonts w:ascii="Arial" w:cs="Arial" w:eastAsia="Arial" w:hAnsi="Arial"/>
                <w:sz w:val="20"/>
                <w:szCs w:val="20"/>
                <w:color w:val="auto"/>
                <w:w w:val="89"/>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62"/>
              <w:spacing w:after="0"/>
              <w:rPr>
                <w:sz w:val="20"/>
                <w:szCs w:val="20"/>
                <w:color w:val="auto"/>
              </w:rPr>
            </w:pPr>
            <w:r>
              <w:rPr>
                <w:rFonts w:ascii="Arial" w:cs="Arial" w:eastAsia="Arial" w:hAnsi="Arial"/>
                <w:sz w:val="20"/>
                <w:szCs w:val="20"/>
                <w:color w:val="auto"/>
              </w:rPr>
              <w:t>1,016</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16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w w:val="87"/>
              </w:rPr>
              <w:t>Spanish Springs Quarry Co</w:t>
            </w:r>
          </w:p>
        </w:tc>
        <w:tc>
          <w:tcPr>
            <w:tcW w:w="8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2</w:t>
            </w:r>
          </w:p>
        </w:tc>
        <w:tc>
          <w:tcPr>
            <w:tcW w:w="840" w:type="dxa"/>
            <w:vAlign w:val="bottom"/>
            <w:shd w:val="clear" w:color="auto" w:fill="CFF0FC"/>
          </w:tcPr>
          <w:p>
            <w:pPr>
              <w:jc w:val="right"/>
              <w:ind w:right="22"/>
              <w:spacing w:after="0"/>
              <w:rPr>
                <w:sz w:val="20"/>
                <w:szCs w:val="20"/>
                <w:color w:val="auto"/>
              </w:rPr>
            </w:pPr>
            <w:r>
              <w:rPr>
                <w:rFonts w:ascii="Arial" w:cs="Arial" w:eastAsia="Arial" w:hAnsi="Arial"/>
                <w:sz w:val="20"/>
                <w:szCs w:val="20"/>
                <w:color w:val="auto"/>
                <w:w w:val="89"/>
              </w:rPr>
              <w:t>2600803</w:t>
            </w:r>
          </w:p>
        </w:tc>
        <w:tc>
          <w:tcPr>
            <w:tcW w:w="620" w:type="dxa"/>
            <w:vAlign w:val="bottom"/>
            <w:shd w:val="clear" w:color="auto" w:fill="CFF0FC"/>
          </w:tcPr>
          <w:p>
            <w:pPr>
              <w:jc w:val="center"/>
              <w:ind w:right="62"/>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399</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Arial" w:cs="Arial" w:eastAsia="Arial" w:hAnsi="Arial"/>
                <w:sz w:val="20"/>
                <w:szCs w:val="20"/>
                <w:color w:val="auto"/>
              </w:rPr>
              <w:t>Spec Agg Quarry</w:t>
            </w:r>
          </w:p>
        </w:tc>
        <w:tc>
          <w:tcPr>
            <w:tcW w:w="840" w:type="dxa"/>
            <w:vAlign w:val="bottom"/>
          </w:tcPr>
          <w:p>
            <w:pPr>
              <w:jc w:val="right"/>
              <w:ind w:right="22"/>
              <w:spacing w:after="0"/>
              <w:rPr>
                <w:sz w:val="20"/>
                <w:szCs w:val="20"/>
                <w:color w:val="auto"/>
              </w:rPr>
            </w:pPr>
            <w:r>
              <w:rPr>
                <w:rFonts w:ascii="Arial" w:cs="Arial" w:eastAsia="Arial" w:hAnsi="Arial"/>
                <w:sz w:val="20"/>
                <w:szCs w:val="20"/>
                <w:color w:val="auto"/>
              </w:rPr>
              <w:t>500860</w:t>
            </w:r>
          </w:p>
        </w:tc>
        <w:tc>
          <w:tcPr>
            <w:tcW w:w="620" w:type="dxa"/>
            <w:vAlign w:val="bottom"/>
          </w:tcPr>
          <w:p>
            <w:pPr>
              <w:jc w:val="center"/>
              <w:ind w:right="42"/>
              <w:spacing w:after="0"/>
              <w:rPr>
                <w:sz w:val="20"/>
                <w:szCs w:val="20"/>
                <w:color w:val="auto"/>
              </w:rPr>
            </w:pPr>
            <w:r>
              <w:rPr>
                <w:rFonts w:ascii="Arial" w:cs="Arial" w:eastAsia="Arial" w:hAnsi="Arial"/>
                <w:sz w:val="20"/>
                <w:szCs w:val="20"/>
                <w:color w:val="auto"/>
                <w:w w:val="89"/>
              </w:rPr>
              <w:t>13</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62"/>
              <w:spacing w:after="0"/>
              <w:rPr>
                <w:sz w:val="20"/>
                <w:szCs w:val="20"/>
                <w:color w:val="auto"/>
              </w:rPr>
            </w:pPr>
            <w:r>
              <w:rPr>
                <w:rFonts w:ascii="Arial" w:cs="Arial" w:eastAsia="Arial" w:hAnsi="Arial"/>
                <w:sz w:val="20"/>
                <w:szCs w:val="20"/>
                <w:color w:val="auto"/>
              </w:rPr>
              <w:t>5,082</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16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Northern Portable Plant</w:t>
            </w:r>
          </w:p>
        </w:tc>
        <w:tc>
          <w:tcPr>
            <w:tcW w:w="8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#12 (Taft Sand Gravel)</w:t>
            </w:r>
          </w:p>
        </w:tc>
        <w:tc>
          <w:tcPr>
            <w:tcW w:w="840" w:type="dxa"/>
            <w:vAlign w:val="bottom"/>
            <w:shd w:val="clear" w:color="auto" w:fill="CFF0FC"/>
          </w:tcPr>
          <w:p>
            <w:pPr>
              <w:jc w:val="right"/>
              <w:ind w:right="22"/>
              <w:spacing w:after="0"/>
              <w:rPr>
                <w:sz w:val="20"/>
                <w:szCs w:val="20"/>
                <w:color w:val="auto"/>
              </w:rPr>
            </w:pPr>
            <w:r>
              <w:rPr>
                <w:rFonts w:ascii="Arial" w:cs="Arial" w:eastAsia="Arial" w:hAnsi="Arial"/>
                <w:sz w:val="20"/>
                <w:szCs w:val="20"/>
                <w:color w:val="auto"/>
              </w:rPr>
              <w:t>504526</w:t>
            </w:r>
          </w:p>
        </w:tc>
        <w:tc>
          <w:tcPr>
            <w:tcW w:w="620" w:type="dxa"/>
            <w:vAlign w:val="bottom"/>
            <w:shd w:val="clear" w:color="auto" w:fill="CFF0FC"/>
          </w:tcPr>
          <w:p>
            <w:pPr>
              <w:jc w:val="center"/>
              <w:ind w:right="62"/>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354</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Arial" w:cs="Arial" w:eastAsia="Arial" w:hAnsi="Arial"/>
                <w:sz w:val="20"/>
                <w:szCs w:val="20"/>
                <w:color w:val="auto"/>
              </w:rPr>
              <w:t>Taft Shop</w:t>
            </w:r>
          </w:p>
        </w:tc>
        <w:tc>
          <w:tcPr>
            <w:tcW w:w="840" w:type="dxa"/>
            <w:vAlign w:val="bottom"/>
          </w:tcPr>
          <w:p>
            <w:pPr>
              <w:jc w:val="right"/>
              <w:ind w:right="22"/>
              <w:spacing w:after="0"/>
              <w:rPr>
                <w:sz w:val="20"/>
                <w:szCs w:val="20"/>
                <w:color w:val="auto"/>
              </w:rPr>
            </w:pPr>
            <w:r>
              <w:rPr>
                <w:rFonts w:ascii="Arial" w:cs="Arial" w:eastAsia="Arial" w:hAnsi="Arial"/>
                <w:sz w:val="20"/>
                <w:szCs w:val="20"/>
                <w:color w:val="auto"/>
              </w:rPr>
              <w:t>504735</w:t>
            </w:r>
          </w:p>
        </w:tc>
        <w:tc>
          <w:tcPr>
            <w:tcW w:w="620" w:type="dxa"/>
            <w:vAlign w:val="bottom"/>
          </w:tcPr>
          <w:p>
            <w:pPr>
              <w:jc w:val="center"/>
              <w:ind w:right="62"/>
              <w:spacing w:after="0"/>
              <w:rPr>
                <w:sz w:val="20"/>
                <w:szCs w:val="20"/>
                <w:color w:val="auto"/>
              </w:rPr>
            </w:pPr>
            <w:r>
              <w:rPr>
                <w:rFonts w:ascii="Arial" w:cs="Arial" w:eastAsia="Arial" w:hAnsi="Arial"/>
                <w:sz w:val="20"/>
                <w:szCs w:val="20"/>
                <w:color w:val="auto"/>
                <w:w w:val="89"/>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62"/>
              <w:spacing w:after="0"/>
              <w:rPr>
                <w:sz w:val="20"/>
                <w:szCs w:val="20"/>
                <w:color w:val="auto"/>
              </w:rPr>
            </w:pPr>
            <w:r>
              <w:rPr>
                <w:rFonts w:ascii="Arial" w:cs="Arial" w:eastAsia="Arial" w:hAnsi="Arial"/>
                <w:sz w:val="20"/>
                <w:szCs w:val="20"/>
                <w:color w:val="auto"/>
              </w:rPr>
              <w:t>354</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Hunter Cement</w:t>
            </w:r>
          </w:p>
        </w:tc>
        <w:tc>
          <w:tcPr>
            <w:tcW w:w="840" w:type="dxa"/>
            <w:vAlign w:val="bottom"/>
            <w:shd w:val="clear" w:color="auto" w:fill="CFF0FC"/>
          </w:tcPr>
          <w:p>
            <w:pPr>
              <w:jc w:val="right"/>
              <w:ind w:right="22"/>
              <w:spacing w:after="0"/>
              <w:rPr>
                <w:sz w:val="20"/>
                <w:szCs w:val="20"/>
                <w:color w:val="auto"/>
              </w:rPr>
            </w:pPr>
            <w:r>
              <w:rPr>
                <w:rFonts w:ascii="Arial" w:cs="Arial" w:eastAsia="Arial" w:hAnsi="Arial"/>
                <w:sz w:val="20"/>
                <w:szCs w:val="20"/>
                <w:color w:val="auto"/>
                <w:w w:val="89"/>
              </w:rPr>
              <w:t>4102820</w:t>
            </w:r>
          </w:p>
        </w:tc>
        <w:tc>
          <w:tcPr>
            <w:tcW w:w="620" w:type="dxa"/>
            <w:vAlign w:val="bottom"/>
            <w:shd w:val="clear" w:color="auto" w:fill="CFF0FC"/>
          </w:tcPr>
          <w:p>
            <w:pPr>
              <w:jc w:val="center"/>
              <w:ind w:right="62"/>
              <w:spacing w:after="0"/>
              <w:rPr>
                <w:sz w:val="20"/>
                <w:szCs w:val="20"/>
                <w:color w:val="auto"/>
              </w:rPr>
            </w:pPr>
            <w:r>
              <w:rPr>
                <w:rFonts w:ascii="Arial" w:cs="Arial" w:eastAsia="Arial" w:hAnsi="Arial"/>
                <w:sz w:val="20"/>
                <w:szCs w:val="20"/>
                <w:color w:val="auto"/>
                <w:w w:val="89"/>
              </w:rPr>
              <w:t>1</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6,691</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Arial" w:cs="Arial" w:eastAsia="Arial" w:hAnsi="Arial"/>
                <w:sz w:val="20"/>
                <w:szCs w:val="20"/>
                <w:color w:val="auto"/>
              </w:rPr>
              <w:t>Midlothian Cement</w:t>
            </w:r>
          </w:p>
        </w:tc>
        <w:tc>
          <w:tcPr>
            <w:tcW w:w="840" w:type="dxa"/>
            <w:vAlign w:val="bottom"/>
          </w:tcPr>
          <w:p>
            <w:pPr>
              <w:jc w:val="right"/>
              <w:ind w:right="22"/>
              <w:spacing w:after="0"/>
              <w:rPr>
                <w:sz w:val="20"/>
                <w:szCs w:val="20"/>
                <w:color w:val="auto"/>
              </w:rPr>
            </w:pPr>
            <w:r>
              <w:rPr>
                <w:rFonts w:ascii="Arial" w:cs="Arial" w:eastAsia="Arial" w:hAnsi="Arial"/>
                <w:sz w:val="20"/>
                <w:szCs w:val="20"/>
                <w:color w:val="auto"/>
                <w:w w:val="89"/>
              </w:rPr>
              <w:t>4100071</w:t>
            </w:r>
          </w:p>
        </w:tc>
        <w:tc>
          <w:tcPr>
            <w:tcW w:w="620" w:type="dxa"/>
            <w:vAlign w:val="bottom"/>
          </w:tcPr>
          <w:p>
            <w:pPr>
              <w:jc w:val="center"/>
              <w:ind w:right="62"/>
              <w:spacing w:after="0"/>
              <w:rPr>
                <w:sz w:val="20"/>
                <w:szCs w:val="20"/>
                <w:color w:val="auto"/>
              </w:rPr>
            </w:pPr>
            <w:r>
              <w:rPr>
                <w:rFonts w:ascii="Arial" w:cs="Arial" w:eastAsia="Arial" w:hAnsi="Arial"/>
                <w:sz w:val="20"/>
                <w:szCs w:val="20"/>
                <w:color w:val="auto"/>
                <w:w w:val="89"/>
              </w:rPr>
              <w:t>1</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62"/>
              <w:spacing w:after="0"/>
              <w:rPr>
                <w:sz w:val="20"/>
                <w:szCs w:val="20"/>
                <w:color w:val="auto"/>
              </w:rPr>
            </w:pPr>
            <w:r>
              <w:rPr>
                <w:rFonts w:ascii="Arial" w:cs="Arial" w:eastAsia="Arial" w:hAnsi="Arial"/>
                <w:sz w:val="20"/>
                <w:szCs w:val="20"/>
                <w:color w:val="auto"/>
              </w:rPr>
              <w:t>4,567</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3</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w w:val="97"/>
              </w:rPr>
              <w:t>Geology and Exploration</w:t>
            </w:r>
          </w:p>
        </w:tc>
        <w:tc>
          <w:tcPr>
            <w:tcW w:w="840" w:type="dxa"/>
            <w:vAlign w:val="bottom"/>
            <w:shd w:val="clear" w:color="auto" w:fill="CFF0FC"/>
          </w:tcPr>
          <w:p>
            <w:pPr>
              <w:jc w:val="right"/>
              <w:ind w:right="22"/>
              <w:spacing w:after="0"/>
              <w:rPr>
                <w:sz w:val="20"/>
                <w:szCs w:val="20"/>
                <w:color w:val="auto"/>
              </w:rPr>
            </w:pPr>
            <w:r>
              <w:rPr>
                <w:rFonts w:ascii="Arial" w:cs="Arial" w:eastAsia="Arial" w:hAnsi="Arial"/>
                <w:sz w:val="20"/>
                <w:szCs w:val="20"/>
                <w:color w:val="auto"/>
              </w:rPr>
              <w:t>B7127</w:t>
            </w:r>
          </w:p>
        </w:tc>
        <w:tc>
          <w:tcPr>
            <w:tcW w:w="620" w:type="dxa"/>
            <w:vAlign w:val="bottom"/>
            <w:shd w:val="clear" w:color="auto" w:fill="CFF0FC"/>
          </w:tcPr>
          <w:p>
            <w:pPr>
              <w:jc w:val="center"/>
              <w:ind w:right="62"/>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Arial" w:cs="Arial" w:eastAsia="Arial" w:hAnsi="Arial"/>
                <w:sz w:val="20"/>
                <w:szCs w:val="20"/>
                <w:color w:val="auto"/>
              </w:rPr>
              <w:t>Woodville  Stone</w:t>
            </w:r>
          </w:p>
        </w:tc>
        <w:tc>
          <w:tcPr>
            <w:tcW w:w="840" w:type="dxa"/>
            <w:vAlign w:val="bottom"/>
          </w:tcPr>
          <w:p>
            <w:pPr>
              <w:jc w:val="right"/>
              <w:ind w:right="22"/>
              <w:spacing w:after="0"/>
              <w:rPr>
                <w:sz w:val="20"/>
                <w:szCs w:val="20"/>
                <w:color w:val="auto"/>
              </w:rPr>
            </w:pPr>
            <w:r>
              <w:rPr>
                <w:rFonts w:ascii="Arial" w:cs="Arial" w:eastAsia="Arial" w:hAnsi="Arial"/>
                <w:sz w:val="20"/>
                <w:szCs w:val="20"/>
                <w:color w:val="auto"/>
                <w:w w:val="89"/>
              </w:rPr>
              <w:t>3300156</w:t>
            </w:r>
          </w:p>
        </w:tc>
        <w:tc>
          <w:tcPr>
            <w:tcW w:w="620" w:type="dxa"/>
            <w:vAlign w:val="bottom"/>
          </w:tcPr>
          <w:p>
            <w:pPr>
              <w:jc w:val="center"/>
              <w:ind w:right="62"/>
              <w:spacing w:after="0"/>
              <w:rPr>
                <w:sz w:val="20"/>
                <w:szCs w:val="20"/>
                <w:color w:val="auto"/>
              </w:rPr>
            </w:pPr>
            <w:r>
              <w:rPr>
                <w:rFonts w:ascii="Arial" w:cs="Arial" w:eastAsia="Arial" w:hAnsi="Arial"/>
                <w:sz w:val="20"/>
                <w:szCs w:val="20"/>
                <w:color w:val="auto"/>
                <w:w w:val="89"/>
              </w:rPr>
              <w:t>0</w:t>
            </w:r>
          </w:p>
        </w:tc>
        <w:tc>
          <w:tcPr>
            <w:tcW w:w="660" w:type="dxa"/>
            <w:vAlign w:val="bottom"/>
          </w:tcPr>
          <w:p>
            <w:pPr>
              <w:jc w:val="right"/>
              <w:ind w:right="182"/>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2"/>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62"/>
              <w:spacing w:after="0"/>
              <w:rPr>
                <w:sz w:val="20"/>
                <w:szCs w:val="20"/>
                <w:color w:val="auto"/>
              </w:rPr>
            </w:pPr>
            <w:r>
              <w:rPr>
                <w:rFonts w:ascii="Arial" w:cs="Arial" w:eastAsia="Arial" w:hAnsi="Arial"/>
                <w:sz w:val="20"/>
                <w:szCs w:val="20"/>
                <w:color w:val="auto"/>
              </w:rPr>
              <w:t>472</w:t>
            </w:r>
          </w:p>
        </w:tc>
        <w:tc>
          <w:tcPr>
            <w:tcW w:w="520" w:type="dxa"/>
            <w:vAlign w:val="bottom"/>
          </w:tcPr>
          <w:p>
            <w:pPr>
              <w:jc w:val="right"/>
              <w:ind w:right="162"/>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5</w:t>
            </w:r>
          </w:p>
        </w:tc>
        <w:tc>
          <w:tcPr>
            <w:tcW w:w="420" w:type="dxa"/>
            <w:vAlign w:val="bottom"/>
          </w:tcPr>
          <w:p>
            <w:pPr>
              <w:jc w:val="right"/>
              <w:spacing w:after="0"/>
              <w:rPr>
                <w:sz w:val="20"/>
                <w:szCs w:val="20"/>
                <w:color w:val="auto"/>
              </w:rPr>
            </w:pPr>
            <w:r>
              <w:rPr>
                <w:rFonts w:ascii="Arial" w:cs="Arial" w:eastAsia="Arial" w:hAnsi="Arial"/>
                <w:sz w:val="20"/>
                <w:szCs w:val="20"/>
                <w:color w:val="auto"/>
              </w:rPr>
              <w:t>1</w:t>
            </w:r>
          </w:p>
        </w:tc>
        <w:tc>
          <w:tcPr>
            <w:tcW w:w="940" w:type="dxa"/>
            <w:vAlign w:val="bottom"/>
          </w:tcPr>
          <w:p>
            <w:pPr>
              <w:jc w:val="right"/>
              <w:ind w:right="202"/>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16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TOTALS</w:t>
            </w:r>
          </w:p>
        </w:tc>
        <w:tc>
          <w:tcPr>
            <w:tcW w:w="840" w:type="dxa"/>
            <w:vAlign w:val="bottom"/>
            <w:shd w:val="clear" w:color="auto" w:fill="CFF0FC"/>
          </w:tcPr>
          <w:p>
            <w:pPr>
              <w:spacing w:after="0"/>
              <w:rPr>
                <w:sz w:val="20"/>
                <w:szCs w:val="20"/>
                <w:color w:val="auto"/>
              </w:rPr>
            </w:pPr>
          </w:p>
        </w:tc>
        <w:tc>
          <w:tcPr>
            <w:tcW w:w="620" w:type="dxa"/>
            <w:vAlign w:val="bottom"/>
            <w:shd w:val="clear" w:color="auto" w:fill="CFF0FC"/>
          </w:tcPr>
          <w:p>
            <w:pPr>
              <w:jc w:val="center"/>
              <w:ind w:right="42"/>
              <w:spacing w:after="0"/>
              <w:rPr>
                <w:sz w:val="20"/>
                <w:szCs w:val="20"/>
                <w:color w:val="auto"/>
              </w:rPr>
            </w:pPr>
            <w:r>
              <w:rPr>
                <w:rFonts w:ascii="Arial" w:cs="Arial" w:eastAsia="Arial" w:hAnsi="Arial"/>
                <w:sz w:val="20"/>
                <w:szCs w:val="20"/>
                <w:b w:val="1"/>
                <w:bCs w:val="1"/>
                <w:color w:val="auto"/>
                <w:w w:val="89"/>
              </w:rPr>
              <w:t>38</w:t>
            </w:r>
          </w:p>
        </w:tc>
        <w:tc>
          <w:tcPr>
            <w:tcW w:w="660" w:type="dxa"/>
            <w:vAlign w:val="bottom"/>
            <w:shd w:val="clear" w:color="auto" w:fill="CFF0FC"/>
          </w:tcPr>
          <w:p>
            <w:pPr>
              <w:jc w:val="right"/>
              <w:ind w:right="182"/>
              <w:spacing w:after="0"/>
              <w:rPr>
                <w:sz w:val="20"/>
                <w:szCs w:val="20"/>
                <w:color w:val="auto"/>
              </w:rPr>
            </w:pPr>
            <w:r>
              <w:rPr>
                <w:rFonts w:ascii="Arial" w:cs="Arial" w:eastAsia="Arial" w:hAnsi="Arial"/>
                <w:sz w:val="20"/>
                <w:szCs w:val="20"/>
                <w:b w:val="1"/>
                <w:bCs w:val="1"/>
                <w:color w:val="auto"/>
              </w:rPr>
              <w:t>0</w:t>
            </w:r>
          </w:p>
        </w:tc>
        <w:tc>
          <w:tcPr>
            <w:tcW w:w="700" w:type="dxa"/>
            <w:vAlign w:val="bottom"/>
            <w:shd w:val="clear" w:color="auto" w:fill="CFF0FC"/>
          </w:tcPr>
          <w:p>
            <w:pPr>
              <w:jc w:val="right"/>
              <w:ind w:right="202"/>
              <w:spacing w:after="0"/>
              <w:rPr>
                <w:sz w:val="20"/>
                <w:szCs w:val="20"/>
                <w:color w:val="auto"/>
              </w:rPr>
            </w:pPr>
            <w:r>
              <w:rPr>
                <w:rFonts w:ascii="Arial" w:cs="Arial" w:eastAsia="Arial" w:hAnsi="Arial"/>
                <w:sz w:val="20"/>
                <w:szCs w:val="20"/>
                <w:b w:val="1"/>
                <w:bCs w:val="1"/>
                <w:color w:val="auto"/>
              </w:rPr>
              <w:t>0</w:t>
            </w:r>
          </w:p>
        </w:tc>
        <w:tc>
          <w:tcPr>
            <w:tcW w:w="680" w:type="dxa"/>
            <w:vAlign w:val="bottom"/>
            <w:shd w:val="clear" w:color="auto" w:fill="CFF0FC"/>
          </w:tcPr>
          <w:p>
            <w:pPr>
              <w:jc w:val="right"/>
              <w:ind w:right="202"/>
              <w:spacing w:after="0"/>
              <w:rPr>
                <w:sz w:val="20"/>
                <w:szCs w:val="20"/>
                <w:color w:val="auto"/>
              </w:rPr>
            </w:pPr>
            <w:r>
              <w:rPr>
                <w:rFonts w:ascii="Arial" w:cs="Arial" w:eastAsia="Arial" w:hAnsi="Arial"/>
                <w:sz w:val="20"/>
                <w:szCs w:val="20"/>
                <w:b w:val="1"/>
                <w:bCs w:val="1"/>
                <w:color w:val="auto"/>
              </w:rPr>
              <w:t>0</w:t>
            </w:r>
          </w:p>
        </w:tc>
        <w:tc>
          <w:tcPr>
            <w:tcW w:w="560" w:type="dxa"/>
            <w:vAlign w:val="bottom"/>
            <w:shd w:val="clear" w:color="auto" w:fill="CFF0FC"/>
          </w:tcPr>
          <w:p>
            <w:pPr>
              <w:jc w:val="right"/>
              <w:ind w:right="62"/>
              <w:spacing w:after="0"/>
              <w:rPr>
                <w:sz w:val="20"/>
                <w:szCs w:val="20"/>
                <w:color w:val="auto"/>
              </w:rPr>
            </w:pPr>
            <w:r>
              <w:rPr>
                <w:rFonts w:ascii="Arial" w:cs="Arial" w:eastAsia="Arial" w:hAnsi="Arial"/>
                <w:sz w:val="20"/>
                <w:szCs w:val="20"/>
                <w:b w:val="1"/>
                <w:bCs w:val="1"/>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720" w:type="dxa"/>
            <w:vAlign w:val="bottom"/>
            <w:shd w:val="clear" w:color="auto" w:fill="CFF0FC"/>
          </w:tcPr>
          <w:p>
            <w:pPr>
              <w:jc w:val="right"/>
              <w:ind w:right="62"/>
              <w:spacing w:after="0"/>
              <w:rPr>
                <w:sz w:val="20"/>
                <w:szCs w:val="20"/>
                <w:color w:val="auto"/>
              </w:rPr>
            </w:pPr>
            <w:r>
              <w:rPr>
                <w:rFonts w:ascii="Arial" w:cs="Arial" w:eastAsia="Arial" w:hAnsi="Arial"/>
                <w:sz w:val="20"/>
                <w:szCs w:val="20"/>
                <w:b w:val="1"/>
                <w:bCs w:val="1"/>
                <w:color w:val="auto"/>
                <w:w w:val="88"/>
              </w:rPr>
              <w:t>61,230</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20"/>
                <w:szCs w:val="20"/>
                <w:b w:val="1"/>
                <w:bCs w:val="1"/>
                <w:color w:val="auto"/>
              </w:rPr>
              <w:t>0</w:t>
            </w:r>
          </w:p>
        </w:tc>
        <w:tc>
          <w:tcPr>
            <w:tcW w:w="7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b w:val="1"/>
                <w:bCs w:val="1"/>
                <w:color w:val="auto"/>
                <w:w w:val="80"/>
              </w:rPr>
              <w:t>22</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8</w:t>
            </w:r>
          </w:p>
        </w:tc>
        <w:tc>
          <w:tcPr>
            <w:tcW w:w="940" w:type="dxa"/>
            <w:vAlign w:val="bottom"/>
            <w:shd w:val="clear" w:color="auto" w:fill="CFF0FC"/>
          </w:tcPr>
          <w:p>
            <w:pPr>
              <w:jc w:val="right"/>
              <w:ind w:right="202"/>
              <w:spacing w:after="0"/>
              <w:rPr>
                <w:sz w:val="20"/>
                <w:szCs w:val="20"/>
                <w:color w:val="auto"/>
              </w:rPr>
            </w:pPr>
            <w:r>
              <w:rPr>
                <w:rFonts w:ascii="Arial" w:cs="Arial" w:eastAsia="Arial" w:hAnsi="Arial"/>
                <w:sz w:val="20"/>
                <w:szCs w:val="20"/>
                <w:b w:val="1"/>
                <w:bCs w:val="1"/>
                <w:color w:val="auto"/>
              </w:rPr>
              <w:t>9</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*Of the 22 legal actions pending on March 31, 2018, 15 were contests of citations or orders referenced in Subpart B of CFR Part 2700, which includes contests of citations and orders issued under Section 104 of the Mine Act and contests of imminent danger orders under Section 107 of the Mine Act and seven were contests of proposed penalties referenced in Subpart C of 29 CFR Part 2700, which are administrative proceedings before the Commission challenging a civil penalty that MSHA has proposed for the violation contained in a citation or order.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1."/>
      <w:numFmt w:val="decimal"/>
      <w:start w:val="2"/>
    </w:lvl>
  </w:abstractNum>
  <w:abstractNum w:abstractNumId="10">
    <w:nsid w:val="721DA317"/>
    <w:multiLevelType w:val="hybridMultilevel"/>
    <w:lvl w:ilvl="0">
      <w:lvlJc w:val="left"/>
      <w:lvlText w:val="%1."/>
      <w:numFmt w:val="decimal"/>
      <w:start w:val="2"/>
    </w:lvl>
  </w:abstractNum>
  <w:abstractNum w:abstractNumId="11">
    <w:nsid w:val="2443A858"/>
    <w:multiLevelType w:val="hybridMultilevel"/>
    <w:lvl w:ilvl="0">
      <w:lvlJc w:val="left"/>
      <w:lvlText w:val="%1."/>
      <w:numFmt w:val="decimal"/>
      <w:start w:val="2"/>
    </w:lvl>
  </w:abstractNum>
  <w:abstractNum w:abstractNumId="12">
    <w:nsid w:val="2D1D5AE9"/>
    <w:multiLevelType w:val="hybridMultilevel"/>
    <w:lvl w:ilvl="0">
      <w:lvlJc w:val="left"/>
      <w:lvlText w:val="%1."/>
      <w:numFmt w:val="decimal"/>
      <w:start w:val="4"/>
    </w:lvl>
  </w:abstractNum>
  <w:abstractNum w:abstractNumId="13">
    <w:nsid w:val="6763845E"/>
    <w:multiLevelType w:val="hybridMultilevel"/>
    <w:lvl w:ilvl="0">
      <w:lvlJc w:val="left"/>
      <w:lvlText w:val="%1."/>
      <w:numFmt w:val="decimal"/>
      <w:start w:val="4"/>
    </w:lvl>
  </w:abstractNum>
  <w:abstractNum w:abstractNumId="14">
    <w:nsid w:val="75A2A8D4"/>
    <w:multiLevelType w:val="hybridMultilevel"/>
    <w:lvl w:ilvl="0">
      <w:lvlJc w:val="left"/>
      <w:lvlText w:val="%1."/>
      <w:numFmt w:val="decimal"/>
      <w:start w:val="5"/>
    </w:lvl>
  </w:abstractNum>
  <w:abstractNum w:abstractNumId="15">
    <w:nsid w:val="8EDBDAB"/>
    <w:multiLevelType w:val="hybridMultilevel"/>
    <w:lvl w:ilvl="0">
      <w:lvlJc w:val="left"/>
      <w:lvlText w:val="%1."/>
      <w:numFmt w:val="decimal"/>
      <w:start w:val="7"/>
    </w:lvl>
  </w:abstractNum>
  <w:abstractNum w:abstractNumId="16">
    <w:nsid w:val="79838CB2"/>
    <w:multiLevelType w:val="hybridMultilevel"/>
    <w:lvl w:ilvl="0">
      <w:lvlJc w:val="left"/>
      <w:lvlText w:val="%1."/>
      <w:numFmt w:val="decimal"/>
      <w:start w:val="8"/>
    </w:lvl>
  </w:abstractNum>
  <w:abstractNum w:abstractNumId="17">
    <w:nsid w:val="4353D0CD"/>
    <w:multiLevelType w:val="hybridMultilevel"/>
    <w:lvl w:ilvl="0">
      <w:lvlJc w:val="left"/>
      <w:lvlText w:val="%1."/>
      <w:numFmt w:val="decimal"/>
      <w:start w:val="9"/>
    </w:lvl>
  </w:abstractNum>
  <w:abstractNum w:abstractNumId="18">
    <w:nsid w:val="B03E0C6"/>
    <w:multiLevelType w:val="hybridMultilevel"/>
    <w:lvl w:ilvl="0">
      <w:lvlJc w:val="left"/>
      <w:lvlText w:val="%1."/>
      <w:numFmt w:val="decimal"/>
      <w:start w:val="10"/>
    </w:lvl>
  </w:abstractNum>
  <w:abstractNum w:abstractNumId="19">
    <w:nsid w:val="189A769B"/>
    <w:multiLevelType w:val="hybridMultilevel"/>
    <w:lvl w:ilvl="0">
      <w:lvlJc w:val="left"/>
      <w:lvlText w:val="%1."/>
      <w:numFmt w:val="decimal"/>
      <w:start w:val="11"/>
    </w:lvl>
  </w:abstractNum>
  <w:abstractNum w:abstractNumId="20">
    <w:nsid w:val="54E49EB4"/>
    <w:multiLevelType w:val="hybridMultilevel"/>
    <w:lvl w:ilvl="0">
      <w:lvlJc w:val="left"/>
      <w:lvlText w:val="%1."/>
      <w:numFmt w:val="decimal"/>
      <w:start w:val="12"/>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1)"/>
      <w:numFmt w:val="decimal"/>
      <w:start w:val="1"/>
    </w:lvl>
  </w:abstractNum>
  <w:abstractNum w:abstractNumId="23">
    <w:nsid w:val="836C40E"/>
    <w:multiLevelType w:val="hybridMultilevel"/>
    <w:lvl w:ilvl="0">
      <w:lvlJc w:val="left"/>
      <w:lvlText w:val="♦"/>
      <w:numFmt w:val="bullet"/>
      <w:start w:val="1"/>
    </w:lvl>
    <w:lvl w:ilvl="1">
      <w:lvlJc w:val="left"/>
      <w:lvlText w:val="•"/>
      <w:numFmt w:val="bullet"/>
      <w:start w:val="1"/>
    </w:lvl>
  </w:abstractNum>
  <w:abstractNum w:abstractNumId="24">
    <w:nsid w:val="2901D82"/>
    <w:multiLevelType w:val="hybridMultilevel"/>
    <w:lvl w:ilvl="0">
      <w:lvlJc w:val="left"/>
      <w:lvlText w:val="%1"/>
      <w:numFmt w:val="decimal"/>
      <w:start w:val="95"/>
    </w:lvl>
  </w:abstractNum>
  <w:abstractNum w:abstractNumId="25">
    <w:nsid w:val="3A95F874"/>
    <w:multiLevelType w:val="hybridMultilevel"/>
    <w:lvl w:ilvl="0">
      <w:lvlJc w:val="left"/>
      <w:lvlText w:val="%1."/>
      <w:numFmt w:val="decimal"/>
      <w:start w:val="1"/>
    </w:lvl>
    <w:lvl w:ilvl="1">
      <w:lvlJc w:val="left"/>
      <w:lvlText w:val="%2."/>
      <w:numFmt w:val="lowerLetter"/>
      <w:start w:val="1"/>
    </w:lvl>
  </w:abstractNum>
  <w:abstractNum w:abstractNumId="26">
    <w:nsid w:val="8138641"/>
    <w:multiLevelType w:val="hybridMultilevel"/>
    <w:lvl w:ilvl="0">
      <w:lvlJc w:val="left"/>
      <w:lvlText w:val="%1."/>
      <w:numFmt w:val="decimal"/>
      <w:start w:val="5"/>
    </w:lvl>
    <w:lvl w:ilvl="1">
      <w:lvlJc w:val="left"/>
      <w:lvlText w:val="%2."/>
      <w:numFmt w:val="lowerLetter"/>
      <w:start w:val="1"/>
    </w:lvl>
  </w:abstractNum>
  <w:abstractNum w:abstractNumId="27">
    <w:nsid w:val="1E7FF521"/>
    <w:multiLevelType w:val="hybridMultilevel"/>
    <w:lvl w:ilvl="0">
      <w:lvlJc w:val="left"/>
      <w:lvlText w:val="%1."/>
      <w:numFmt w:val="decimal"/>
      <w:start w:val="1"/>
    </w:lvl>
    <w:lvl w:ilvl="1">
      <w:lvlJc w:val="left"/>
      <w:lvlText w:val="%2."/>
      <w:numFmt w:val="lowerLetter"/>
      <w:start w:val="1"/>
    </w:lvl>
  </w:abstractNum>
  <w:abstractNum w:abstractNumId="28">
    <w:nsid w:val="7C3DBD3D"/>
    <w:multiLevelType w:val="hybridMultilevel"/>
    <w:lvl w:ilvl="0">
      <w:lvlJc w:val="left"/>
      <w:lvlText w:val="%1."/>
      <w:numFmt w:val="decimal"/>
      <w:start w:val="5"/>
    </w:lvl>
    <w:lvl w:ilvl="1">
      <w:lvlJc w:val="left"/>
      <w:lvlText w:val="%2."/>
      <w:numFmt w:val="lowerLetter"/>
      <w:start w:val="1"/>
    </w:lvl>
  </w:abstractNum>
  <w:abstractNum w:abstractNumId="29">
    <w:nsid w:val="737B8DDC"/>
    <w:multiLevelType w:val="hybridMultilevel"/>
    <w:lvl w:ilvl="0">
      <w:lvlJc w:val="left"/>
      <w:lvlText w:val="(%1)"/>
      <w:numFmt w:val="decimal"/>
      <w:start w:val="1"/>
    </w:lvl>
  </w:abstractNum>
  <w:abstractNum w:abstractNumId="30">
    <w:nsid w:val="6CEAF087"/>
    <w:multiLevelType w:val="hybridMultilevel"/>
    <w:lvl w:ilvl="0">
      <w:lvlJc w:val="left"/>
      <w:lvlText w:val="(%1)"/>
      <w:numFmt w:val="decimal"/>
      <w:start w:val="1"/>
    </w:lvl>
  </w:abstractNum>
  <w:abstractNum w:abstractNumId="31">
    <w:nsid w:val="22221A70"/>
    <w:multiLevelType w:val="hybridMultilevel"/>
    <w:lvl w:ilvl="0">
      <w:lvlJc w:val="left"/>
      <w:lvlText w:val="•"/>
      <w:numFmt w:val="bullet"/>
      <w:start w:val="1"/>
    </w:lvl>
  </w:abstractNum>
  <w:abstractNum w:abstractNumId="32">
    <w:nsid w:val="4516DD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2019-12-28T22:24:50Z</dcterms:created>
  <dcterms:modified xsi:type="dcterms:W3CDTF">2019-12-28T22:24:50Z</dcterms:modified>
</cp:coreProperties>
</file>