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136"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5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SCHEDULE 14A INFORMATION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8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line="239"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-4043680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-3631565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-3091180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-2679700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-2302510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-1847850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-973455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-561340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260985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3355975</wp:posOffset>
            </wp:positionV>
            <wp:extent cx="7254875" cy="1089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139"/>
        <w:spacing w:after="0"/>
        <w:rPr>
          <w:sz w:val="20"/>
          <w:szCs w:val="20"/>
          <w:color w:val="auto"/>
        </w:rPr>
      </w:pPr>
      <w:r>
        <w:rPr>
          <w:rFonts w:ascii="Arial" w:cs="Arial" w:eastAsia="Arial" w:hAnsi="Arial"/>
          <w:sz w:val="43"/>
          <w:szCs w:val="43"/>
          <w:b w:val="1"/>
          <w:bCs w:val="1"/>
          <w:color w:val="FFFFFF"/>
        </w:rPr>
        <w:t>PROXY STATEMENT</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2016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0"/>
        <w:spacing w:after="0"/>
        <w:rPr>
          <w:sz w:val="20"/>
          <w:szCs w:val="20"/>
          <w:color w:val="auto"/>
        </w:rPr>
      </w:pPr>
      <w:r>
        <w:rPr>
          <w:rFonts w:ascii="Arial" w:cs="Arial" w:eastAsia="Arial" w:hAnsi="Arial"/>
          <w:sz w:val="32"/>
          <w:szCs w:val="32"/>
          <w:b w:val="1"/>
          <w:bCs w:val="1"/>
          <w:color w:val="47829E"/>
        </w:rPr>
        <w:t>FOUNDATION. TRANSFORMATION. VALUE.</w:t>
      </w:r>
    </w:p>
    <w:p>
      <w:pPr>
        <w:sectPr>
          <w:pgSz w:w="11900" w:h="16838" w:orient="portrait"/>
          <w:cols w:equalWidth="0" w:num="1">
            <w:col w:w="9259"/>
          </w:cols>
          <w:pgMar w:left="120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817880</wp:posOffset>
            </wp:positionV>
            <wp:extent cx="111506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25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April 20,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Directors and Officers of Martin Marietta Materials, Inc. join me in inviting you to attend Martin Marietta’s Annual Meeting of Shareholders on May 19, 2016. The formal notice of this meeting and the proxy statement describing the matters to be acted upon at the meeting accompany this letter.</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Your vote is important. Whether or not you plan to attend the Annual Meeting in person, we encourage you to vote so that your shares will be represented and voted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continued support of Martin Marietta.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9189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8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Howard Nye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of the Board,</w:t>
      </w:r>
    </w:p>
    <w:p>
      <w:pPr>
        <w:spacing w:after="0"/>
        <w:rPr>
          <w:sz w:val="20"/>
          <w:szCs w:val="20"/>
          <w:color w:val="auto"/>
        </w:rPr>
      </w:pPr>
      <w:r>
        <w:rPr>
          <w:rFonts w:ascii="Arial" w:cs="Arial" w:eastAsia="Arial" w:hAnsi="Arial"/>
          <w:sz w:val="17"/>
          <w:szCs w:val="17"/>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ind w:left="3940"/>
        <w:spacing w:after="0"/>
        <w:rPr>
          <w:sz w:val="20"/>
          <w:szCs w:val="20"/>
          <w:color w:val="auto"/>
        </w:rPr>
      </w:pPr>
      <w:r>
        <w:rPr>
          <w:rFonts w:ascii="Arial" w:cs="Arial" w:eastAsia="Arial" w:hAnsi="Arial"/>
          <w:sz w:val="20"/>
          <w:szCs w:val="20"/>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w:t>
      </w:r>
    </w:p>
    <w:p>
      <w:pPr>
        <w:spacing w:after="0" w:line="10"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47829E"/>
        </w:rPr>
        <w:t>2710 Wycliff Road, Raleigh, North Carolina 27607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47829E"/>
        </w:rPr>
        <w:t>Notice of Annual Meeting of Shareholders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47829E"/>
        </w:rPr>
        <w:t>To Be Held May 19, 2016</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Annual Meeting of Shareholders of Martin Marietta Materials, Inc. will be held on Thursday, May 19, 2016, at 11:30 a.m. at our principal office located at 2710 Wycliff Road, Raleigh, North Carolina. At the meeting, the holders of our outstanding common stock will act on the following matters:</w:t>
      </w:r>
    </w:p>
    <w:p>
      <w:pPr>
        <w:spacing w:after="0" w:line="225" w:lineRule="exact"/>
        <w:rPr>
          <w:sz w:val="20"/>
          <w:szCs w:val="20"/>
          <w:color w:val="auto"/>
        </w:rPr>
      </w:pPr>
    </w:p>
    <w:p>
      <w:pPr>
        <w:ind w:left="900" w:hanging="446"/>
        <w:spacing w:after="0" w:line="24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as Directors the four (4) nominees named in the attached proxy statement, each to serve their respective term as described in the attached proxy statement, and until their successors are duly elected and qualified;</w:t>
      </w:r>
    </w:p>
    <w:p>
      <w:pPr>
        <w:spacing w:after="0" w:line="225"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amendment to the Articles of Incorporation to provide for the annual election of the Board of Directors;</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independent auditors for 2016;</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amendment to the Amended and Restated Stock Based Award Plan described in the attached proxy statement;</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Executive Cash Incentive Plan described in the attached proxy statement;</w:t>
      </w:r>
    </w:p>
    <w:p>
      <w:pPr>
        <w:spacing w:after="0" w:line="236" w:lineRule="exact"/>
        <w:rPr>
          <w:rFonts w:ascii="Arial" w:cs="Arial" w:eastAsia="Arial" w:hAnsi="Arial"/>
          <w:sz w:val="17"/>
          <w:szCs w:val="17"/>
          <w:color w:val="auto"/>
        </w:rPr>
      </w:pPr>
    </w:p>
    <w:p>
      <w:pPr>
        <w:ind w:left="900" w:hanging="446"/>
        <w:spacing w:after="0" w:line="24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by a non-binding advisory vote, the compensation of our named executive officers as described in the attached proxy statement; and</w:t>
      </w:r>
    </w:p>
    <w:p>
      <w:pPr>
        <w:spacing w:after="0" w:line="225"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other business as may properly come before the meeting.</w:t>
      </w:r>
    </w:p>
    <w:p>
      <w:pPr>
        <w:spacing w:after="0" w:line="21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All holders of record of Martin Marietta common stock (NYSE: MLM) at the close of business on March 11, 2016 are entitled to notice of and to vote at the Annual Meeting and any adjournments or postponements of the meeting.</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Whether or not you expect to attend the meeting, we hope you will date and sign the enclosed proxy card and mail it promptly in the enclosed stamped envelope.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0904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Roselyn R. Bar</w:t>
      </w:r>
    </w:p>
    <w:p>
      <w:pPr>
        <w:spacing w:after="0" w:line="232" w:lineRule="auto"/>
        <w:rPr>
          <w:sz w:val="20"/>
          <w:szCs w:val="20"/>
          <w:color w:val="auto"/>
        </w:rPr>
      </w:pPr>
      <w:r>
        <w:rPr>
          <w:rFonts w:ascii="Arial" w:cs="Arial" w:eastAsia="Arial" w:hAnsi="Arial"/>
          <w:sz w:val="17"/>
          <w:szCs w:val="17"/>
          <w:i w:val="1"/>
          <w:iCs w:val="1"/>
          <w:color w:val="auto"/>
        </w:rPr>
        <w:t>Executive Vice President, General</w:t>
      </w:r>
    </w:p>
    <w:p>
      <w:pPr>
        <w:ind w:left="100"/>
        <w:spacing w:after="0"/>
        <w:rPr>
          <w:sz w:val="20"/>
          <w:szCs w:val="20"/>
          <w:color w:val="auto"/>
        </w:rPr>
      </w:pPr>
      <w:r>
        <w:rPr>
          <w:rFonts w:ascii="Arial" w:cs="Arial" w:eastAsia="Arial" w:hAnsi="Arial"/>
          <w:sz w:val="17"/>
          <w:szCs w:val="17"/>
          <w:i w:val="1"/>
          <w:iCs w:val="1"/>
          <w:color w:val="auto"/>
        </w:rPr>
        <w:t>Counsel and Secretary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rPr>
          <w:sz w:val="20"/>
          <w:szCs w:val="20"/>
          <w:color w:val="auto"/>
        </w:rPr>
      </w:pPr>
      <w:r>
        <w:rPr>
          <w:rFonts w:ascii="Arial" w:cs="Arial" w:eastAsia="Arial" w:hAnsi="Arial"/>
          <w:sz w:val="17"/>
          <w:szCs w:val="17"/>
          <w:color w:val="auto"/>
        </w:rPr>
        <w:t>April 20, 2016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SHAREHOLDER MEETING TO BE HELD ON MAY 19, 2016</w:t>
      </w:r>
    </w:p>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 xml:space="preserve">Martin Marietta’s proxy statement, form of proxy card and 2015 Annual Report to Shareholders are also available for review on the Internet at </w:t>
      </w:r>
      <w:r>
        <w:rPr>
          <w:rFonts w:ascii="Arial" w:cs="Arial" w:eastAsia="Arial" w:hAnsi="Arial"/>
          <w:sz w:val="17"/>
          <w:szCs w:val="17"/>
          <w:i w:val="1"/>
          <w:iCs w:val="1"/>
          <w:color w:val="auto"/>
        </w:rPr>
        <w:t>ir.martinmarietta.com/reports.cfm</w:t>
      </w:r>
      <w:r>
        <w:rPr>
          <w:rFonts w:ascii="Arial" w:cs="Arial" w:eastAsia="Arial" w:hAnsi="Arial"/>
          <w:sz w:val="17"/>
          <w:szCs w:val="17"/>
          <w:color w:val="auto"/>
        </w:rPr>
        <w:t>.</w:t>
      </w:r>
    </w:p>
    <w:p>
      <w:pPr>
        <w:sectPr>
          <w:pgSz w:w="11900" w:h="16838" w:orient="portrait"/>
          <w:cols w:equalWidth="0" w:num="1">
            <w:col w:w="11420"/>
          </w:cols>
          <w:pgMar w:left="240" w:top="2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7829E"/>
        </w:rPr>
        <w:t>GENERAL INFORMATION</w:t>
      </w:r>
    </w:p>
    <w:p>
      <w:pPr>
        <w:sectPr>
          <w:pgSz w:w="11900" w:h="16838" w:orient="portrait"/>
          <w:cols w:equalWidth="0" w:num="1">
            <w:col w:w="11420"/>
          </w:cols>
          <w:pgMar w:left="240" w:top="325" w:right="239" w:bottom="1440" w:gutter="0" w:footer="0" w:header="0"/>
        </w:sectPr>
      </w:pPr>
    </w:p>
    <w:p>
      <w:pPr>
        <w:spacing w:after="0" w:line="32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proxy statement contains information related to the Annual Meeting of Shareholders of Martin Marietta Materials, Inc., a North Carolina corporation, to be held on Thursday, May 19, 2016, at 11:30 a.m. at Martin Marietta’s principal office, 2710 Wycliff Road, Raleigh, North Carolina. Martin Marietta’s audited financial statements and portions of the Annual Report on Form 10-K for the fiscal year ended December 31, 2015 are being mailed to shareholders with this proxy statement.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proxy statement, the proxy card, and the notice of meeting are being sent commencing on approximately April 20, 2016 to shareholders of record on March 11, 2016.</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purpose of the annual meeting?</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Whether or not you plan to attend the meeting, we encourage you to date, sign, and return your proxy in the enclosed envelope.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entitled to vote at the meeting?</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Only shareholders of record at the close of business on March 11, 2016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84"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b w:val="1"/>
          <w:bCs w:val="1"/>
          <w:i w:val="1"/>
          <w:iCs w:val="1"/>
          <w:color w:val="auto"/>
        </w:rPr>
        <w:t>What are the voting rights of the holders of Martin Marietta common stock?</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Each share of Martin Marietta common stock is entitled to one vote on each matter considered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can attend the meeting?</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constitutes a quorum?</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presence at the meeting, in person or by proxy, of the holders of a majority of the common stock outstanding on the record date constitutes a quorum, permitting shareholders to take action at the meeting. On March 11, 2016, there were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63,488,081 shares outstanding of Martin Marietta’s common stock, $.01 par value per share.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will oversee the voting results?</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change my vote after I return my proxy card?</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Yes. Even after you have submitted your vote, you may revoke your proxy at any time prior to its exercise at the Annual Meeting (i) by filing with Martin Marietta’s Corporate Secretary an instrument revoking the proxy prior to the meeting, (ii) by the timely delivery to Martin Marietta’s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 my 401(k) shares?</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85" w:lineRule="exact"/>
        <w:rPr>
          <w:sz w:val="20"/>
          <w:szCs w:val="20"/>
          <w:color w:val="auto"/>
        </w:rPr>
      </w:pPr>
    </w:p>
    <w:p>
      <w:pPr>
        <w:ind w:right="780"/>
        <w:spacing w:after="0" w:line="268" w:lineRule="auto"/>
        <w:rPr>
          <w:sz w:val="20"/>
          <w:szCs w:val="20"/>
          <w:color w:val="auto"/>
        </w:rPr>
      </w:pPr>
      <w:r>
        <w:rPr>
          <w:rFonts w:ascii="Arial" w:cs="Arial" w:eastAsia="Arial" w:hAnsi="Arial"/>
          <w:sz w:val="17"/>
          <w:szCs w:val="17"/>
          <w:b w:val="1"/>
          <w:bCs w:val="1"/>
          <w:i w:val="1"/>
          <w:iCs w:val="1"/>
          <w:color w:val="auto"/>
        </w:rPr>
        <w:t>Will my broker vote my shares for me if I do not give voting instructions? What are “broker non-votes”?</w:t>
      </w:r>
    </w:p>
    <w:p>
      <w:pPr>
        <w:spacing w:after="0" w:line="17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Brokers holding shares for beneficial owners must vote those shares according to the specific instructions they receive from the beneficial owners. If specific instructions are not received,</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-107950</wp:posOffset>
            </wp:positionV>
            <wp:extent cx="3429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25" w:right="239" w:bottom="1440" w:gutter="0" w:footer="0" w:header="0"/>
          <w:type w:val="continuous"/>
        </w:sectPr>
      </w:pPr>
    </w:p>
    <w:bookmarkStart w:id="5" w:name="page6"/>
    <w:bookmarkEnd w:id="5"/>
    <w:p>
      <w:pPr>
        <w:jc w:val="both"/>
        <w:spacing w:after="0" w:line="233" w:lineRule="auto"/>
        <w:rPr>
          <w:sz w:val="20"/>
          <w:szCs w:val="20"/>
          <w:color w:val="auto"/>
        </w:rPr>
      </w:pPr>
      <w:r>
        <w:rPr>
          <w:rFonts w:ascii="Arial" w:cs="Arial" w:eastAsia="Arial" w:hAnsi="Arial"/>
          <w:sz w:val="17"/>
          <w:szCs w:val="17"/>
          <w:color w:val="auto"/>
        </w:rPr>
        <w:t>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the proposed amendment to the Articles of Incorporation to provide for the annual election of the Board of Directors, the proposed amendment to the Amended and Restated Stock Based Award Plan, the proposed approval of the Executive Cash Incentive Plan, and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vote is required to approve each item?</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7"/>
          <w:szCs w:val="17"/>
          <w:i w:val="1"/>
          <w:iCs w:val="1"/>
          <w:color w:val="auto"/>
        </w:rPr>
        <w:t>i.e.</w:t>
      </w:r>
      <w:r>
        <w:rPr>
          <w:rFonts w:ascii="Arial" w:cs="Arial" w:eastAsia="Arial" w:hAnsi="Arial"/>
          <w:sz w:val="17"/>
          <w:szCs w:val="17"/>
          <w:color w:val="auto"/>
        </w:rPr>
        <w:t>, an election where the only nominees are those proposed by our Board of Directors, such as at the 2016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7"/>
          <w:szCs w:val="17"/>
          <w:color w:val="auto"/>
        </w:rPr>
        <w:t>Under North Carolina law, if an incumbent director is not re-elected at an Annual Meeting of Shareholders, then, even 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33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proposed amendment to the Amended and Restated Stock Based Award Plan and the proposed Executive Cash Incentive Plan will be approved if a majority of the votes cast are in favor of the proposals. For this purpose, “abstentions” are considered to be votes cast and will have the effect of a vote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sz w:val="1"/>
          <w:szCs w:val="1"/>
          <w:color w:val="auto"/>
        </w:rPr>
        <w:drawing>
          <wp:inline distT="0" distB="0" distL="0" distR="0">
            <wp:extent cx="342900" cy="2057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cast “against” the proposed plans, while broker non-votes will not be considered to be votes cast and will not affect the outcome of the vote on these proposals. The proposed amendment to the Articles of Incorporation, of the ratification of the selection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if any, will not be counted “for” or “against” any of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Where can I find voting results for the Annual Meeting?</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Where can I find out more information about Martin Marietta?</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as well as our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are all available through the website. Alternatively, </w:t>
      </w:r>
      <w:r>
        <w:rPr>
          <w:rFonts w:ascii="Arial" w:cs="Arial" w:eastAsia="Arial" w:hAnsi="Arial"/>
          <w:sz w:val="17"/>
          <w:szCs w:val="17"/>
          <w:b w:val="1"/>
          <w:bCs w:val="1"/>
          <w:i w:val="1"/>
          <w:iCs w:val="1"/>
          <w:color w:val="auto"/>
        </w:rPr>
        <w:t>our shareholders and other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interested parties may obtain, without charge, copies of all of these documents by writing to the Corporate Secretary, Martin Marietta, 2710 Wycliff Road, Raleigh, NC 27607</w:t>
      </w:r>
      <w:r>
        <w:rPr>
          <w:rFonts w:ascii="Arial" w:cs="Arial" w:eastAsia="Arial" w:hAnsi="Arial"/>
          <w:sz w:val="17"/>
          <w:szCs w:val="17"/>
          <w:color w:val="auto"/>
        </w:rPr>
        <w:t>. Please note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contained on Martin Marietta’s website is not incorporated by reference in, or considered to be a part of, this document.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paying for this proxy statement?</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 paid to such individuals. Martin Marietta will use the services of Morrow &amp; Co.,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w:t>
      </w:r>
    </w:p>
    <w:p>
      <w:pPr>
        <w:sectPr>
          <w:pgSz w:w="11900" w:h="16838" w:orient="portrait"/>
          <w:cols w:equalWidth="0" w:num="2">
            <w:col w:w="5480" w:space="340"/>
            <w:col w:w="5480"/>
          </w:cols>
          <w:pgMar w:left="240" w:top="336"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Will any other matters be presented at the Annual Meeting?</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the Board’s recommendations?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90" w:lineRule="exact"/>
        <w:rPr>
          <w:sz w:val="20"/>
          <w:szCs w:val="20"/>
          <w:color w:val="auto"/>
        </w:rPr>
      </w:pPr>
    </w:p>
    <w:p>
      <w:pPr>
        <w:ind w:left="380" w:hanging="291"/>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nominated slate of Directors;</w:t>
      </w:r>
    </w:p>
    <w:p>
      <w:pPr>
        <w:spacing w:after="0" w:line="20" w:lineRule="exact"/>
        <w:rPr>
          <w:sz w:val="20"/>
          <w:szCs w:val="20"/>
          <w:color w:val="auto"/>
        </w:rPr>
      </w:pPr>
      <w:r>
        <w:rPr>
          <w:sz w:val="20"/>
          <w:szCs w:val="20"/>
          <w:color w:val="auto"/>
        </w:rPr>
        <w:br w:type="column"/>
      </w:r>
    </w:p>
    <w:p>
      <w:pPr>
        <w:jc w:val="both"/>
        <w:ind w:left="380" w:right="120" w:hanging="291"/>
        <w:spacing w:after="0" w:line="253"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amendment to the Articles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to provide for the annual election of the Board of Directors;</w:t>
      </w:r>
    </w:p>
    <w:p>
      <w:pPr>
        <w:spacing w:after="0" w:line="276" w:lineRule="exact"/>
        <w:rPr>
          <w:rFonts w:ascii="Arial" w:cs="Arial" w:eastAsia="Arial" w:hAnsi="Arial"/>
          <w:sz w:val="17"/>
          <w:szCs w:val="17"/>
          <w:color w:val="auto"/>
        </w:rPr>
      </w:pPr>
    </w:p>
    <w:p>
      <w:pPr>
        <w:ind w:left="380" w:right="140" w:hanging="291"/>
        <w:spacing w:after="0" w:line="26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PricewaterhouseCoopers</w:t>
      </w:r>
      <w:r>
        <w:rPr>
          <w:rFonts w:ascii="Arial" w:cs="Arial" w:eastAsia="Arial" w:hAnsi="Arial"/>
          <w:sz w:val="17"/>
          <w:szCs w:val="17"/>
          <w:b w:val="1"/>
          <w:bCs w:val="1"/>
          <w:color w:val="auto"/>
        </w:rPr>
        <w:t xml:space="preserve"> </w:t>
      </w:r>
      <w:r>
        <w:rPr>
          <w:rFonts w:ascii="Arial" w:cs="Arial" w:eastAsia="Arial" w:hAnsi="Arial"/>
          <w:sz w:val="17"/>
          <w:szCs w:val="17"/>
          <w:color w:val="auto"/>
        </w:rPr>
        <w:t>LLP as independent auditors;</w:t>
      </w:r>
    </w:p>
    <w:p>
      <w:pPr>
        <w:spacing w:after="0" w:line="63" w:lineRule="exact"/>
        <w:rPr>
          <w:rFonts w:ascii="Arial" w:cs="Arial" w:eastAsia="Arial" w:hAnsi="Arial"/>
          <w:sz w:val="17"/>
          <w:szCs w:val="17"/>
          <w:color w:val="auto"/>
        </w:rPr>
      </w:pPr>
    </w:p>
    <w:p>
      <w:pPr>
        <w:ind w:left="380" w:right="120" w:hanging="291"/>
        <w:spacing w:after="0" w:line="26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amendment to the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Stock Based Award Plan;</w:t>
      </w:r>
    </w:p>
    <w:p>
      <w:pPr>
        <w:spacing w:after="0" w:line="63" w:lineRule="exact"/>
        <w:rPr>
          <w:rFonts w:ascii="Arial" w:cs="Arial" w:eastAsia="Arial" w:hAnsi="Arial"/>
          <w:sz w:val="17"/>
          <w:szCs w:val="17"/>
          <w:color w:val="auto"/>
        </w:rPr>
      </w:pPr>
    </w:p>
    <w:p>
      <w:pPr>
        <w:ind w:left="380" w:hanging="291"/>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Executive Cash Incentive Plan;</w:t>
      </w:r>
    </w:p>
    <w:p>
      <w:pPr>
        <w:spacing w:after="0" w:line="115" w:lineRule="exact"/>
        <w:rPr>
          <w:rFonts w:ascii="Arial" w:cs="Arial" w:eastAsia="Arial" w:hAnsi="Arial"/>
          <w:sz w:val="17"/>
          <w:szCs w:val="17"/>
          <w:color w:val="auto"/>
        </w:rPr>
      </w:pPr>
    </w:p>
    <w:p>
      <w:pPr>
        <w:jc w:val="both"/>
        <w:ind w:left="380" w:right="120" w:hanging="291"/>
        <w:spacing w:after="0" w:line="250"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by a non-binding advisory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of our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-1768475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2"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With respect to any other matter that properly comes before the meeting, the proxy holders will vote as recommended by the Board of Directors or, if no recommendation is given, in their own discretion.</w:t>
      </w:r>
    </w:p>
    <w:p>
      <w:pPr>
        <w:spacing w:after="0" w:line="995" w:lineRule="exact"/>
        <w:rPr>
          <w:sz w:val="20"/>
          <w:szCs w:val="20"/>
          <w:color w:val="auto"/>
        </w:rPr>
      </w:pPr>
    </w:p>
    <w:p>
      <w:pPr>
        <w:sectPr>
          <w:pgSz w:w="11900" w:h="16838" w:orient="portrait"/>
          <w:cols w:equalWidth="0" w:num="2">
            <w:col w:w="5480" w:space="340"/>
            <w:col w:w="5600"/>
          </w:cols>
          <w:pgMar w:left="240" w:top="316"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NOTICE 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737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372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FOR THE ANNUAL MEETING OF SHAREHOLDERS TO BE HELD ON MAY 19, 2016</w:t>
      </w:r>
    </w:p>
    <w:p>
      <w:pPr>
        <w:spacing w:after="0" w:line="187"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b w:val="1"/>
          <w:bCs w:val="1"/>
          <w:color w:val="auto"/>
        </w:rPr>
        <w:t xml:space="preserve">THIS PROXY STATEMENT, FORM OF PROXY CARD AND THE ACCOMPANYING ANNUAL REPORT ARE ALSO AVAILABLE AT </w:t>
      </w:r>
      <w:r>
        <w:rPr>
          <w:rFonts w:ascii="Arial" w:cs="Arial" w:eastAsia="Arial" w:hAnsi="Arial"/>
          <w:sz w:val="17"/>
          <w:szCs w:val="17"/>
          <w:b w:val="1"/>
          <w:bCs w:val="1"/>
          <w:i w:val="1"/>
          <w:iCs w:val="1"/>
          <w:color w:val="auto"/>
        </w:rPr>
        <w:t>IR.MARTINMARIETTA.COM/REPORTS.CFM</w:t>
      </w:r>
      <w:r>
        <w:rPr>
          <w:rFonts w:ascii="Arial" w:cs="Arial" w:eastAsia="Arial" w:hAnsi="Arial"/>
          <w:sz w:val="17"/>
          <w:szCs w:val="17"/>
          <w:b w:val="1"/>
          <w:bCs w:val="1"/>
          <w:color w:val="auto"/>
        </w:rPr>
        <w:t>.</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BENEFICIAL OWNERSHIP AND MANAGEMENT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largest owners of Martin Marietta’s stock?</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following table sets forth information with respect to the shares of common stock which are held by persons known to Martin Marietta to be the beneficial owners of more than 5% of such stock as of March 11, 2016. To the best of Martin Marietta’s knowledge, based on filings with the Securities and Exchange Commission as noted below, no person beneficially owned more than 5% of any class of Martin Marietta’s outstanding voting securities at the close of business on March 11, 2016, except for those shown below.</w:t>
      </w:r>
    </w:p>
    <w:p>
      <w:pPr>
        <w:spacing w:after="0" w:line="237" w:lineRule="exact"/>
        <w:rPr>
          <w:sz w:val="20"/>
          <w:szCs w:val="20"/>
          <w:color w:val="auto"/>
        </w:rPr>
      </w:pPr>
    </w:p>
    <w:tbl>
      <w:tblPr>
        <w:tblLayout w:type="fixed"/>
        <w:tblInd w:w="1390" w:type="dxa"/>
        <w:tblCellMar>
          <w:top w:w="0" w:type="dxa"/>
          <w:left w:w="0" w:type="dxa"/>
          <w:bottom w:w="0" w:type="dxa"/>
          <w:right w:w="0" w:type="dxa"/>
        </w:tblCellMar>
      </w:tblPr>
      <w:tr>
        <w:trPr>
          <w:trHeight w:val="162"/>
        </w:trPr>
        <w:tc>
          <w:tcPr>
            <w:tcW w:w="48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4"/>
                <w:szCs w:val="14"/>
                <w:b w:val="1"/>
                <w:bCs w:val="1"/>
                <w:color w:val="FFFFFF"/>
              </w:rPr>
              <w:t>Name and Address</w:t>
            </w:r>
          </w:p>
        </w:tc>
        <w:tc>
          <w:tcPr>
            <w:tcW w:w="2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Amount and Nature</w:t>
            </w:r>
          </w:p>
        </w:tc>
        <w:tc>
          <w:tcPr>
            <w:tcW w:w="1800" w:type="dxa"/>
            <w:vAlign w:val="bottom"/>
            <w:tcBorders>
              <w:right w:val="single" w:sz="8" w:color="47829E"/>
            </w:tcBorders>
            <w:shd w:val="clear" w:color="auto" w:fill="47829E"/>
          </w:tcPr>
          <w:p>
            <w:pPr>
              <w:ind w:left="580"/>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4"/>
                <w:szCs w:val="14"/>
                <w:b w:val="1"/>
                <w:bCs w:val="1"/>
                <w:color w:val="FFFFFF"/>
              </w:rPr>
              <w:t>of Beneficial Owner</w:t>
            </w:r>
          </w:p>
        </w:tc>
        <w:tc>
          <w:tcPr>
            <w:tcW w:w="2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of Beneficial Ownership</w:t>
            </w:r>
          </w:p>
        </w:tc>
        <w:tc>
          <w:tcPr>
            <w:tcW w:w="1800" w:type="dxa"/>
            <w:vAlign w:val="bottom"/>
            <w:tcBorders>
              <w:right w:val="single" w:sz="8" w:color="47829E"/>
            </w:tcBorders>
            <w:shd w:val="clear" w:color="auto" w:fill="47829E"/>
          </w:tcPr>
          <w:p>
            <w:pPr>
              <w:ind w:left="580"/>
              <w:spacing w:after="0"/>
              <w:rPr>
                <w:sz w:val="20"/>
                <w:szCs w:val="20"/>
                <w:color w:val="auto"/>
              </w:rPr>
            </w:pPr>
            <w:r>
              <w:rPr>
                <w:rFonts w:ascii="Arial" w:cs="Arial" w:eastAsia="Arial" w:hAnsi="Arial"/>
                <w:sz w:val="14"/>
                <w:szCs w:val="14"/>
                <w:b w:val="1"/>
                <w:bCs w:val="1"/>
                <w:color w:val="FFFFFF"/>
              </w:rPr>
              <w:t>of Class</w:t>
            </w:r>
          </w:p>
        </w:tc>
        <w:tc>
          <w:tcPr>
            <w:tcW w:w="0" w:type="dxa"/>
            <w:vAlign w:val="bottom"/>
          </w:tcPr>
          <w:p>
            <w:pPr>
              <w:spacing w:after="0"/>
              <w:rPr>
                <w:sz w:val="1"/>
                <w:szCs w:val="1"/>
                <w:color w:val="auto"/>
              </w:rPr>
            </w:pPr>
          </w:p>
        </w:tc>
      </w:tr>
      <w:tr>
        <w:trPr>
          <w:trHeight w:val="135"/>
        </w:trPr>
        <w:tc>
          <w:tcPr>
            <w:tcW w:w="4800" w:type="dxa"/>
            <w:vAlign w:val="bottom"/>
            <w:tcBorders>
              <w:left w:val="single" w:sz="8" w:color="47829E"/>
              <w:right w:val="single" w:sz="8" w:color="47829E"/>
            </w:tcBorders>
          </w:tcPr>
          <w:p>
            <w:pPr>
              <w:ind w:left="1740"/>
              <w:spacing w:after="0" w:line="135" w:lineRule="exact"/>
              <w:rPr>
                <w:sz w:val="20"/>
                <w:szCs w:val="20"/>
                <w:color w:val="auto"/>
              </w:rPr>
            </w:pPr>
            <w:r>
              <w:rPr>
                <w:rFonts w:ascii="Arial" w:cs="Arial" w:eastAsia="Arial" w:hAnsi="Arial"/>
                <w:sz w:val="15"/>
                <w:szCs w:val="15"/>
                <w:color w:val="auto"/>
              </w:rPr>
              <w:t>1</w:t>
            </w:r>
          </w:p>
        </w:tc>
        <w:tc>
          <w:tcPr>
            <w:tcW w:w="2100" w:type="dxa"/>
            <w:vAlign w:val="bottom"/>
            <w:tcBorders>
              <w:right w:val="single" w:sz="8" w:color="47829E"/>
            </w:tcBorders>
          </w:tcPr>
          <w:p>
            <w:pPr>
              <w:spacing w:after="0"/>
              <w:rPr>
                <w:sz w:val="11"/>
                <w:szCs w:val="11"/>
                <w:color w:val="auto"/>
              </w:rPr>
            </w:pPr>
          </w:p>
        </w:tc>
        <w:tc>
          <w:tcPr>
            <w:tcW w:w="1800" w:type="dxa"/>
            <w:vAlign w:val="bottom"/>
            <w:tcBorders>
              <w:right w:val="single" w:sz="8" w:color="47829E"/>
            </w:tcBorders>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800" w:type="dxa"/>
            <w:vAlign w:val="bottom"/>
            <w:tcBorders>
              <w:left w:val="single" w:sz="8" w:color="47829E"/>
              <w:right w:val="single" w:sz="8" w:color="47829E"/>
            </w:tcBorders>
          </w:tcPr>
          <w:p>
            <w:pPr>
              <w:ind w:left="160"/>
              <w:spacing w:after="0" w:line="48" w:lineRule="exact"/>
              <w:rPr>
                <w:sz w:val="20"/>
                <w:szCs w:val="20"/>
                <w:color w:val="auto"/>
              </w:rPr>
            </w:pPr>
            <w:r>
              <w:rPr>
                <w:rFonts w:ascii="Arial" w:cs="Arial" w:eastAsia="Arial" w:hAnsi="Arial"/>
                <w:sz w:val="5"/>
                <w:szCs w:val="5"/>
                <w:color w:val="auto"/>
              </w:rPr>
              <w:t>The Vanguard Group</w:t>
            </w:r>
          </w:p>
        </w:tc>
        <w:tc>
          <w:tcPr>
            <w:tcW w:w="2100" w:type="dxa"/>
            <w:vAlign w:val="bottom"/>
            <w:tcBorders>
              <w:right w:val="single" w:sz="8" w:color="47829E"/>
            </w:tcBorders>
          </w:tcPr>
          <w:p>
            <w:pPr>
              <w:spacing w:after="0"/>
              <w:rPr>
                <w:sz w:val="4"/>
                <w:szCs w:val="4"/>
                <w:color w:val="auto"/>
              </w:rPr>
            </w:pPr>
          </w:p>
        </w:tc>
        <w:tc>
          <w:tcPr>
            <w:tcW w:w="1800" w:type="dxa"/>
            <w:vAlign w:val="bottom"/>
            <w:tcBorders>
              <w:right w:val="single" w:sz="8" w:color="47829E"/>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100 Vanguard Boulevard V26</w:t>
            </w:r>
          </w:p>
        </w:tc>
        <w:tc>
          <w:tcPr>
            <w:tcW w:w="210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5,697,147</w:t>
            </w:r>
          </w:p>
        </w:tc>
        <w:tc>
          <w:tcPr>
            <w:tcW w:w="1800" w:type="dxa"/>
            <w:vAlign w:val="bottom"/>
            <w:tcBorders>
              <w:right w:val="single" w:sz="8" w:color="47829E"/>
            </w:tcBorders>
          </w:tcPr>
          <w:p>
            <w:pPr>
              <w:jc w:val="right"/>
              <w:ind w:right="599"/>
              <w:spacing w:after="0" w:line="189"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48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Malvern, PA 19355</w:t>
            </w:r>
          </w:p>
        </w:tc>
        <w:tc>
          <w:tcPr>
            <w:tcW w:w="2100" w:type="dxa"/>
            <w:vAlign w:val="bottom"/>
            <w:tcBorders>
              <w:right w:val="single" w:sz="8" w:color="47829E"/>
            </w:tcBorders>
          </w:tcPr>
          <w:p>
            <w:pPr>
              <w:spacing w:after="0"/>
              <w:rPr>
                <w:sz w:val="17"/>
                <w:szCs w:val="17"/>
                <w:color w:val="auto"/>
              </w:rPr>
            </w:pPr>
          </w:p>
        </w:tc>
        <w:tc>
          <w:tcPr>
            <w:tcW w:w="18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800" w:type="dxa"/>
            <w:vAlign w:val="bottom"/>
            <w:tcBorders>
              <w:left w:val="single" w:sz="8" w:color="47829E"/>
              <w:right w:val="single" w:sz="8" w:color="47829E"/>
            </w:tcBorders>
            <w:shd w:val="clear" w:color="auto" w:fill="DAE6EB"/>
          </w:tcPr>
          <w:p>
            <w:pPr>
              <w:ind w:left="2460"/>
              <w:spacing w:after="0" w:line="137" w:lineRule="exact"/>
              <w:rPr>
                <w:sz w:val="20"/>
                <w:szCs w:val="20"/>
                <w:color w:val="auto"/>
              </w:rPr>
            </w:pPr>
            <w:r>
              <w:rPr>
                <w:rFonts w:ascii="Arial" w:cs="Arial" w:eastAsia="Arial" w:hAnsi="Arial"/>
                <w:sz w:val="15"/>
                <w:szCs w:val="15"/>
                <w:color w:val="auto"/>
              </w:rPr>
              <w:t>2</w:t>
            </w:r>
          </w:p>
        </w:tc>
        <w:tc>
          <w:tcPr>
            <w:tcW w:w="2100" w:type="dxa"/>
            <w:vAlign w:val="bottom"/>
            <w:tcBorders>
              <w:right w:val="single" w:sz="8" w:color="47829E"/>
            </w:tcBorders>
            <w:shd w:val="clear" w:color="auto" w:fill="DAE6EB"/>
          </w:tcPr>
          <w:p>
            <w:pPr>
              <w:spacing w:after="0"/>
              <w:rPr>
                <w:sz w:val="11"/>
                <w:szCs w:val="11"/>
                <w:color w:val="auto"/>
              </w:rPr>
            </w:pPr>
          </w:p>
        </w:tc>
        <w:tc>
          <w:tcPr>
            <w:tcW w:w="1800" w:type="dxa"/>
            <w:vAlign w:val="bottom"/>
            <w:tcBorders>
              <w:right w:val="single" w:sz="8" w:color="47829E"/>
            </w:tcBorders>
            <w:shd w:val="clear" w:color="auto" w:fill="DAE6EB"/>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800" w:type="dxa"/>
            <w:vAlign w:val="bottom"/>
            <w:tcBorders>
              <w:left w:val="single" w:sz="8" w:color="47829E"/>
              <w:right w:val="single" w:sz="8" w:color="47829E"/>
            </w:tcBorders>
            <w:shd w:val="clear" w:color="auto" w:fill="DAE6EB"/>
          </w:tcPr>
          <w:p>
            <w:pPr>
              <w:ind w:left="160"/>
              <w:spacing w:after="0" w:line="48" w:lineRule="exact"/>
              <w:rPr>
                <w:sz w:val="20"/>
                <w:szCs w:val="20"/>
                <w:color w:val="auto"/>
              </w:rPr>
            </w:pPr>
            <w:r>
              <w:rPr>
                <w:rFonts w:ascii="Arial" w:cs="Arial" w:eastAsia="Arial" w:hAnsi="Arial"/>
                <w:sz w:val="5"/>
                <w:szCs w:val="5"/>
                <w:color w:val="auto"/>
              </w:rPr>
              <w:t>T. Rowe Price Associates, Inc.</w:t>
            </w:r>
          </w:p>
        </w:tc>
        <w:tc>
          <w:tcPr>
            <w:tcW w:w="2100" w:type="dxa"/>
            <w:vAlign w:val="bottom"/>
            <w:tcBorders>
              <w:right w:val="single" w:sz="8" w:color="47829E"/>
            </w:tcBorders>
            <w:shd w:val="clear" w:color="auto" w:fill="DAE6EB"/>
          </w:tcPr>
          <w:p>
            <w:pPr>
              <w:spacing w:after="0"/>
              <w:rPr>
                <w:sz w:val="4"/>
                <w:szCs w:val="4"/>
                <w:color w:val="auto"/>
              </w:rPr>
            </w:pPr>
          </w:p>
        </w:tc>
        <w:tc>
          <w:tcPr>
            <w:tcW w:w="1800" w:type="dxa"/>
            <w:vAlign w:val="bottom"/>
            <w:tcBorders>
              <w:right w:val="single" w:sz="8" w:color="47829E"/>
            </w:tcBorders>
            <w:shd w:val="clear" w:color="auto" w:fill="DAE6EB"/>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100 East Pratt St.</w:t>
            </w:r>
          </w:p>
        </w:tc>
        <w:tc>
          <w:tcPr>
            <w:tcW w:w="2100" w:type="dxa"/>
            <w:vAlign w:val="bottom"/>
            <w:tcBorders>
              <w:right w:val="single" w:sz="8" w:color="47829E"/>
            </w:tcBorders>
            <w:shd w:val="clear" w:color="auto" w:fill="DAE6EB"/>
          </w:tcPr>
          <w:p>
            <w:pPr>
              <w:jc w:val="center"/>
              <w:spacing w:after="0" w:line="189" w:lineRule="exact"/>
              <w:rPr>
                <w:sz w:val="20"/>
                <w:szCs w:val="20"/>
                <w:color w:val="auto"/>
              </w:rPr>
            </w:pPr>
            <w:r>
              <w:rPr>
                <w:rFonts w:ascii="Arial" w:cs="Arial" w:eastAsia="Arial" w:hAnsi="Arial"/>
                <w:sz w:val="17"/>
                <w:szCs w:val="17"/>
                <w:color w:val="auto"/>
              </w:rPr>
              <w:t>5,668,103</w:t>
            </w:r>
          </w:p>
        </w:tc>
        <w:tc>
          <w:tcPr>
            <w:tcW w:w="1800" w:type="dxa"/>
            <w:vAlign w:val="bottom"/>
            <w:tcBorders>
              <w:right w:val="single" w:sz="8" w:color="47829E"/>
            </w:tcBorders>
            <w:shd w:val="clear" w:color="auto" w:fill="DAE6EB"/>
          </w:tcPr>
          <w:p>
            <w:pPr>
              <w:jc w:val="right"/>
              <w:ind w:right="599"/>
              <w:spacing w:after="0" w:line="189"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9"/>
        </w:trPr>
        <w:tc>
          <w:tcPr>
            <w:tcW w:w="48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7"/>
                <w:szCs w:val="17"/>
                <w:color w:val="auto"/>
              </w:rPr>
              <w:t>Baltimore, MD 21202-1009</w:t>
            </w:r>
          </w:p>
        </w:tc>
        <w:tc>
          <w:tcPr>
            <w:tcW w:w="2100" w:type="dxa"/>
            <w:vAlign w:val="bottom"/>
            <w:tcBorders>
              <w:right w:val="single" w:sz="8" w:color="47829E"/>
            </w:tcBorders>
            <w:shd w:val="clear" w:color="auto" w:fill="DAE6EB"/>
          </w:tcPr>
          <w:p>
            <w:pPr>
              <w:spacing w:after="0"/>
              <w:rPr>
                <w:sz w:val="18"/>
                <w:szCs w:val="18"/>
                <w:color w:val="auto"/>
              </w:rPr>
            </w:pPr>
          </w:p>
        </w:tc>
        <w:tc>
          <w:tcPr>
            <w:tcW w:w="1800" w:type="dxa"/>
            <w:vAlign w:val="bottom"/>
            <w:tcBorders>
              <w:right w:val="single" w:sz="8" w:color="47829E"/>
            </w:tcBorders>
            <w:shd w:val="clear" w:color="auto" w:fill="DAE6E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0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14"/>
                <w:szCs w:val="14"/>
                <w:color w:val="auto"/>
              </w:rPr>
              <w:t>3</w:t>
            </w:r>
          </w:p>
        </w:tc>
        <w:tc>
          <w:tcPr>
            <w:tcW w:w="2100" w:type="dxa"/>
            <w:vAlign w:val="bottom"/>
            <w:tcBorders>
              <w:right w:val="single" w:sz="8" w:color="47829E"/>
            </w:tcBorders>
          </w:tcPr>
          <w:p>
            <w:pPr>
              <w:spacing w:after="0"/>
              <w:rPr>
                <w:sz w:val="15"/>
                <w:szCs w:val="15"/>
                <w:color w:val="auto"/>
              </w:rPr>
            </w:pPr>
          </w:p>
        </w:tc>
        <w:tc>
          <w:tcPr>
            <w:tcW w:w="1800" w:type="dxa"/>
            <w:vAlign w:val="bottom"/>
            <w:tcBorders>
              <w:right w:val="single" w:sz="8" w:color="47829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55 East 52</w:t>
            </w:r>
            <w:r>
              <w:rPr>
                <w:rFonts w:ascii="Arial" w:cs="Arial" w:eastAsia="Arial" w:hAnsi="Arial"/>
                <w:sz w:val="14"/>
                <w:szCs w:val="14"/>
                <w:color w:val="auto"/>
              </w:rPr>
              <w:t>nd</w:t>
            </w:r>
            <w:r>
              <w:rPr>
                <w:rFonts w:ascii="Arial" w:cs="Arial" w:eastAsia="Arial" w:hAnsi="Arial"/>
                <w:sz w:val="17"/>
                <w:szCs w:val="17"/>
                <w:color w:val="auto"/>
              </w:rPr>
              <w:t xml:space="preserve"> Street</w:t>
            </w:r>
          </w:p>
        </w:tc>
        <w:tc>
          <w:tcPr>
            <w:tcW w:w="210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3,714,605</w:t>
            </w:r>
          </w:p>
        </w:tc>
        <w:tc>
          <w:tcPr>
            <w:tcW w:w="1800" w:type="dxa"/>
            <w:vAlign w:val="bottom"/>
            <w:tcBorders>
              <w:right w:val="single" w:sz="8" w:color="47829E"/>
            </w:tcBorders>
          </w:tcPr>
          <w:p>
            <w:pPr>
              <w:jc w:val="right"/>
              <w:ind w:right="599"/>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7"/>
        </w:trPr>
        <w:tc>
          <w:tcPr>
            <w:tcW w:w="48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New York, NY 10055</w:t>
            </w:r>
          </w:p>
        </w:tc>
        <w:tc>
          <w:tcPr>
            <w:tcW w:w="2100" w:type="dxa"/>
            <w:vAlign w:val="bottom"/>
            <w:tcBorders>
              <w:right w:val="single" w:sz="8" w:color="47829E"/>
            </w:tcBorders>
          </w:tcPr>
          <w:p>
            <w:pPr>
              <w:spacing w:after="0"/>
              <w:rPr>
                <w:sz w:val="17"/>
                <w:szCs w:val="17"/>
                <w:color w:val="auto"/>
              </w:rPr>
            </w:pPr>
          </w:p>
        </w:tc>
        <w:tc>
          <w:tcPr>
            <w:tcW w:w="18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0" w:type="dxa"/>
            <w:vAlign w:val="bottom"/>
            <w:tcBorders>
              <w:left w:val="single" w:sz="8" w:color="47829E"/>
              <w:right w:val="single" w:sz="8" w:color="47829E"/>
            </w:tcBorders>
            <w:shd w:val="clear" w:color="auto" w:fill="DAE6EB"/>
          </w:tcPr>
          <w:p>
            <w:pPr>
              <w:ind w:left="160"/>
              <w:spacing w:after="0" w:line="185" w:lineRule="exact"/>
              <w:rPr>
                <w:sz w:val="20"/>
                <w:szCs w:val="20"/>
                <w:color w:val="auto"/>
              </w:rPr>
            </w:pPr>
            <w:r>
              <w:rPr>
                <w:rFonts w:ascii="Arial" w:cs="Arial" w:eastAsia="Arial" w:hAnsi="Arial"/>
                <w:sz w:val="17"/>
                <w:szCs w:val="17"/>
                <w:color w:val="auto"/>
              </w:rPr>
              <w:t>Baillie Gifford &amp; Co.</w:t>
            </w:r>
            <w:r>
              <w:rPr>
                <w:rFonts w:ascii="Arial" w:cs="Arial" w:eastAsia="Arial" w:hAnsi="Arial"/>
                <w:sz w:val="14"/>
                <w:szCs w:val="14"/>
                <w:color w:val="auto"/>
              </w:rPr>
              <w:t>4</w:t>
            </w:r>
          </w:p>
        </w:tc>
        <w:tc>
          <w:tcPr>
            <w:tcW w:w="2100" w:type="dxa"/>
            <w:vAlign w:val="bottom"/>
            <w:tcBorders>
              <w:right w:val="single" w:sz="8" w:color="47829E"/>
            </w:tcBorders>
            <w:shd w:val="clear" w:color="auto" w:fill="DAE6EB"/>
          </w:tcPr>
          <w:p>
            <w:pPr>
              <w:spacing w:after="0"/>
              <w:rPr>
                <w:sz w:val="16"/>
                <w:szCs w:val="16"/>
                <w:color w:val="auto"/>
              </w:rPr>
            </w:pPr>
          </w:p>
        </w:tc>
        <w:tc>
          <w:tcPr>
            <w:tcW w:w="180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Calton Square, 1 Greenside Row</w:t>
            </w:r>
          </w:p>
        </w:tc>
        <w:tc>
          <w:tcPr>
            <w:tcW w:w="2100" w:type="dxa"/>
            <w:vAlign w:val="bottom"/>
            <w:tcBorders>
              <w:right w:val="single" w:sz="8" w:color="47829E"/>
            </w:tcBorders>
            <w:vMerge w:val="restart"/>
            <w:shd w:val="clear" w:color="auto" w:fill="DAE6EB"/>
          </w:tcPr>
          <w:p>
            <w:pPr>
              <w:jc w:val="center"/>
              <w:spacing w:after="0"/>
              <w:rPr>
                <w:sz w:val="20"/>
                <w:szCs w:val="20"/>
                <w:color w:val="auto"/>
              </w:rPr>
            </w:pPr>
            <w:r>
              <w:rPr>
                <w:rFonts w:ascii="Arial" w:cs="Arial" w:eastAsia="Arial" w:hAnsi="Arial"/>
                <w:sz w:val="17"/>
                <w:szCs w:val="17"/>
                <w:color w:val="auto"/>
              </w:rPr>
              <w:t>3,549,066</w:t>
            </w:r>
          </w:p>
        </w:tc>
        <w:tc>
          <w:tcPr>
            <w:tcW w:w="1800" w:type="dxa"/>
            <w:vAlign w:val="bottom"/>
            <w:tcBorders>
              <w:right w:val="single" w:sz="8" w:color="47829E"/>
            </w:tcBorders>
            <w:vMerge w:val="restart"/>
            <w:shd w:val="clear" w:color="auto" w:fill="DAE6EB"/>
          </w:tcPr>
          <w:p>
            <w:pPr>
              <w:jc w:val="right"/>
              <w:ind w:right="599"/>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10"/>
        </w:trPr>
        <w:tc>
          <w:tcPr>
            <w:tcW w:w="4800" w:type="dxa"/>
            <w:vAlign w:val="bottom"/>
            <w:tcBorders>
              <w:left w:val="single" w:sz="8" w:color="47829E"/>
              <w:right w:val="single" w:sz="8" w:color="47829E"/>
            </w:tcBorders>
            <w:vMerge w:val="restart"/>
            <w:shd w:val="clear" w:color="auto" w:fill="DAE6EB"/>
          </w:tcPr>
          <w:p>
            <w:pPr>
              <w:ind w:left="160"/>
              <w:spacing w:after="0" w:line="189" w:lineRule="exact"/>
              <w:rPr>
                <w:sz w:val="20"/>
                <w:szCs w:val="20"/>
                <w:color w:val="auto"/>
              </w:rPr>
            </w:pPr>
            <w:r>
              <w:rPr>
                <w:rFonts w:ascii="Arial" w:cs="Arial" w:eastAsia="Arial" w:hAnsi="Arial"/>
                <w:sz w:val="17"/>
                <w:szCs w:val="17"/>
                <w:color w:val="auto"/>
              </w:rPr>
              <w:t>Edinburgh EH1 3AN</w:t>
            </w:r>
          </w:p>
        </w:tc>
        <w:tc>
          <w:tcPr>
            <w:tcW w:w="2100" w:type="dxa"/>
            <w:vAlign w:val="bottom"/>
            <w:tcBorders>
              <w:right w:val="single" w:sz="8" w:color="47829E"/>
            </w:tcBorders>
            <w:vMerge w:val="continue"/>
            <w:shd w:val="clear" w:color="auto" w:fill="DAE6EB"/>
          </w:tcPr>
          <w:p>
            <w:pPr>
              <w:spacing w:after="0"/>
              <w:rPr>
                <w:sz w:val="9"/>
                <w:szCs w:val="9"/>
                <w:color w:val="auto"/>
              </w:rPr>
            </w:pPr>
          </w:p>
        </w:tc>
        <w:tc>
          <w:tcPr>
            <w:tcW w:w="1800" w:type="dxa"/>
            <w:vAlign w:val="bottom"/>
            <w:tcBorders>
              <w:right w:val="single" w:sz="8" w:color="47829E"/>
            </w:tcBorders>
            <w:vMerge w:val="continue"/>
            <w:shd w:val="clear" w:color="auto" w:fill="DAE6EB"/>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800" w:type="dxa"/>
            <w:vAlign w:val="bottom"/>
            <w:tcBorders>
              <w:left w:val="single" w:sz="8" w:color="47829E"/>
              <w:right w:val="single" w:sz="8" w:color="47829E"/>
            </w:tcBorders>
            <w:vMerge w:val="continue"/>
            <w:shd w:val="clear" w:color="auto" w:fill="DAE6EB"/>
          </w:tcPr>
          <w:p>
            <w:pPr>
              <w:spacing w:after="0"/>
              <w:rPr>
                <w:sz w:val="6"/>
                <w:szCs w:val="6"/>
                <w:color w:val="auto"/>
              </w:rPr>
            </w:pPr>
          </w:p>
        </w:tc>
        <w:tc>
          <w:tcPr>
            <w:tcW w:w="2100" w:type="dxa"/>
            <w:vAlign w:val="bottom"/>
            <w:tcBorders>
              <w:right w:val="single" w:sz="8" w:color="47829E"/>
            </w:tcBorders>
            <w:shd w:val="clear" w:color="auto" w:fill="DAE6EB"/>
          </w:tcPr>
          <w:p>
            <w:pPr>
              <w:spacing w:after="0"/>
              <w:rPr>
                <w:sz w:val="6"/>
                <w:szCs w:val="6"/>
                <w:color w:val="auto"/>
              </w:rPr>
            </w:pPr>
          </w:p>
        </w:tc>
        <w:tc>
          <w:tcPr>
            <w:tcW w:w="1800" w:type="dxa"/>
            <w:vAlign w:val="bottom"/>
            <w:tcBorders>
              <w:right w:val="single" w:sz="8" w:color="47829E"/>
            </w:tcBorders>
            <w:shd w:val="clear" w:color="auto" w:fill="DAE6EB"/>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800" w:type="dxa"/>
            <w:vAlign w:val="bottom"/>
            <w:tcBorders>
              <w:left w:val="single" w:sz="8" w:color="47829E"/>
              <w:bottom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7"/>
                <w:szCs w:val="17"/>
                <w:color w:val="auto"/>
              </w:rPr>
              <w:t>Scotland</w:t>
            </w:r>
          </w:p>
        </w:tc>
        <w:tc>
          <w:tcPr>
            <w:tcW w:w="2100" w:type="dxa"/>
            <w:vAlign w:val="bottom"/>
            <w:tcBorders>
              <w:bottom w:val="single" w:sz="8" w:color="47829E"/>
              <w:right w:val="single" w:sz="8" w:color="47829E"/>
            </w:tcBorders>
            <w:shd w:val="clear" w:color="auto" w:fill="DAE6EB"/>
          </w:tcPr>
          <w:p>
            <w:pPr>
              <w:spacing w:after="0"/>
              <w:rPr>
                <w:sz w:val="17"/>
                <w:szCs w:val="17"/>
                <w:color w:val="auto"/>
              </w:rPr>
            </w:pPr>
          </w:p>
        </w:tc>
        <w:tc>
          <w:tcPr>
            <w:tcW w:w="1800" w:type="dxa"/>
            <w:vAlign w:val="bottom"/>
            <w:tcBorders>
              <w:bottom w:val="single" w:sz="8" w:color="47829E"/>
              <w:right w:val="single" w:sz="8" w:color="47829E"/>
            </w:tcBorders>
            <w:shd w:val="clear" w:color="auto" w:fill="DAE6EB"/>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1"/>
          <w:szCs w:val="11"/>
          <w:color w:val="auto"/>
        </w:rPr>
      </w:pPr>
      <w:r>
        <w:rPr>
          <w:rFonts w:ascii="Arial" w:cs="Arial" w:eastAsia="Arial" w:hAnsi="Arial"/>
          <w:sz w:val="14"/>
          <w:szCs w:val="14"/>
          <w:color w:val="auto"/>
        </w:rPr>
        <w:t>As reported in Schedule 13G/A reporting beneficial ownership as of December 31, 2015 filed with the Securities and Exchange Commission on February 10 2016.</w:t>
      </w:r>
    </w:p>
    <w:p>
      <w:pPr>
        <w:spacing w:after="0" w:line="28" w:lineRule="exact"/>
        <w:rPr>
          <w:rFonts w:ascii="Arial" w:cs="Arial" w:eastAsia="Arial" w:hAnsi="Arial"/>
          <w:sz w:val="11"/>
          <w:szCs w:val="11"/>
          <w:color w:val="auto"/>
        </w:rPr>
      </w:pPr>
    </w:p>
    <w:p>
      <w:pPr>
        <w:ind w:right="1360"/>
        <w:spacing w:after="0" w:line="303" w:lineRule="auto"/>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3"/>
          <w:szCs w:val="13"/>
          <w:color w:val="auto"/>
        </w:rPr>
        <w:t>As reported in Schedule 13G/A reporting beneficial ownership as of December 31, 2015 filed with the Securities and Exchange Commission on February 10, 2016.</w:t>
      </w:r>
      <w:r>
        <w:rPr>
          <w:rFonts w:ascii="Arial" w:cs="Arial" w:eastAsia="Arial" w:hAnsi="Arial"/>
          <w:sz w:val="11"/>
          <w:szCs w:val="11"/>
          <w:color w:val="auto"/>
        </w:rPr>
        <w:t xml:space="preserve"> 3 </w:t>
      </w:r>
      <w:r>
        <w:rPr>
          <w:rFonts w:ascii="Arial" w:cs="Arial" w:eastAsia="Arial" w:hAnsi="Arial"/>
          <w:sz w:val="13"/>
          <w:szCs w:val="13"/>
          <w:color w:val="auto"/>
        </w:rPr>
        <w:t>As reported in Schedule 13G reporting beneficial ownership as of December 31, 2015 filed with the Securities and Exchange Commission on February 9, 2016.</w:t>
      </w:r>
    </w:p>
    <w:p>
      <w:pPr>
        <w:spacing w:after="0"/>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12"/>
          <w:szCs w:val="12"/>
          <w:color w:val="auto"/>
        </w:rPr>
        <w:t>As reported in Schedule 13G reporting beneficial ownership as of December 31, 2015 filed with the Securities and Exchange Commission on February 8, 2016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sz w:val="1"/>
          <w:szCs w:val="1"/>
          <w:color w:val="auto"/>
        </w:rPr>
        <w:drawing>
          <wp:inline distT="0" distB="0" distL="0" distR="0">
            <wp:extent cx="342900" cy="2057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5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much stock do Martin Marietta’s Directors and executive officers own?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table sets forth information as of March 11, 2016 with respect to the shares of common stock that are beneficially owned by the Directors and nominees, the Chief Executive Officer, the Chief Financial Officer, and the three other executive officers who are listed in the Summary Compensation Table on page 42 of this proxy statement, individually, and by all Directors and executive officers of Martin Marietta as a group.</w:t>
      </w:r>
    </w:p>
    <w:p>
      <w:pPr>
        <w:spacing w:after="0" w:line="233" w:lineRule="exact"/>
        <w:rPr>
          <w:sz w:val="20"/>
          <w:szCs w:val="20"/>
          <w:color w:val="auto"/>
        </w:rPr>
      </w:pPr>
    </w:p>
    <w:tbl>
      <w:tblPr>
        <w:tblLayout w:type="fixed"/>
        <w:tblInd w:w="1390" w:type="dxa"/>
        <w:tblCellMar>
          <w:top w:w="0" w:type="dxa"/>
          <w:left w:w="0" w:type="dxa"/>
          <w:bottom w:w="0" w:type="dxa"/>
          <w:right w:w="0" w:type="dxa"/>
        </w:tblCellMar>
      </w:tblPr>
      <w:tr>
        <w:trPr>
          <w:trHeight w:val="161"/>
        </w:trPr>
        <w:tc>
          <w:tcPr>
            <w:tcW w:w="6200" w:type="dxa"/>
            <w:vAlign w:val="bottom"/>
            <w:tcBorders>
              <w:left w:val="single" w:sz="8" w:color="47829E"/>
              <w:right w:val="single" w:sz="8" w:color="47829E"/>
            </w:tcBorders>
            <w:shd w:val="clear" w:color="auto" w:fill="47829E"/>
          </w:tcPr>
          <w:p>
            <w:pPr>
              <w:spacing w:after="0"/>
              <w:rPr>
                <w:sz w:val="14"/>
                <w:szCs w:val="14"/>
                <w:color w:val="auto"/>
              </w:rPr>
            </w:pPr>
          </w:p>
        </w:tc>
        <w:tc>
          <w:tcPr>
            <w:tcW w:w="2500" w:type="dxa"/>
            <w:vAlign w:val="bottom"/>
            <w:tcBorders>
              <w:right w:val="single" w:sz="8" w:color="47829E"/>
            </w:tcBorders>
            <w:shd w:val="clear" w:color="auto" w:fill="47829E"/>
          </w:tcPr>
          <w:p>
            <w:pPr>
              <w:ind w:left="260"/>
              <w:spacing w:after="0"/>
              <w:rPr>
                <w:sz w:val="20"/>
                <w:szCs w:val="20"/>
                <w:color w:val="auto"/>
              </w:rPr>
            </w:pPr>
            <w:r>
              <w:rPr>
                <w:rFonts w:ascii="Arial" w:cs="Arial" w:eastAsia="Arial" w:hAnsi="Arial"/>
                <w:sz w:val="14"/>
                <w:szCs w:val="14"/>
                <w:b w:val="1"/>
                <w:bCs w:val="1"/>
                <w:color w:val="FFFFFF"/>
              </w:rPr>
              <w:t>Amount and Nature of</w:t>
            </w:r>
          </w:p>
        </w:tc>
        <w:tc>
          <w:tcPr>
            <w:tcW w:w="0" w:type="dxa"/>
            <w:vAlign w:val="bottom"/>
          </w:tcPr>
          <w:p>
            <w:pPr>
              <w:spacing w:after="0"/>
              <w:rPr>
                <w:sz w:val="1"/>
                <w:szCs w:val="1"/>
                <w:color w:val="auto"/>
              </w:rPr>
            </w:pPr>
          </w:p>
        </w:tc>
      </w:tr>
      <w:tr>
        <w:trPr>
          <w:trHeight w:val="192"/>
        </w:trPr>
        <w:tc>
          <w:tcPr>
            <w:tcW w:w="62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4"/>
                <w:szCs w:val="14"/>
                <w:b w:val="1"/>
                <w:bCs w:val="1"/>
                <w:color w:val="FFFFFF"/>
              </w:rPr>
              <w:t>Name of Beneficial Owner</w:t>
            </w:r>
          </w:p>
        </w:tc>
        <w:tc>
          <w:tcPr>
            <w:tcW w:w="2500" w:type="dxa"/>
            <w:vAlign w:val="bottom"/>
            <w:tcBorders>
              <w:right w:val="single" w:sz="8" w:color="47829E"/>
            </w:tcBorders>
            <w:shd w:val="clear" w:color="auto" w:fill="47829E"/>
          </w:tcPr>
          <w:p>
            <w:pPr>
              <w:ind w:left="260"/>
              <w:spacing w:after="0" w:line="192" w:lineRule="exact"/>
              <w:rPr>
                <w:sz w:val="20"/>
                <w:szCs w:val="20"/>
                <w:color w:val="auto"/>
              </w:rPr>
            </w:pPr>
            <w:r>
              <w:rPr>
                <w:rFonts w:ascii="Arial" w:cs="Arial" w:eastAsia="Arial" w:hAnsi="Arial"/>
                <w:sz w:val="13"/>
                <w:szCs w:val="13"/>
                <w:b w:val="1"/>
                <w:bCs w:val="1"/>
                <w:color w:val="FFFFFF"/>
              </w:rPr>
              <w:t>Beneficial Ownership</w:t>
            </w:r>
            <w:r>
              <w:rPr>
                <w:rFonts w:ascii="Arial" w:cs="Arial" w:eastAsia="Arial" w:hAnsi="Arial"/>
                <w:sz w:val="22"/>
                <w:szCs w:val="22"/>
                <w:b w:val="1"/>
                <w:bCs w:val="1"/>
                <w:color w:val="FFFFFF"/>
                <w:vertAlign w:val="superscript"/>
              </w:rPr>
              <w:t>1</w:t>
            </w:r>
          </w:p>
        </w:tc>
        <w:tc>
          <w:tcPr>
            <w:tcW w:w="0" w:type="dxa"/>
            <w:vAlign w:val="bottom"/>
          </w:tcPr>
          <w:p>
            <w:pPr>
              <w:spacing w:after="0"/>
              <w:rPr>
                <w:sz w:val="1"/>
                <w:szCs w:val="1"/>
                <w:color w:val="auto"/>
              </w:rPr>
            </w:pPr>
          </w:p>
        </w:tc>
      </w:tr>
      <w:tr>
        <w:trPr>
          <w:trHeight w:val="4"/>
        </w:trPr>
        <w:tc>
          <w:tcPr>
            <w:tcW w:w="6200" w:type="dxa"/>
            <w:vAlign w:val="bottom"/>
            <w:tcBorders>
              <w:left w:val="single" w:sz="8" w:color="47829E"/>
              <w:right w:val="single" w:sz="8" w:color="47829E"/>
            </w:tcBorders>
          </w:tcPr>
          <w:p>
            <w:pPr>
              <w:ind w:left="160"/>
              <w:spacing w:after="0" w:line="4" w:lineRule="exact"/>
              <w:rPr>
                <w:sz w:val="20"/>
                <w:szCs w:val="20"/>
                <w:color w:val="auto"/>
              </w:rPr>
            </w:pPr>
            <w:r>
              <w:rPr>
                <w:rFonts w:ascii="Arial" w:cs="Arial" w:eastAsia="Arial" w:hAnsi="Arial"/>
                <w:sz w:val="1"/>
                <w:szCs w:val="1"/>
                <w:color w:val="auto"/>
              </w:rPr>
              <w:t>Roselyn R. Bar</w:t>
            </w:r>
          </w:p>
        </w:tc>
        <w:tc>
          <w:tcPr>
            <w:tcW w:w="2500" w:type="dxa"/>
            <w:vAlign w:val="bottom"/>
            <w:tcBorders>
              <w:right w:val="single" w:sz="8" w:color="47829E"/>
            </w:tcBorders>
          </w:tcPr>
          <w:p>
            <w:pPr>
              <w:jc w:val="right"/>
              <w:ind w:right="517"/>
              <w:spacing w:after="0" w:line="4" w:lineRule="exact"/>
              <w:rPr>
                <w:sz w:val="20"/>
                <w:szCs w:val="20"/>
                <w:color w:val="auto"/>
              </w:rPr>
            </w:pPr>
            <w:r>
              <w:rPr>
                <w:rFonts w:ascii="Arial" w:cs="Arial" w:eastAsia="Arial" w:hAnsi="Arial"/>
                <w:sz w:val="1"/>
                <w:szCs w:val="1"/>
                <w:color w:val="auto"/>
              </w:rPr>
              <w:t>73,644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Sue W. Cole</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37,696</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Daniel L. Grant</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12,201</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Anne H. Lloyd</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93,506</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David G. Maffucci</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22,745</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Donald A. McCunniff</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22,114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William E. McDonald</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30,709</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Frank H. Menaker, Jr.</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36,146</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C. Howard Nye</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194,492</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Laree E. Perez</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19,114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Michael J. Quillen</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17,687</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Dennis L. Rediker</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17,574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Richard A. Vinroot</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30,755</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Stephen P. Zelnak, Jr.</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48,558</w:t>
            </w:r>
          </w:p>
        </w:tc>
        <w:tc>
          <w:tcPr>
            <w:tcW w:w="0" w:type="dxa"/>
            <w:vAlign w:val="bottom"/>
          </w:tcPr>
          <w:p>
            <w:pPr>
              <w:spacing w:after="0" w:line="20" w:lineRule="exact"/>
              <w:rPr>
                <w:sz w:val="1"/>
                <w:szCs w:val="1"/>
                <w:color w:val="auto"/>
              </w:rPr>
            </w:pPr>
          </w:p>
        </w:tc>
      </w:tr>
      <w:tr>
        <w:trPr>
          <w:trHeight w:val="186"/>
        </w:trPr>
        <w:tc>
          <w:tcPr>
            <w:tcW w:w="6200" w:type="dxa"/>
            <w:vAlign w:val="bottom"/>
            <w:tcBorders>
              <w:left w:val="single" w:sz="8" w:color="47829E"/>
              <w:right w:val="single" w:sz="8" w:color="47829E"/>
            </w:tcBorders>
            <w:shd w:val="clear" w:color="auto" w:fill="DAE6EB"/>
          </w:tcPr>
          <w:p>
            <w:pPr>
              <w:spacing w:after="0"/>
              <w:rPr>
                <w:sz w:val="16"/>
                <w:szCs w:val="16"/>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3"/>
        </w:trPr>
        <w:tc>
          <w:tcPr>
            <w:tcW w:w="620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All Directors and executive officers as a group (15 individuals including those</w:t>
            </w:r>
          </w:p>
        </w:tc>
        <w:tc>
          <w:tcPr>
            <w:tcW w:w="2500" w:type="dxa"/>
            <w:vAlign w:val="bottom"/>
            <w:tcBorders>
              <w:right w:val="single" w:sz="8" w:color="47829E"/>
            </w:tcBorders>
            <w:vMerge w:val="restart"/>
          </w:tcPr>
          <w:p>
            <w:pPr>
              <w:jc w:val="right"/>
              <w:ind w:right="517"/>
              <w:spacing w:after="0" w:line="193" w:lineRule="exact"/>
              <w:rPr>
                <w:sz w:val="20"/>
                <w:szCs w:val="20"/>
                <w:color w:val="auto"/>
              </w:rPr>
            </w:pPr>
            <w:r>
              <w:rPr>
                <w:rFonts w:ascii="Arial" w:cs="Arial" w:eastAsia="Arial" w:hAnsi="Arial"/>
                <w:sz w:val="17"/>
                <w:szCs w:val="17"/>
                <w:color w:val="auto"/>
              </w:rPr>
              <w:t>679,102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320"/>
              <w:spacing w:after="0" w:line="10" w:lineRule="exact"/>
              <w:rPr>
                <w:sz w:val="20"/>
                <w:szCs w:val="20"/>
                <w:color w:val="auto"/>
              </w:rPr>
            </w:pPr>
            <w:r>
              <w:rPr>
                <w:rFonts w:ascii="Arial" w:cs="Arial" w:eastAsia="Arial" w:hAnsi="Arial"/>
                <w:sz w:val="1"/>
                <w:szCs w:val="1"/>
                <w:color w:val="auto"/>
              </w:rPr>
              <w:t>named above)</w:t>
            </w:r>
          </w:p>
        </w:tc>
        <w:tc>
          <w:tcPr>
            <w:tcW w:w="2500" w:type="dxa"/>
            <w:vAlign w:val="bottom"/>
            <w:tcBorders>
              <w:right w:val="single" w:sz="8" w:color="47829E"/>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bottom w:val="single" w:sz="8" w:color="47829E"/>
              <w:right w:val="single" w:sz="8" w:color="47829E"/>
            </w:tcBorders>
          </w:tcPr>
          <w:p>
            <w:pPr>
              <w:spacing w:after="0"/>
              <w:rPr>
                <w:sz w:val="15"/>
                <w:szCs w:val="15"/>
                <w:color w:val="auto"/>
              </w:rPr>
            </w:pPr>
          </w:p>
        </w:tc>
        <w:tc>
          <w:tcPr>
            <w:tcW w:w="2500" w:type="dxa"/>
            <w:vAlign w:val="bottom"/>
            <w:tcBorders>
              <w:bottom w:val="single" w:sz="8" w:color="47829E"/>
              <w:right w:val="single" w:sz="8" w:color="47829E"/>
            </w:tcBorders>
          </w:tcPr>
          <w:p>
            <w:pPr>
              <w:ind w:left="1940"/>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28"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1.07% of the shares of common stock outstanding as of March 11, 2016. None of the shares reported are pledged as security.</w:t>
      </w:r>
    </w:p>
    <w:p>
      <w:pPr>
        <w:spacing w:after="0" w:line="27" w:lineRule="exact"/>
        <w:rPr>
          <w:sz w:val="20"/>
          <w:szCs w:val="20"/>
          <w:color w:val="auto"/>
        </w:rPr>
      </w:pPr>
    </w:p>
    <w:p>
      <w:pPr>
        <w:jc w:val="both"/>
        <w:ind w:left="340" w:hanging="332"/>
        <w:spacing w:after="0" w:line="224"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The number of shares owned for each of Mr. Nye, Ms. Lloyd, Ms. Bar, Mr. McCunniff and Mr. Grant assumes that options held by each of them covering shares of common stock in the amounts indicated, which are currently exercisable within 60 days of March 11, 2016, have been exercised: Mr. Nye, 77,425; Ms. Lloyd, 35,145; Ms. Bar, 28,681; Mr. McCunniff, 5,101; and Mr. Grant, 408. The amounts reported also include common stock units credited to each of the named executives in connection with (i) their deferral of a portion of their cash bonus under the Martin Marietta Materials, Inc. Incentive Stock Plan, and (ii) restricted stock awards (not including any performance share units) granted under the Martin Marietta Materials, Inc. Amended and Restated Stock-Based Award Plan that are subject to forfeiture in accordance with the terms of the plan, each in the following amounts: Mr. Nye, 15,009 and 53,110, respectively; Ms. Lloyd, 3,268 and 21,167, respectively; Ms. Bar, 2,550 and 17,796, respectively; Mr. McCunniff, 1,453 and 14,057, respectively; and Mr. Grant, 1,412 and 10,381, respectively. There are no voting rights associated with the stock units.</w:t>
      </w:r>
    </w:p>
    <w:p>
      <w:pPr>
        <w:spacing w:after="0" w:line="29" w:lineRule="exact"/>
        <w:rPr>
          <w:sz w:val="20"/>
          <w:szCs w:val="20"/>
          <w:color w:val="auto"/>
        </w:rPr>
      </w:pPr>
    </w:p>
    <w:p>
      <w:pPr>
        <w:jc w:val="both"/>
        <w:ind w:left="340" w:hanging="332"/>
        <w:spacing w:after="0" w:line="266"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2"/>
          <w:szCs w:val="12"/>
          <w:color w:val="auto"/>
        </w:rPr>
        <w:t>Amounts reported include (1) compensation paid on an annual basis that Directors have received in common stock units that is deferred pursuant to the Amended and Restated Martin Marietta Materials, Inc. Common Stock Purchase Plan for Directors and (2) 647 restricted stock units that each Director received in 2015 as part of their compensation. The Directors do not have voting or investment power for their respective common stock units and restricted stock units. The number of common stock units credited to each of the Directors pursuant to the Common Stock Purchase Plan as of March 11, 2016 is as follows: Ms. Cole, 14,104; Mr. Maffucci, 8,779; Mr. McDonald, 16,743; Mr. Menaker, 19,576; Ms. Perez, 5,148; Mr. Quillen, 6,721; Mr. Rediker, 9,608; Mr. Vinroot, 16,789; and Mr. Zelnak, 5,621. Amounts reported also include options for common stock for each Director, all of which are currently exercisable, as follows: Ms. Cole, 9,000; Mr. Maffucci, 6,000; Mr. McDonald, 6,000; Mr. Menaker, 6,000; Ms. Perez, 6,000; Mr. Quillen, 3,000; Mr. Rediker, 0; Mr. Vinroot, 6,000; and Mr. Zelnak, 12,500.</w:t>
      </w:r>
    </w:p>
    <w:p>
      <w:pPr>
        <w:spacing w:after="0" w:line="1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Includes an approximation of the number of shares in IRA account.</w:t>
      </w:r>
    </w:p>
    <w:p>
      <w:pPr>
        <w:spacing w:after="0" w:line="28" w:lineRule="exact"/>
        <w:rPr>
          <w:sz w:val="20"/>
          <w:szCs w:val="20"/>
          <w:color w:val="auto"/>
        </w:rPr>
      </w:pPr>
    </w:p>
    <w:p>
      <w:pPr>
        <w:jc w:val="both"/>
        <w:ind w:left="340" w:hanging="332"/>
        <w:spacing w:after="0" w:line="258"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2"/>
          <w:szCs w:val="12"/>
          <w:color w:val="auto"/>
        </w:rPr>
        <w:t>Amounts reported include: (1) 207,399 options held by Directors and executive officers, which are currently exercisable or exercisable within 60 days of March 11, 2016; (2) 25,405 common stock units credited to executive officers in connection with their deferral of a portion of their cash bonus under the Martin Marietta Materials, Inc. Incentive Stock Plan;</w:t>
      </w:r>
    </w:p>
    <w:p>
      <w:pPr>
        <w:jc w:val="both"/>
        <w:ind w:left="340" w:right="20"/>
        <w:spacing w:after="0" w:line="279" w:lineRule="auto"/>
        <w:rPr>
          <w:rFonts w:ascii="Arial" w:cs="Arial" w:eastAsia="Arial" w:hAnsi="Arial"/>
          <w:sz w:val="11"/>
          <w:szCs w:val="11"/>
          <w:color w:val="auto"/>
        </w:rPr>
      </w:pPr>
      <w:r>
        <w:rPr>
          <w:rFonts w:ascii="Arial" w:cs="Arial" w:eastAsia="Arial" w:hAnsi="Arial"/>
          <w:sz w:val="12"/>
          <w:szCs w:val="12"/>
          <w:color w:val="auto"/>
        </w:rPr>
        <w:t>(3) 127,265 common stock units credited to executive officers in connection with restricted stock awards granted under the Martin Marietta Materials, Inc. Amended and Restated Stock-Based Award Plan that are subject to forfeiture in accordance with the terms of the plan; and (4) 69,536 common stock units credited to the Directors in connection with restricted stock awards granted under the Martin Marietta Materials, Inc. Amended and Restated Stock-Based Award Plan. There are no voting rights associated with the stock units.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Section 16(a) Beneficial Ownership Reporting Compliance</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 Based</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solely on its review of copies of reports furnished to Martin Marietta and written representations of Directors and officers, the company believes that during fiscal year 2015, such filing requirements were satisfied, except that officers Ms. Bar, Dana F. Guzzo, Ms. Lloyd and Mr. Nye each filed late, due to an administrative error, one Form 4 report, each reporting one transaction on the tax withholding of shares upon the vesting of a previously reported award. Each officer’s subject filing was filed six days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5480" w:space="340"/>
            <w:col w:w="5480"/>
          </w:cols>
          <w:pgMar w:left="240" w:top="316" w:right="3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47829E"/>
        </w:rPr>
        <w:t>THE BOARD OF DIRECTORS</w:t>
      </w:r>
    </w:p>
    <w:p>
      <w:pPr>
        <w:sectPr>
          <w:pgSz w:w="11900" w:h="16838" w:orient="portrait"/>
          <w:cols w:equalWidth="0" w:num="1">
            <w:col w:w="11300"/>
          </w:cols>
          <w:pgMar w:left="240" w:top="316" w:right="359" w:bottom="1440" w:gutter="0" w:footer="0" w:header="0"/>
          <w:type w:val="continuous"/>
        </w:sectPr>
      </w:pPr>
    </w:p>
    <w:p>
      <w:pPr>
        <w:spacing w:after="0" w:line="3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Board of Directors currently consists of ten members, nine of whom are non-employee Directors. The Board is currently divided into three classes with three-year terms.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of Directors has nominated four persons for election as Directors, with three persons nominated for reelection to serve three-year terms expiring in 2019 and one person nominated for election to serve a two-year term expiring in 2018. Unless otherwise directed, proxies will be voted in favor of these nominees. Each nominee has agreed to serve if elected. Each of the nominees is currently serving as a Director, except Mr. Slager.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2015 Annual Meeting, for a nomination to be properly made by a shareholder at the 2016 Annual Meeting, the shareholder’s notice must have been sent to, and received by, our Secretary at our principal executive offices between January 17, 2016 and February 16, 2016.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Bylaws of the Corporation provide that a Director will retire at the Annual Meeting of Shareholders following the Director’s 75</w:t>
      </w:r>
      <w:r>
        <w:rPr>
          <w:rFonts w:ascii="Arial" w:cs="Arial" w:eastAsia="Arial" w:hAnsi="Arial"/>
          <w:sz w:val="14"/>
          <w:szCs w:val="14"/>
          <w:color w:val="auto"/>
        </w:rPr>
        <w:t>th</w:t>
      </w:r>
      <w:r>
        <w:rPr>
          <w:rFonts w:ascii="Arial" w:cs="Arial" w:eastAsia="Arial" w:hAnsi="Arial"/>
          <w:sz w:val="17"/>
          <w:szCs w:val="17"/>
          <w:color w:val="auto"/>
        </w:rPr>
        <w:t xml:space="preserve"> birthday. Two of our current Directors, Frank H. Menaker, Jr. and Richard A. Vinroot, reached this mandatory retirement age this year and are not eligible for election at the Annual Meeting for a new three-year term. Each of Mr. Menaker and Mr. Vinroot have stated that he intends to serve as a Director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sz w:val="1"/>
          <w:szCs w:val="1"/>
          <w:color w:val="auto"/>
        </w:rPr>
        <w:drawing>
          <wp:inline distT="0" distB="0" distL="0" distR="0">
            <wp:extent cx="342900" cy="2057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of the Corporation through the commencement of the 2016 Annual Meeting of Shareholders, after which he will retire from the Board. The Board extends its sincere appreciation to Mr. Menaker and Mr. Vinroot for their years of service and thoughtful Board leadership. These Directors have each given generously of their time and have consistently provided the Board with independent insight and advice, which have been invaluable to the Board and to Martin Marietta. In light of the retirement of Mr. Menaker and Mr. Vinroot, the Board of Directors has set the size of the Board of Directors at nine effective upon the commencement of the 2016 Annual Meeting.</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has nominated Donald W. Slager to stand for election by shareholders at the 2016 Annual Meeting of Shareholders for the remainder of the term of one of the retiring directors. In recruiting Mr. Slager, the Nominating and Corporate Governance Committee retained a search firm to help identify director prospects, perform candidate outreach, assist in reference checks, and provide other related services. Mr. Slager was recommended to the Nominating and Corporate Governance Committee by the search firm. The recruiting process typically involves either the search firm or a member of the Nominating and Corporate Governance Committee contacting a prospect to gauge his or her interest and availability. A candidate will then meet with several members of the Nominating and Corporate Governance Committee and Board. At the same time, the Nominating and Corporate Governance Committee and the search firm will contact references for the prospect. A background check is completed before a final recommendation is made to the Board to appoint a candidate to the Board.</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Proxies cannot be voted for a greater number of persons than the number of nominees named.</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following sets forth the age and certain other biographical information for each of the nominees for election and for each of the other members of the Board of Directors as of the date of this proxy statement.</w:t>
      </w:r>
    </w:p>
    <w:p>
      <w:pPr>
        <w:sectPr>
          <w:pgSz w:w="11900" w:h="16838" w:orient="portrait"/>
          <w:cols w:equalWidth="0" w:num="2">
            <w:col w:w="5480" w:space="340"/>
            <w:col w:w="5480"/>
          </w:cols>
          <w:pgMar w:left="240" w:top="316" w:right="3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ELECTION OF DIRECTORS</w:t>
      </w:r>
    </w:p>
    <w:p>
      <w:pPr>
        <w:jc w:val="center"/>
        <w:spacing w:after="0"/>
        <w:rPr>
          <w:sz w:val="20"/>
          <w:szCs w:val="20"/>
          <w:color w:val="auto"/>
        </w:rPr>
      </w:pPr>
      <w:r>
        <w:rPr>
          <w:rFonts w:ascii="Arial" w:cs="Arial" w:eastAsia="Arial" w:hAnsi="Arial"/>
          <w:sz w:val="22"/>
          <w:szCs w:val="22"/>
          <w:i w:val="1"/>
          <w:iCs w:val="1"/>
          <w:color w:val="47829E"/>
        </w:rPr>
        <w:t>(Item 1 on Proxy Card)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Nominees for Election to the Board of Directors for a Term Continuing Until 2019:</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C. Howard Nye </w:t>
      </w:r>
      <w:r>
        <w:rPr>
          <w:rFonts w:ascii="Arial" w:cs="Arial" w:eastAsia="Arial" w:hAnsi="Arial"/>
          <w:sz w:val="17"/>
          <w:szCs w:val="17"/>
          <w:color w:val="auto"/>
        </w:rPr>
        <w:t>(53). 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7"/>
          <w:szCs w:val="17"/>
          <w:i w:val="1"/>
          <w:iCs w:val="1"/>
          <w:color w:val="auto"/>
        </w:rPr>
        <w:t>Chairman of the Board (since 2014) and Chair of the Executive Committee (since 2014).</w:t>
      </w:r>
    </w:p>
    <w:p>
      <w:pPr>
        <w:spacing w:after="0" w:line="250"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Nye has served as Chairman of the Board since 2014 and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is also currently an independent Director of CREE, Inc., a multi-national manufacturer and market-leading innovator of lighting-class LEDs, LED lighting, and semiconductor solutions for wireless and power applications, where he serves as a member on the Audit Committee and the Governance and Nominations Committee. Mr. Nye has also been active in a number of various business, civic, and education organizations, including serving as a member of the Executive Committee and past Chairman of the Board of Directors of the National Stone, Sand &amp; Gravel Association, Vice Chairman of the Board of Directors of the American Road &amp; Transportation Builders Association (ARTBA), and a member of the Board of Directors of the United States Chamber of Commerce. Mr. Nye has also been a gubernatorial appointee to the North Carolina Mining Commission. Mr. Nye received an A.B. degree from Duke University and a J.D. degree from Wake Forest University.</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Mr. Nye has extensive knowledge of the construction aggregates industry from his 30 years of experience in all facets of the construction materials business. He brings to the Board extensive leadership, business, operating, marketing,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Martin Marietta.</w:t>
      </w:r>
    </w:p>
    <w:p>
      <w:pPr>
        <w:spacing w:after="0" w:line="223"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Laree E. Perez </w:t>
      </w:r>
      <w:r>
        <w:rPr>
          <w:rFonts w:ascii="Arial" w:cs="Arial" w:eastAsia="Arial" w:hAnsi="Arial"/>
          <w:sz w:val="17"/>
          <w:szCs w:val="17"/>
          <w:color w:val="auto"/>
        </w:rPr>
        <w:t>(62). Director since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Chair of the Finance Committee and member of the Audit Committee and the Ethics, Environment, Safety and Health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Ms. Perez has served as Owner and Managing Partner of The Medallion Company, LLC, a consulting firm, since 2003. In 2015, she became employed as an investment consultant with DeRoy &amp; Devereaux, an independent investment adviser, where she provides client consulting services.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recently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Martin Marietta has important operations in that region and she gives the Board perspective on diversity.</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1" w:name="page12"/>
    <w:bookmarkEnd w:id="11"/>
    <w:p>
      <w:pPr>
        <w:ind w:left="26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Dennis L. Rediker </w:t>
      </w:r>
      <w:r>
        <w:rPr>
          <w:rFonts w:ascii="Arial" w:cs="Arial" w:eastAsia="Arial" w:hAnsi="Arial"/>
          <w:sz w:val="17"/>
          <w:szCs w:val="17"/>
          <w:color w:val="auto"/>
        </w:rPr>
        <w:t>(72). Director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Member of the Audit Committee, the Finance Committee and the Ethics, Environment, Safety and Health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Rediker served as the President and Chief Operating Officer of Utility Composite Solutions International (UCSI), a developer and maker of composite materials for utility and municipal lighting applications, from 2011 until its sale to Highland Industries in 2016. He is currently providing consulting and transition services to Highland Industries. From 2009 to 2011, Mr. Rediker served as the President and Chief Operating Officer of B4C, LLC, a developer and maker of ceramic materials for defense and aerospace applications. He previously served as President and Chief Executive Officer and Director of The Standard Register Company, and as the Chief Executive Officer and a Director of English China Clays, plc. Mr. Rediker received a Bachelor’s degree from the University of California at Santa Barbara in electrical engineering.</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2640"/>
        <w:spacing w:after="0" w:line="235" w:lineRule="auto"/>
        <w:rPr>
          <w:sz w:val="20"/>
          <w:szCs w:val="20"/>
          <w:color w:val="auto"/>
        </w:rPr>
      </w:pPr>
      <w:r>
        <w:rPr>
          <w:rFonts w:ascii="Arial" w:cs="Arial" w:eastAsia="Arial" w:hAnsi="Arial"/>
          <w:sz w:val="17"/>
          <w:szCs w:val="17"/>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tenure with McKinsey &amp; Co.</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Nominee for Election to the Board of Directors for a Term Continuing Until 2018:</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Donald W. Slager </w:t>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spacing w:after="0" w:line="237"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Donald W. Slager serves as President and Chief Executive Officer of Republic Services, Inc., a service provider in the non-hazardous solid waste industry, holding this position since January 2011. Prior to this, he served as President and Chief Operating Officer of Republic from December 2008 until his promotion to CEO. Prior to that, Mr. Slager served in the same capacity for Allied Waste Industries, Inc. (“Allied Waste”), from 2005 to 2008, prior to its merger with Republic Services.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from 2009 to January 2016, where he served as Chairman of the Nominating and Corporate Governance Committee and as a member of both the Compensation and Risk Committees. UTi, a NYSE listed company, is an international, non-asset-based supply chain services and solutions company providing air and ocean freight forwarding, contract logistics, customs brokerage, distribution, inbound logistics, truckload brokerage and other supply chain management services. Mr. Slager has completed the Northwestern University Kellogg School Advanced Executive Program and holds a certificate from the Stanford University Board Consortium Development Program.</w:t>
      </w:r>
    </w:p>
    <w:p>
      <w:pPr>
        <w:ind w:left="2640"/>
        <w:spacing w:after="0" w:line="234"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2640"/>
        <w:spacing w:after="0" w:line="235" w:lineRule="auto"/>
        <w:rPr>
          <w:sz w:val="20"/>
          <w:szCs w:val="20"/>
          <w:color w:val="auto"/>
        </w:rPr>
      </w:pPr>
      <w:r>
        <w:rPr>
          <w:rFonts w:ascii="Arial" w:cs="Arial" w:eastAsia="Arial" w:hAnsi="Arial"/>
          <w:sz w:val="17"/>
          <w:szCs w:val="17"/>
          <w:color w:val="auto"/>
        </w:rPr>
        <w:t>Mr. Slager brings to our Board more than 13 years of C-Suite experience, including chief executive officer, in a publicly-traded NYSE company and more than 26 years of general management experience in a complex, capital intensive and logistics business, which are key factors in our business. He also has extensive experience in mergers and acquisitions, integration, and strategic development and analysis. He also brings valuable experience from his membership on two publicly-traded board of directors.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THE BOARD UNANIMOUSLY RECOMMENDS A VOTE </w:t>
      </w:r>
      <w:r>
        <w:rPr>
          <w:rFonts w:ascii="Arial" w:cs="Arial" w:eastAsia="Arial" w:hAnsi="Arial"/>
          <w:sz w:val="22"/>
          <w:szCs w:val="22"/>
          <w:b w:val="1"/>
          <w:bCs w:val="1"/>
          <w:i w:val="1"/>
          <w:iCs w:val="1"/>
          <w:u w:val="single" w:color="auto"/>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ALL NOMINEES FOR ELECTION TO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sz w:val="1"/>
          <w:szCs w:val="1"/>
          <w:color w:val="auto"/>
        </w:rPr>
        <w:drawing>
          <wp:inline distT="0" distB="0" distL="0" distR="0">
            <wp:extent cx="342900" cy="2057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Whose Terms Continue Until 2017:</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Sue W. Cole </w:t>
      </w:r>
      <w:r>
        <w:rPr>
          <w:rFonts w:ascii="Arial" w:cs="Arial" w:eastAsia="Arial" w:hAnsi="Arial"/>
          <w:sz w:val="17"/>
          <w:szCs w:val="17"/>
          <w:color w:val="auto"/>
        </w:rPr>
        <w:t>(65). Director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Chair of the Management Development and Compensation Committee and member of the Nominating and Corporate Governance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served on other public-company boards, including serving previously as the Chairman of the Board and currently as Vice Chairman of the Board and Chairman of the Compensation Committee of Biscuitville, Inc. and previously on the board of UNIFI, Inc. She has also been active in community and charitable organizations, including previously serving as Chairman of the North Carolina Chamber, on the Investment Committee of the University of North Carolina at Greensboro and as a member on the North Carolina Economic Development Board. Ms. Cole attended the University of North Carolina at Greensboro where she earned a B.S. in Business Administration and an M.B.A. in Finance.</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Martin Marietta.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Michael J. Quillen </w:t>
      </w:r>
      <w:r>
        <w:rPr>
          <w:rFonts w:ascii="Arial" w:cs="Arial" w:eastAsia="Arial" w:hAnsi="Arial"/>
          <w:sz w:val="17"/>
          <w:szCs w:val="17"/>
          <w:color w:val="auto"/>
        </w:rPr>
        <w:t>(67). 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Lead Independent Director, Member of the Ethics, Environment, Safety and Health Committee, the Finance Committee and the Management Development and Compensation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Quillen was the founder and served as Chief Executive Officer of Alpha Natural Resources, Inc. (ANR), a leading Appalachian coal supplier, since its formation in 2004 until its merger with Foundation Coal Holdings, Inc. in July 2009,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2014 and was reappointed to an additional four-year term on the Board of Governors in July 2014.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3" w:name="page14"/>
    <w:bookmarkEnd w:id="13"/>
    <w:p>
      <w:pPr>
        <w:ind w:left="26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Stephen P. Zelnak, Jr. </w:t>
      </w:r>
      <w:r>
        <w:rPr>
          <w:rFonts w:ascii="Arial" w:cs="Arial" w:eastAsia="Arial" w:hAnsi="Arial"/>
          <w:sz w:val="17"/>
          <w:szCs w:val="17"/>
          <w:color w:val="auto"/>
        </w:rPr>
        <w:t>(71). Director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7"/>
          <w:szCs w:val="17"/>
          <w:i w:val="1"/>
          <w:iCs w:val="1"/>
          <w:color w:val="auto"/>
        </w:rPr>
        <w:t>Member of the Ethics, Environment, Safety and Health Committee and the Finance Committee.</w:t>
      </w:r>
    </w:p>
    <w:p>
      <w:pPr>
        <w:spacing w:after="0" w:line="250"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Zelnak currently serves as Chairman of the Board of Beazer Homes USA, Inc. He previously served as Chief Executive Officer of Martin Marietta from 1993 to 2009, President from 1993 to 2006, Chairman of the Board from 1997 through 2009, Executive Chairman from January 2010 to May 2010, and non-Executive Chairman from May 2010 until May 2014. Mr. Zelnak joined Martin Marietta Corporation in 1981 and was responsible for the aggregates operations since 1982. Mr. Zelnak is also Chairman and majority owner of ZP Enterprises, LLC, a private investment firm. In addition to community and charitable organizations, Mr. Zelnak has served as Chairman of the North Carolina Chamber and the National Stone, Sand and Gravel Association. He currently serves on the Advisory Board of the College of Management at North Carolina State University and is a Trustee Emeritus of the Georgia Tech Foundation Board. Mr. Zelnak received a Bachelor’s degree from Georgia Institute of Technology and Master’s degrees in Administrative Science and Business Administration from the University of Alabama system.</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2640"/>
        <w:spacing w:after="0" w:line="235" w:lineRule="auto"/>
        <w:rPr>
          <w:sz w:val="20"/>
          <w:szCs w:val="20"/>
          <w:color w:val="auto"/>
        </w:rPr>
      </w:pPr>
      <w:r>
        <w:rPr>
          <w:rFonts w:ascii="Arial" w:cs="Arial" w:eastAsia="Arial" w:hAnsi="Arial"/>
          <w:sz w:val="17"/>
          <w:szCs w:val="17"/>
          <w:color w:val="auto"/>
        </w:rPr>
        <w:t>As the former Chairman and CEO of Martin Marietta, Mr. Zelnak brings extensive mentorship, business and operating experience to the Board, as well as knowledge of all aspects of Martin Marietta and the construction aggregates industry. He also brings his broad strategic and financial experience to the Board, knowledge of the homebuilding industry and factors that impact construction from his service on the board of a large homebuilder, as well as corporate governance from serving on the boards and various committees of another publicly-traded company.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Whose Terms Continue Until 2018:</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David G. Maffucci </w:t>
      </w:r>
      <w:r>
        <w:rPr>
          <w:rFonts w:ascii="Arial" w:cs="Arial" w:eastAsia="Arial" w:hAnsi="Arial"/>
          <w:sz w:val="17"/>
          <w:szCs w:val="17"/>
          <w:color w:val="auto"/>
        </w:rPr>
        <w:t>(65). 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7"/>
          <w:szCs w:val="17"/>
          <w:i w:val="1"/>
          <w:iCs w:val="1"/>
          <w:color w:val="auto"/>
        </w:rPr>
        <w:t>Chair of the Audit Committee and member of the Finance Committee.</w:t>
      </w:r>
    </w:p>
    <w:p>
      <w:pPr>
        <w:spacing w:after="0" w:line="250"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Maffucci is a Director of Domtar Corporation, which designs, manufactures, markets and distributes a wide variety of fiber-based products, including communication papers, specialty and packaging papers, market pulp and absorbent hygiene products. He is currently the Chair of its Audit Committee and a member of its Finance Committee and Nominating and Corporate Governance Committee. Mr. Maffucci previously served as Executive Vice President and Chief Financial Officer of Xerium Technologies, Inc., a manufacturer and supplier of consumable products used in paper production, from 2009 to 2010, as well as on its Board of Directors from 2008 until 2010, serving on its Audit and Compensation Committees from 2008 to 2009.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also served as Executive Vice President and Chief Financial Officer of Bowater Incorporated. Mr. Maffucci previously worked at KPMG and is a Certified Public Accountant. He received his Bachelor’s degree from Sacred Heart University.</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6" w:lineRule="auto"/>
        <w:rPr>
          <w:sz w:val="20"/>
          <w:szCs w:val="20"/>
          <w:color w:val="auto"/>
        </w:rPr>
      </w:pPr>
      <w:r>
        <w:rPr>
          <w:rFonts w:ascii="Arial" w:cs="Arial" w:eastAsia="Arial" w:hAnsi="Arial"/>
          <w:sz w:val="17"/>
          <w:szCs w:val="17"/>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Martin Marietta’s financial statements, accounting principles and practices, auditing, internal control over financial reporting, and risk management processes.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  </w:t>
      </w:r>
      <w:r>
        <w:rPr>
          <w:sz w:val="1"/>
          <w:szCs w:val="1"/>
          <w:color w:val="auto"/>
        </w:rPr>
        <w:drawing>
          <wp:inline distT="0" distB="0" distL="0" distR="0">
            <wp:extent cx="342900" cy="2057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sectPr>
      </w:pPr>
    </w:p>
    <w:bookmarkStart w:id="14" w:name="page15"/>
    <w:bookmarkEnd w:id="14"/>
    <w:p>
      <w:pPr>
        <w:ind w:left="1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William E. McDonald </w:t>
      </w:r>
      <w:r>
        <w:rPr>
          <w:rFonts w:ascii="Arial" w:cs="Arial" w:eastAsia="Arial" w:hAnsi="Arial"/>
          <w:sz w:val="17"/>
          <w:szCs w:val="17"/>
          <w:color w:val="auto"/>
        </w:rPr>
        <w:t>(73). 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-106680</wp:posOffset>
            </wp:positionV>
            <wp:extent cx="7246620" cy="1852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1440" w:right="20"/>
        <w:spacing w:after="0" w:line="243" w:lineRule="auto"/>
        <w:rPr>
          <w:sz w:val="20"/>
          <w:szCs w:val="20"/>
          <w:color w:val="auto"/>
        </w:rPr>
      </w:pPr>
      <w:r>
        <w:rPr>
          <w:rFonts w:ascii="Arial" w:cs="Arial" w:eastAsia="Arial" w:hAnsi="Arial"/>
          <w:sz w:val="17"/>
          <w:szCs w:val="17"/>
          <w:i w:val="1"/>
          <w:iCs w:val="1"/>
          <w:color w:val="auto"/>
        </w:rPr>
        <w:t>Chair of the Nominating and Corporate Governance Committee, member of the Executive Committee and the Management Development and Compensation Committee.</w:t>
      </w:r>
    </w:p>
    <w:p>
      <w:pPr>
        <w:spacing w:after="0" w:line="239" w:lineRule="exact"/>
        <w:rPr>
          <w:sz w:val="20"/>
          <w:szCs w:val="20"/>
          <w:color w:val="auto"/>
        </w:rPr>
      </w:pPr>
    </w:p>
    <w:p>
      <w:pPr>
        <w:jc w:val="both"/>
        <w:ind w:left="1440"/>
        <w:spacing w:after="0" w:line="232" w:lineRule="auto"/>
        <w:rPr>
          <w:sz w:val="20"/>
          <w:szCs w:val="20"/>
          <w:color w:val="auto"/>
        </w:rPr>
      </w:pPr>
      <w:r>
        <w:rPr>
          <w:rFonts w:ascii="Arial" w:cs="Arial" w:eastAsia="Arial" w:hAnsi="Arial"/>
          <w:sz w:val="17"/>
          <w:szCs w:val="17"/>
          <w:color w:val="auto"/>
        </w:rPr>
        <w:t>Mr. McDonald served as Senior Vice President, Customer Service Operations, Sprint Corporation, a telecommunications company, until his retirement in 2000. Before that, Mr. McDonald served as President and Chief Executive Officer of Sprint Mid-Atlantic Telecom and Sprint Mid-Atlantic Operations, and was President and Chief Executive Officer for the United Telephone-Eastern in Carlisle, Pennsylvania, which followed various positions in increasing responsibility. Mr. McDonald began working with Sprint in 1968 when he joined Sprint United Telephone-Southeast. Mr. McDonald received a B.S. from Western Carolina University with a concentration in Mathematics and an M.B.A. from East Tennessee State University.</w:t>
      </w:r>
    </w:p>
    <w:p>
      <w:pPr>
        <w:ind w:left="14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1440"/>
        <w:spacing w:after="0" w:line="236" w:lineRule="auto"/>
        <w:rPr>
          <w:sz w:val="20"/>
          <w:szCs w:val="20"/>
          <w:color w:val="auto"/>
        </w:rPr>
      </w:pPr>
      <w:r>
        <w:rPr>
          <w:rFonts w:ascii="Arial" w:cs="Arial" w:eastAsia="Arial" w:hAnsi="Arial"/>
          <w:sz w:val="17"/>
          <w:szCs w:val="17"/>
          <w:color w:val="auto"/>
        </w:rPr>
        <w:t>Mr. McDonald brings to the Board leadership, corporate governance, executive compensation, customer service, marketing, sales, and human resources experience from his service as chief executive officer of large business regions with significant operations. His 19-year tenure on the Board gives him a valuable perspective into our business, its strategy and industry leadership.</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-107950</wp:posOffset>
            </wp:positionV>
            <wp:extent cx="34290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16" w:lineRule="exact"/>
        <w:rPr>
          <w:sz w:val="20"/>
          <w:szCs w:val="20"/>
          <w:color w:val="auto"/>
        </w:rPr>
      </w:pPr>
    </w:p>
    <w:p>
      <w:pPr>
        <w:jc w:val="center"/>
        <w:ind w:left="2580" w:right="2460"/>
        <w:spacing w:after="0" w:line="235" w:lineRule="auto"/>
        <w:rPr>
          <w:sz w:val="20"/>
          <w:szCs w:val="20"/>
          <w:color w:val="auto"/>
        </w:rPr>
      </w:pPr>
      <w:r>
        <w:rPr>
          <w:rFonts w:ascii="Arial" w:cs="Arial" w:eastAsia="Arial" w:hAnsi="Arial"/>
          <w:sz w:val="22"/>
          <w:szCs w:val="22"/>
          <w:b w:val="1"/>
          <w:bCs w:val="1"/>
          <w:color w:val="47829E"/>
        </w:rPr>
        <w:t xml:space="preserve">APPROVE AMENDMENT TO ARTICLES OF INCORPORATION TO PROVIDE FOR THE ANNUAL ELECTION OF OUR BOARD </w:t>
      </w:r>
      <w:r>
        <w:rPr>
          <w:rFonts w:ascii="Arial" w:cs="Arial" w:eastAsia="Arial" w:hAnsi="Arial"/>
          <w:sz w:val="22"/>
          <w:szCs w:val="22"/>
          <w:i w:val="1"/>
          <w:iCs w:val="1"/>
          <w:color w:val="47829E"/>
        </w:rPr>
        <w:t>(Item 2 on Proxy Card)</w:t>
      </w:r>
    </w:p>
    <w:p>
      <w:pPr>
        <w:sectPr>
          <w:pgSz w:w="11900" w:h="16838" w:orient="portrait"/>
          <w:cols w:equalWidth="0" w:num="1">
            <w:col w:w="11300"/>
          </w:cols>
          <w:pgMar w:left="240" w:top="256" w:right="359" w:bottom="1440" w:gutter="0" w:footer="0" w:header="0"/>
        </w:sectPr>
      </w:pPr>
    </w:p>
    <w:p>
      <w:pPr>
        <w:spacing w:after="0" w:line="28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are asking shareholders to approve an amendment to our Articles of Incorporation to phase out the classification of the terms of our directors and to provide instead for the annual election of our directors (the “Charter Amendment”). Under the current classified board structure, our Board of Directors is divided into three classes, with each class serving three-year terms. If the Amendment is approved, commencing with the 2017 Annual Meeting of Shareholders, our directors will be elected to one-year terms of office after the current terms of the directors of each class expire at the 2017, 2018 and 2019 Annual Meetings of Shareholders. The proposed amendment to the Articles of Incorporation is attached as Appendix C.</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Charter Amendment is the product of our Board of Directors’ review of our corporate governance matters. The Board of Directors considered the advantages and disadvantages of maintaining a classified board structure. The Board of Directors approved the phase out of the classified board structure earlier this year, subject to the approval of the shareholders.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determining whether the phase out of the classified board structure is in the best interests of Martin Marietta’s shareholders, the Board of Directors carefully considered arguments for maintaining, as well as for eliminating, the classified board structure. Several arguments support retention of a classified board structure. For instance, the overlapping three-year terms of directors promote continuity and stability of the Board of Directors by ensuring that, at any given time, two-thirds of the directors have at least one year’s experience on the Board of Directors. The Board believes a director’s experience is important to understand Martin Marietta’s business and the long-term business strategy. In addition, the Board of Directors believes that three-year terms strengthen director independence by lessening the threat that a director who refuses to act in conformity with the wishes of management (or other directors) will not be re-nominated for office. The classified board structure also reduces the likelihood of an unsolicited and disadvantageous takeover of control of Martin Marietta, which might cause our shareholders to receive less than an adequate price for their stock, because a potential acquirer cannot replace a majority of the directors at a single annual meeting. Since a potential acquirer cannot easily remove a majority of the directors in a classified board structure, the directors on such board may possess greater bargaining power to obtain the best price from a potential acquirer and are likely to have more time to search for superior alternatives.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Board of Directors also considered the views of investors who believe that a classified board structure reduces the accountability of directors to shareholders because the directors do not face an annual election. Since director elections are the primary means by which the shareholders can affect corporate management, the classified board structure may diminish shareholder influence over a company’s policy. Furthermore, the classified board structure may negatively affect shareholder value by discouraging proxy contests in which shareholders have an opportunity to vote for an entire slate of competing nominees.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After weighing all of these considerations, the Board of Directors agreed and determined that the phase out of the classified board structure is advisable and in the best interests of Martin Marietta and our shareholders. Accordingly, the Board of Directors has approved the Charter Amendment (which is marked to show the changes from the previous Articles of Incorporation and provided in Appendix C) and recommends that the shareholders approve the Charter Amendment by voting in favor of this proposal.</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If this proposal is approved by our shareholders, Article 5 of the Amended and Restated Articles of Incorporation will be amended to phase out the classification of the terms of our directors and to provide for the annual election of our directors commencing with the class of directors standing for election at the 2017 Annual Meeting of Shareholders. To ensure a smooth transition to the new declassified structure of the Board of Directors, and to permit the current directors to serve out the three-year terms to which the shareholders elected the directors, the Charter Amendment will not shorten the term of any director elected before the 2017 Annual Meeting of Shareholders. The new procedures would, however, apply to all directors elected at or after the 2017 Annual Meeting of Shareholders, including any current directors who are re-nominated after their current terms expire. Thus, the current Class III directors, who were elected at the 2014 Annual Meeting of Shareholders for three-year terms, would, if re-nominated, stand for election for only one-year terms at the 2017 Annual Meeting of Shareholders. The Class I directors, whose term currently expires in 2018, would, if re-nominated, stand for election at the 2018 Annual Meeting for only one-year terms with the Class III directors. At the Annual Meeting of Shareholders in 2019, the Class II directors, would, if re-nominated, stand for election at the 2019 Annual Meeting of Shareholders for only one-year terms with the Class I and Class III directors.</w:t>
      </w:r>
    </w:p>
    <w:p>
      <w:pPr>
        <w:spacing w:after="0" w:line="200" w:lineRule="exact"/>
        <w:rPr>
          <w:sz w:val="20"/>
          <w:szCs w:val="20"/>
          <w:color w:val="auto"/>
        </w:rPr>
      </w:pPr>
    </w:p>
    <w:p>
      <w:pPr>
        <w:sectPr>
          <w:pgSz w:w="11900" w:h="16838" w:orient="portrait"/>
          <w:cols w:equalWidth="0" w:num="2">
            <w:col w:w="5480" w:space="340"/>
            <w:col w:w="5480"/>
          </w:cols>
          <w:pgMar w:left="240" w:top="256" w:right="35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sz w:val="1"/>
          <w:szCs w:val="1"/>
          <w:color w:val="auto"/>
        </w:rPr>
        <w:drawing>
          <wp:inline distT="0" distB="0" distL="0" distR="0">
            <wp:extent cx="342900" cy="2057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300"/>
          </w:cols>
          <w:pgMar w:left="240" w:top="256" w:right="359" w:bottom="1440" w:gutter="0" w:footer="0" w:header="0"/>
          <w:type w:val="continuous"/>
        </w:sectPr>
      </w:pPr>
    </w:p>
    <w:bookmarkStart w:id="16" w:name="page17"/>
    <w:bookmarkEnd w:id="16"/>
    <w:p>
      <w:pPr>
        <w:jc w:val="both"/>
        <w:spacing w:after="0" w:line="235" w:lineRule="auto"/>
        <w:rPr>
          <w:sz w:val="20"/>
          <w:szCs w:val="20"/>
          <w:color w:val="auto"/>
        </w:rPr>
      </w:pPr>
      <w:r>
        <w:rPr>
          <w:rFonts w:ascii="Arial" w:cs="Arial" w:eastAsia="Arial" w:hAnsi="Arial"/>
          <w:sz w:val="17"/>
          <w:szCs w:val="17"/>
          <w:color w:val="auto"/>
        </w:rPr>
        <w:t>If the proposed Charter Amendment is approved at this meeting by the shareholders, the phase out of the classified structure of the Board of Directors will become effective upon the filing of the Charter Amendment with the Secretary of State of the State of North Carolina. We intend to file the</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7"/>
          <w:szCs w:val="17"/>
          <w:color w:val="auto"/>
        </w:rPr>
        <w:t>Charter Amendment as soon as practicable once shareholder approval is obtained. If the Charter Amendment is not approved, our structure of the Board of Directors will remain classified, and directors elected at subsequent meetings would have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-612140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BOARD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60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THIS PROPOSAL</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7" w:name="page18"/>
    <w:bookmarkEnd w:id="17"/>
    <w:p>
      <w:pPr>
        <w:jc w:val="center"/>
        <w:ind w:right="-119"/>
        <w:spacing w:after="0"/>
        <w:rPr>
          <w:sz w:val="20"/>
          <w:szCs w:val="20"/>
          <w:color w:val="auto"/>
        </w:rPr>
      </w:pPr>
      <w:r>
        <w:rPr>
          <w:rFonts w:ascii="Arial" w:cs="Arial" w:eastAsia="Arial" w:hAnsi="Arial"/>
          <w:sz w:val="21"/>
          <w:szCs w:val="21"/>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ectPr>
          <w:pgSz w:w="11900" w:h="16838" w:orient="portrait"/>
          <w:cols w:equalWidth="0" w:num="1">
            <w:col w:w="11300"/>
          </w:cols>
          <w:pgMar w:left="240" w:top="256" w:right="359" w:bottom="1440" w:gutter="0" w:footer="0" w:header="0"/>
        </w:sectPr>
      </w:pPr>
    </w:p>
    <w:p>
      <w:pPr>
        <w:spacing w:after="0" w:line="32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Compensation Paid to Board Members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For the fiscal year ended December 31, 2015, all of the individuals who were then Directors, except Mr. Nye, who was the Chief Executive Officer of Martin Marietta in 2015 and was not and is not compensated separately for his service as a Director, were paid an annual cash retainer, as well as an equity grant of restricted stock units, which is discussed below. From January 1, 2015 through the Annual Meeting in May 2015, the annual retainer, which was paid following the 2014 Annual Meeting of Shareholders, was $32,500, and Directors also received $1,250 for each regular or special meeting of the Board and Board committees attended. In 2015, the Management Development and Compensation Committee of the Board of Directors reviewed with Willis Towers Watson, its independent compensation consultant, the mix of cash and equity in the Company’s Directors’ compensation program, which included a mandatory holding period for the restricted stock units and a mandatory minimum holding period for cash fees to be deferred in common stock units under the Common Stock Purchase Plan for Directors. Towers Watson noted that a more typical compensation package did not have as heavy a weight on equity, and recommended changes to the Directors’ compensation. Based on a review of compensation practices, the advice of Towers Watson, and other factors, starting as of the annual meeting of shareholders in May 2015, the Board eliminated meeting fees and approved an annual retainer for Board members of $100,000. This determination was made, in part, in recognition of the expectation that Directors are engaged in on-going communications in between meetings. Members of the Audit Committee received an additional $5,000 in view of their increased responsibilities. Each committee chair received an additional annual fee of $8,000, except the Chair of the Audit Committee, who received an additional annual fee of $15,000 in light of his increased responsibilities. In his role as Lead Independent Director, Mr. Quillen received an additional annual fee of $25,000. The annual cash retainer and supplemental fees is paid in quarterly installments, measured from the end of the month during which the Annual Meeting of Shareholders is held. Directors were also reimbursed for travel and other expenses related to attendance at Board and committee meetings. Martin Marietta’s plane was used to transport some Directors to and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14  </w:t>
      </w:r>
      <w:r>
        <w:rPr>
          <w:sz w:val="1"/>
          <w:szCs w:val="1"/>
          <w:color w:val="auto"/>
        </w:rPr>
        <w:drawing>
          <wp:inline distT="0" distB="0" distL="0" distR="0">
            <wp:extent cx="342900" cy="2057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from Board and committee meetings, but no Directors received personal use of Martin Marietta’s plane or other perquisites and personal benefits in 2015.</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 Paid to Board Members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conjunction with the Management Development and Compensation Committee review of Directors’ compensation, the Board also made the following changes in 2015 to Directors’ compensation:</w:t>
      </w:r>
    </w:p>
    <w:p>
      <w:pPr>
        <w:spacing w:after="0" w:line="229" w:lineRule="exact"/>
        <w:rPr>
          <w:sz w:val="20"/>
          <w:szCs w:val="20"/>
          <w:color w:val="auto"/>
        </w:rPr>
      </w:pPr>
    </w:p>
    <w:p>
      <w:pPr>
        <w:jc w:val="both"/>
        <w:ind w:left="740" w:right="20" w:hanging="300"/>
        <w:spacing w:after="0" w:line="23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Awarded restricted stock units (“RSUs”) with a value of $100,000 (rounded up) based on the closing price as of the date of grant, which in 2015 was 647 RSUs, which were fully vested upon award.</w:t>
      </w:r>
    </w:p>
    <w:p>
      <w:pPr>
        <w:spacing w:after="0" w:line="108" w:lineRule="exact"/>
        <w:rPr>
          <w:rFonts w:ascii="Arial" w:cs="Arial" w:eastAsia="Arial" w:hAnsi="Arial"/>
          <w:sz w:val="17"/>
          <w:szCs w:val="17"/>
          <w:color w:val="auto"/>
        </w:rPr>
      </w:pPr>
    </w:p>
    <w:p>
      <w:pPr>
        <w:jc w:val="both"/>
        <w:ind w:left="740" w:right="20" w:hanging="300"/>
        <w:spacing w:after="0" w:line="23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Revised the mandatory ownership aspects of the RSUs to eliminate the mandatory deferral minimum in light of the high level of stock ownership by Directors.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Directors do not have voting or investment power for their respective restricted stock units.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Program for Board Members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Common Stock Purchase Plan for Directors provides that non-employee Directors may elect to receive all or a portion of their fees earned in 2015 in the form of Martin Marietta’s common stock units, with a mandatory deferral minimum of 20% and a mandatory deferral time of three years with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Martin Marietta. The units are converted into common stock of Martin Marietta pursuant to the terms of the plan. Dividend equivalents are paid on the units at the same rate as dividends are paid to all shareholders. The Directors do not have voting or investment power for their respective common stock units. In connection with its 2015 review of Directors’ compensation, based on Willis Towers Watson’s advice, and the high equity ownership level of the Company’s stock by Directors, the Board revised the mandatory equity ownership aspects of the Directors’ compensation to eliminate the mandatory deferral minimum under this plan beginning in 2016.</w:t>
      </w:r>
    </w:p>
    <w:p>
      <w:pPr>
        <w:sectPr>
          <w:pgSz w:w="11900" w:h="16838" w:orient="portrait"/>
          <w:cols w:equalWidth="0" w:num="2">
            <w:col w:w="5480" w:space="340"/>
            <w:col w:w="5480"/>
          </w:cols>
          <w:pgMar w:left="240" w:top="256"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table below summarizes the compensation paid by Martin Marietta to each person who served as a non-employee Director during the fiscal year ended December 31, 2015.</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060" w:type="dxa"/>
            <w:vAlign w:val="bottom"/>
            <w:tcBorders>
              <w:left w:val="single" w:sz="8" w:color="47829E"/>
              <w:right w:val="single" w:sz="8" w:color="47829E"/>
            </w:tcBorders>
            <w:shd w:val="clear" w:color="auto" w:fill="47829E"/>
          </w:tcPr>
          <w:p>
            <w:pPr>
              <w:spacing w:after="0"/>
              <w:rPr>
                <w:sz w:val="13"/>
                <w:szCs w:val="13"/>
                <w:color w:val="auto"/>
              </w:rPr>
            </w:pPr>
          </w:p>
        </w:tc>
        <w:tc>
          <w:tcPr>
            <w:tcW w:w="1000" w:type="dxa"/>
            <w:vAlign w:val="bottom"/>
            <w:tcBorders>
              <w:right w:val="single" w:sz="8" w:color="47829E"/>
            </w:tcBorders>
            <w:shd w:val="clear" w:color="auto" w:fill="47829E"/>
          </w:tcPr>
          <w:p>
            <w:pPr>
              <w:spacing w:after="0"/>
              <w:rPr>
                <w:sz w:val="13"/>
                <w:szCs w:val="13"/>
                <w:color w:val="auto"/>
              </w:rPr>
            </w:pPr>
          </w:p>
        </w:tc>
        <w:tc>
          <w:tcPr>
            <w:tcW w:w="820" w:type="dxa"/>
            <w:vAlign w:val="bottom"/>
            <w:tcBorders>
              <w:right w:val="single" w:sz="8" w:color="47829E"/>
            </w:tcBorders>
            <w:shd w:val="clear" w:color="auto" w:fill="47829E"/>
          </w:tcPr>
          <w:p>
            <w:pPr>
              <w:spacing w:after="0"/>
              <w:rPr>
                <w:sz w:val="13"/>
                <w:szCs w:val="13"/>
                <w:color w:val="auto"/>
              </w:rPr>
            </w:pPr>
          </w:p>
        </w:tc>
        <w:tc>
          <w:tcPr>
            <w:tcW w:w="840" w:type="dxa"/>
            <w:vAlign w:val="bottom"/>
            <w:tcBorders>
              <w:right w:val="single" w:sz="8" w:color="47829E"/>
            </w:tcBorders>
            <w:shd w:val="clear" w:color="auto" w:fill="47829E"/>
          </w:tcPr>
          <w:p>
            <w:pPr>
              <w:spacing w:after="0"/>
              <w:rPr>
                <w:sz w:val="13"/>
                <w:szCs w:val="13"/>
                <w:color w:val="auto"/>
              </w:rPr>
            </w:pPr>
          </w:p>
        </w:tc>
        <w:tc>
          <w:tcPr>
            <w:tcW w:w="1240" w:type="dxa"/>
            <w:vAlign w:val="bottom"/>
            <w:tcBorders>
              <w:right w:val="single" w:sz="8" w:color="47829E"/>
            </w:tcBorders>
            <w:shd w:val="clear" w:color="auto" w:fill="47829E"/>
          </w:tcPr>
          <w:p>
            <w:pPr>
              <w:spacing w:after="0"/>
              <w:rPr>
                <w:sz w:val="13"/>
                <w:szCs w:val="13"/>
                <w:color w:val="auto"/>
              </w:rPr>
            </w:pPr>
          </w:p>
        </w:tc>
        <w:tc>
          <w:tcPr>
            <w:tcW w:w="1260" w:type="dxa"/>
            <w:vAlign w:val="bottom"/>
            <w:tcBorders>
              <w:right w:val="single" w:sz="8" w:color="47829E"/>
            </w:tcBorders>
            <w:shd w:val="clear" w:color="auto" w:fill="47829E"/>
          </w:tcPr>
          <w:p>
            <w:pPr>
              <w:jc w:val="center"/>
              <w:ind w:left="10"/>
              <w:spacing w:after="0"/>
              <w:rPr>
                <w:sz w:val="20"/>
                <w:szCs w:val="20"/>
                <w:color w:val="auto"/>
              </w:rPr>
            </w:pPr>
            <w:r>
              <w:rPr>
                <w:rFonts w:ascii="Arial" w:cs="Arial" w:eastAsia="Arial" w:hAnsi="Arial"/>
                <w:sz w:val="13"/>
                <w:szCs w:val="13"/>
                <w:b w:val="1"/>
                <w:bCs w:val="1"/>
                <w:color w:val="FFFFFF"/>
                <w:w w:val="97"/>
              </w:rPr>
              <w:t>Change in Pension</w:t>
            </w:r>
          </w:p>
        </w:tc>
        <w:tc>
          <w:tcPr>
            <w:tcW w:w="1260" w:type="dxa"/>
            <w:vAlign w:val="bottom"/>
            <w:tcBorders>
              <w:right w:val="single" w:sz="8" w:color="47829E"/>
            </w:tcBorders>
            <w:shd w:val="clear" w:color="auto" w:fill="47829E"/>
          </w:tcPr>
          <w:p>
            <w:pPr>
              <w:spacing w:after="0"/>
              <w:rPr>
                <w:sz w:val="13"/>
                <w:szCs w:val="13"/>
                <w:color w:val="auto"/>
              </w:rPr>
            </w:pPr>
          </w:p>
        </w:tc>
        <w:tc>
          <w:tcPr>
            <w:tcW w:w="960" w:type="dxa"/>
            <w:vAlign w:val="bottom"/>
            <w:tcBorders>
              <w:right w:val="single" w:sz="8" w:color="47829E"/>
            </w:tcBorders>
            <w:shd w:val="clear" w:color="auto" w:fill="47829E"/>
          </w:tcPr>
          <w:p>
            <w:pPr>
              <w:spacing w:after="0"/>
              <w:rPr>
                <w:sz w:val="13"/>
                <w:szCs w:val="13"/>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840" w:type="dxa"/>
            <w:vAlign w:val="bottom"/>
            <w:tcBorders>
              <w:right w:val="single" w:sz="8" w:color="47829E"/>
            </w:tcBorders>
            <w:shd w:val="clear" w:color="auto" w:fill="47829E"/>
          </w:tcPr>
          <w:p>
            <w:pPr>
              <w:spacing w:after="0"/>
              <w:rPr>
                <w:sz w:val="11"/>
                <w:szCs w:val="11"/>
                <w:color w:val="auto"/>
              </w:rPr>
            </w:pPr>
          </w:p>
        </w:tc>
        <w:tc>
          <w:tcPr>
            <w:tcW w:w="1240" w:type="dxa"/>
            <w:vAlign w:val="bottom"/>
            <w:tcBorders>
              <w:right w:val="single" w:sz="8" w:color="47829E"/>
            </w:tcBorders>
            <w:shd w:val="clear" w:color="auto" w:fill="47829E"/>
          </w:tcPr>
          <w:p>
            <w:pPr>
              <w:spacing w:after="0"/>
              <w:rPr>
                <w:sz w:val="11"/>
                <w:szCs w:val="11"/>
                <w:color w:val="auto"/>
              </w:rPr>
            </w:pPr>
          </w:p>
        </w:tc>
        <w:tc>
          <w:tcPr>
            <w:tcW w:w="1260" w:type="dxa"/>
            <w:vAlign w:val="bottom"/>
            <w:tcBorders>
              <w:right w:val="single" w:sz="8" w:color="47829E"/>
            </w:tcBorders>
            <w:shd w:val="clear" w:color="auto" w:fill="47829E"/>
          </w:tcPr>
          <w:p>
            <w:pPr>
              <w:jc w:val="center"/>
              <w:ind w:left="10"/>
              <w:spacing w:after="0" w:line="135" w:lineRule="exact"/>
              <w:rPr>
                <w:sz w:val="20"/>
                <w:szCs w:val="20"/>
                <w:color w:val="auto"/>
              </w:rPr>
            </w:pPr>
            <w:r>
              <w:rPr>
                <w:rFonts w:ascii="Arial" w:cs="Arial" w:eastAsia="Arial" w:hAnsi="Arial"/>
                <w:sz w:val="13"/>
                <w:szCs w:val="13"/>
                <w:b w:val="1"/>
                <w:bCs w:val="1"/>
                <w:color w:val="FFFFFF"/>
                <w:w w:val="94"/>
              </w:rPr>
              <w:t>Value and</w:t>
            </w:r>
          </w:p>
        </w:tc>
        <w:tc>
          <w:tcPr>
            <w:tcW w:w="1260" w:type="dxa"/>
            <w:vAlign w:val="bottom"/>
            <w:tcBorders>
              <w:right w:val="single" w:sz="8" w:color="47829E"/>
            </w:tcBorders>
            <w:shd w:val="clear" w:color="auto" w:fill="47829E"/>
          </w:tcPr>
          <w:p>
            <w:pPr>
              <w:spacing w:after="0"/>
              <w:rPr>
                <w:sz w:val="11"/>
                <w:szCs w:val="11"/>
                <w:color w:val="auto"/>
              </w:rPr>
            </w:pP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840" w:type="dxa"/>
            <w:vAlign w:val="bottom"/>
            <w:tcBorders>
              <w:right w:val="single" w:sz="8" w:color="47829E"/>
            </w:tcBorders>
            <w:shd w:val="clear" w:color="auto" w:fill="47829E"/>
          </w:tcPr>
          <w:p>
            <w:pPr>
              <w:spacing w:after="0"/>
              <w:rPr>
                <w:sz w:val="11"/>
                <w:szCs w:val="11"/>
                <w:color w:val="auto"/>
              </w:rPr>
            </w:pPr>
          </w:p>
        </w:tc>
        <w:tc>
          <w:tcPr>
            <w:tcW w:w="1240" w:type="dxa"/>
            <w:vAlign w:val="bottom"/>
            <w:tcBorders>
              <w:right w:val="single" w:sz="8" w:color="47829E"/>
            </w:tcBorders>
            <w:shd w:val="clear" w:color="auto" w:fill="47829E"/>
          </w:tcPr>
          <w:p>
            <w:pPr>
              <w:spacing w:after="0"/>
              <w:rPr>
                <w:sz w:val="11"/>
                <w:szCs w:val="11"/>
                <w:color w:val="auto"/>
              </w:rPr>
            </w:pP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Nonqualified</w:t>
            </w:r>
          </w:p>
        </w:tc>
        <w:tc>
          <w:tcPr>
            <w:tcW w:w="1260" w:type="dxa"/>
            <w:vAlign w:val="bottom"/>
            <w:tcBorders>
              <w:right w:val="single" w:sz="8" w:color="47829E"/>
            </w:tcBorders>
            <w:shd w:val="clear" w:color="auto" w:fill="47829E"/>
          </w:tcPr>
          <w:p>
            <w:pPr>
              <w:spacing w:after="0"/>
              <w:rPr>
                <w:sz w:val="11"/>
                <w:szCs w:val="11"/>
                <w:color w:val="auto"/>
              </w:rPr>
            </w:pP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Fees</w:t>
            </w:r>
          </w:p>
        </w:tc>
        <w:tc>
          <w:tcPr>
            <w:tcW w:w="820" w:type="dxa"/>
            <w:vAlign w:val="bottom"/>
            <w:tcBorders>
              <w:right w:val="single" w:sz="8" w:color="47829E"/>
            </w:tcBorders>
            <w:shd w:val="clear" w:color="auto" w:fill="47829E"/>
          </w:tcPr>
          <w:p>
            <w:pPr>
              <w:spacing w:after="0"/>
              <w:rPr>
                <w:sz w:val="11"/>
                <w:szCs w:val="11"/>
                <w:color w:val="auto"/>
              </w:rPr>
            </w:pPr>
          </w:p>
        </w:tc>
        <w:tc>
          <w:tcPr>
            <w:tcW w:w="840" w:type="dxa"/>
            <w:vAlign w:val="bottom"/>
            <w:tcBorders>
              <w:right w:val="single" w:sz="8" w:color="47829E"/>
            </w:tcBorders>
            <w:shd w:val="clear" w:color="auto" w:fill="47829E"/>
          </w:tcPr>
          <w:p>
            <w:pPr>
              <w:spacing w:after="0"/>
              <w:rPr>
                <w:sz w:val="11"/>
                <w:szCs w:val="11"/>
                <w:color w:val="auto"/>
              </w:rPr>
            </w:pP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Non-Equity</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60" w:type="dxa"/>
            <w:vAlign w:val="bottom"/>
            <w:tcBorders>
              <w:right w:val="single" w:sz="8" w:color="47829E"/>
            </w:tcBorders>
            <w:shd w:val="clear" w:color="auto" w:fill="47829E"/>
          </w:tcPr>
          <w:p>
            <w:pPr>
              <w:spacing w:after="0"/>
              <w:rPr>
                <w:sz w:val="11"/>
                <w:szCs w:val="11"/>
                <w:color w:val="auto"/>
              </w:rPr>
            </w:pP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Earned or</w:t>
            </w:r>
          </w:p>
        </w:tc>
        <w:tc>
          <w:tcPr>
            <w:tcW w:w="820" w:type="dxa"/>
            <w:vAlign w:val="bottom"/>
            <w:tcBorders>
              <w:right w:val="single" w:sz="8" w:color="47829E"/>
            </w:tcBorders>
            <w:shd w:val="clear" w:color="auto" w:fill="47829E"/>
          </w:tcPr>
          <w:p>
            <w:pPr>
              <w:jc w:val="center"/>
              <w:ind w:left="8"/>
              <w:spacing w:after="0" w:line="135" w:lineRule="exact"/>
              <w:rPr>
                <w:sz w:val="20"/>
                <w:szCs w:val="20"/>
                <w:color w:val="auto"/>
              </w:rPr>
            </w:pPr>
            <w:r>
              <w:rPr>
                <w:rFonts w:ascii="Arial" w:cs="Arial" w:eastAsia="Arial" w:hAnsi="Arial"/>
                <w:sz w:val="13"/>
                <w:szCs w:val="13"/>
                <w:b w:val="1"/>
                <w:bCs w:val="1"/>
                <w:color w:val="FFFFFF"/>
                <w:w w:val="95"/>
              </w:rPr>
              <w:t>Stock</w:t>
            </w:r>
          </w:p>
        </w:tc>
        <w:tc>
          <w:tcPr>
            <w:tcW w:w="8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Option</w:t>
            </w: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Incentive Plan</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4"/>
              </w:rPr>
              <w:t>All Other</w:t>
            </w: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8"/>
              <w:spacing w:after="0" w:line="135" w:lineRule="exact"/>
              <w:rPr>
                <w:sz w:val="20"/>
                <w:szCs w:val="20"/>
                <w:color w:val="auto"/>
              </w:rPr>
            </w:pPr>
            <w:r>
              <w:rPr>
                <w:rFonts w:ascii="Arial" w:cs="Arial" w:eastAsia="Arial" w:hAnsi="Arial"/>
                <w:sz w:val="13"/>
                <w:szCs w:val="13"/>
                <w:b w:val="1"/>
                <w:bCs w:val="1"/>
                <w:color w:val="FFFFFF"/>
                <w:w w:val="97"/>
              </w:rPr>
              <w:t>Paid in Cash</w:t>
            </w:r>
          </w:p>
        </w:tc>
        <w:tc>
          <w:tcPr>
            <w:tcW w:w="8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8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260" w:type="dxa"/>
            <w:vAlign w:val="bottom"/>
            <w:tcBorders>
              <w:right w:val="single" w:sz="8" w:color="47829E"/>
            </w:tcBorders>
            <w:shd w:val="clear" w:color="auto" w:fill="47829E"/>
          </w:tcPr>
          <w:p>
            <w:pPr>
              <w:jc w:val="center"/>
              <w:ind w:left="10"/>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960" w:type="dxa"/>
            <w:vAlign w:val="bottom"/>
            <w:tcBorders>
              <w:right w:val="single" w:sz="8" w:color="47829E"/>
            </w:tcBorders>
            <w:shd w:val="clear" w:color="auto" w:fill="47829E"/>
          </w:tcPr>
          <w:p>
            <w:pPr>
              <w:jc w:val="right"/>
              <w:ind w:right="307"/>
              <w:spacing w:after="0" w:line="135" w:lineRule="exact"/>
              <w:rPr>
                <w:sz w:val="20"/>
                <w:szCs w:val="20"/>
                <w:color w:val="auto"/>
              </w:rPr>
            </w:pPr>
            <w:r>
              <w:rPr>
                <w:rFonts w:ascii="Arial" w:cs="Arial" w:eastAsia="Arial" w:hAnsi="Arial"/>
                <w:sz w:val="13"/>
                <w:szCs w:val="13"/>
                <w:b w:val="1"/>
                <w:bCs w:val="1"/>
                <w:color w:val="FFFFFF"/>
              </w:rPr>
              <w:t>Total</w:t>
            </w:r>
          </w:p>
        </w:tc>
      </w:tr>
      <w:tr>
        <w:trPr>
          <w:trHeight w:val="135"/>
        </w:trPr>
        <w:tc>
          <w:tcPr>
            <w:tcW w:w="4060" w:type="dxa"/>
            <w:vAlign w:val="bottom"/>
            <w:tcBorders>
              <w:left w:val="single" w:sz="8" w:color="47829E"/>
              <w:right w:val="single" w:sz="8" w:color="47829E"/>
            </w:tcBorders>
            <w:shd w:val="clear" w:color="auto" w:fill="47829E"/>
          </w:tcPr>
          <w:p>
            <w:pPr>
              <w:ind w:left="160"/>
              <w:spacing w:after="0" w:line="135" w:lineRule="exact"/>
              <w:rPr>
                <w:sz w:val="20"/>
                <w:szCs w:val="20"/>
                <w:color w:val="auto"/>
              </w:rPr>
            </w:pPr>
            <w:r>
              <w:rPr>
                <w:rFonts w:ascii="Arial" w:cs="Arial" w:eastAsia="Arial" w:hAnsi="Arial"/>
                <w:sz w:val="13"/>
                <w:szCs w:val="13"/>
                <w:b w:val="1"/>
                <w:bCs w:val="1"/>
                <w:color w:val="FFFFFF"/>
              </w:rPr>
              <w:t>Name</w:t>
            </w:r>
            <w:r>
              <w:rPr>
                <w:rFonts w:ascii="Arial" w:cs="Arial" w:eastAsia="Arial" w:hAnsi="Arial"/>
                <w:sz w:val="10"/>
                <w:szCs w:val="10"/>
                <w:b w:val="1"/>
                <w:bCs w:val="1"/>
                <w:color w:val="FFFFFF"/>
              </w:rPr>
              <w:t>1</w:t>
            </w:r>
          </w:p>
        </w:tc>
        <w:tc>
          <w:tcPr>
            <w:tcW w:w="10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820" w:type="dxa"/>
            <w:vAlign w:val="bottom"/>
            <w:tcBorders>
              <w:right w:val="single" w:sz="8" w:color="47829E"/>
            </w:tcBorders>
            <w:shd w:val="clear" w:color="auto" w:fill="47829E"/>
          </w:tcPr>
          <w:p>
            <w:pPr>
              <w:jc w:val="center"/>
              <w:ind w:left="8"/>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8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4</w:t>
            </w: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87"/>
              </w:rPr>
              <w:t>($)</w:t>
            </w:r>
          </w:p>
        </w:tc>
        <w:tc>
          <w:tcPr>
            <w:tcW w:w="1260" w:type="dxa"/>
            <w:vAlign w:val="bottom"/>
            <w:tcBorders>
              <w:right w:val="single" w:sz="8" w:color="47829E"/>
            </w:tcBorders>
            <w:shd w:val="clear" w:color="auto" w:fill="47829E"/>
          </w:tcPr>
          <w:p>
            <w:pPr>
              <w:jc w:val="center"/>
              <w:ind w:left="10"/>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5</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6</w:t>
            </w:r>
          </w:p>
        </w:tc>
        <w:tc>
          <w:tcPr>
            <w:tcW w:w="960" w:type="dxa"/>
            <w:vAlign w:val="bottom"/>
            <w:tcBorders>
              <w:right w:val="single" w:sz="8" w:color="47829E"/>
            </w:tcBorders>
            <w:shd w:val="clear" w:color="auto" w:fill="47829E"/>
          </w:tcPr>
          <w:p>
            <w:pPr>
              <w:jc w:val="right"/>
              <w:ind w:right="367"/>
              <w:spacing w:after="0" w:line="135" w:lineRule="exact"/>
              <w:rPr>
                <w:sz w:val="20"/>
                <w:szCs w:val="20"/>
                <w:color w:val="auto"/>
              </w:rPr>
            </w:pPr>
            <w:r>
              <w:rPr>
                <w:rFonts w:ascii="Arial" w:cs="Arial" w:eastAsia="Arial" w:hAnsi="Arial"/>
                <w:sz w:val="13"/>
                <w:szCs w:val="13"/>
                <w:b w:val="1"/>
                <w:bCs w:val="1"/>
                <w:color w:val="FFFFFF"/>
              </w:rPr>
              <w:t>($)</w:t>
            </w:r>
          </w:p>
        </w:tc>
      </w:tr>
      <w:tr>
        <w:trPr>
          <w:trHeight w:val="171"/>
        </w:trPr>
        <w:tc>
          <w:tcPr>
            <w:tcW w:w="406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3"/>
                <w:szCs w:val="13"/>
                <w:b w:val="1"/>
                <w:bCs w:val="1"/>
                <w:color w:val="FFFFFF"/>
              </w:rPr>
              <w:t>(a)</w:t>
            </w:r>
          </w:p>
        </w:tc>
        <w:tc>
          <w:tcPr>
            <w:tcW w:w="1000" w:type="dxa"/>
            <w:vAlign w:val="bottom"/>
            <w:tcBorders>
              <w:right w:val="single" w:sz="8" w:color="47829E"/>
            </w:tcBorders>
            <w:shd w:val="clear" w:color="auto" w:fill="47829E"/>
          </w:tcPr>
          <w:p>
            <w:pPr>
              <w:jc w:val="center"/>
              <w:ind w:left="8"/>
              <w:spacing w:after="0"/>
              <w:rPr>
                <w:sz w:val="20"/>
                <w:szCs w:val="20"/>
                <w:color w:val="auto"/>
              </w:rPr>
            </w:pPr>
            <w:r>
              <w:rPr>
                <w:rFonts w:ascii="Arial" w:cs="Arial" w:eastAsia="Arial" w:hAnsi="Arial"/>
                <w:sz w:val="13"/>
                <w:szCs w:val="13"/>
                <w:b w:val="1"/>
                <w:bCs w:val="1"/>
                <w:color w:val="FFFFFF"/>
                <w:w w:val="96"/>
              </w:rPr>
              <w:t>(b)</w:t>
            </w:r>
          </w:p>
        </w:tc>
        <w:tc>
          <w:tcPr>
            <w:tcW w:w="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(c)</w:t>
            </w:r>
          </w:p>
        </w:tc>
        <w:tc>
          <w:tcPr>
            <w:tcW w:w="8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(d)</w:t>
            </w:r>
          </w:p>
        </w:tc>
        <w:tc>
          <w:tcPr>
            <w:tcW w:w="12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87"/>
              </w:rPr>
              <w:t>(e)</w:t>
            </w: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2"/>
              </w:rPr>
              <w:t>(f)</w:t>
            </w: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(g)</w:t>
            </w:r>
          </w:p>
        </w:tc>
        <w:tc>
          <w:tcPr>
            <w:tcW w:w="960" w:type="dxa"/>
            <w:vAlign w:val="bottom"/>
            <w:tcBorders>
              <w:right w:val="single" w:sz="8" w:color="47829E"/>
            </w:tcBorders>
            <w:shd w:val="clear" w:color="auto" w:fill="47829E"/>
          </w:tcPr>
          <w:p>
            <w:pPr>
              <w:jc w:val="right"/>
              <w:ind w:right="367"/>
              <w:spacing w:after="0"/>
              <w:rPr>
                <w:sz w:val="20"/>
                <w:szCs w:val="20"/>
                <w:color w:val="auto"/>
              </w:rPr>
            </w:pPr>
            <w:r>
              <w:rPr>
                <w:rFonts w:ascii="Arial" w:cs="Arial" w:eastAsia="Arial" w:hAnsi="Arial"/>
                <w:sz w:val="13"/>
                <w:szCs w:val="13"/>
                <w:b w:val="1"/>
                <w:bCs w:val="1"/>
                <w:color w:val="FFFFFF"/>
              </w:rPr>
              <w:t>(h)</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Sue W. Cole</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88,500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7,837</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45,748</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242,098</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David G. Maffucci</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97,500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4,323</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30,393</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232,229</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William E. McDonald</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88,500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9,731</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60,740</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258,484</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Frank H. Menaker, Jr.</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88,750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11,410</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65,509</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265,682</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Laree E. Perez</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92,250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3,243</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25,507</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221,013</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Michael J. Quillen</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101,250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2,796</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47,734</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251,793</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Dennis L. Rediker</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86,250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5,984</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32,432</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224,679</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Richard A. Vinroot</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84,750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10,234</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60,011</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255,008</w:t>
            </w:r>
          </w:p>
        </w:tc>
      </w:tr>
      <w:tr>
        <w:trPr>
          <w:trHeight w:val="162"/>
        </w:trPr>
        <w:tc>
          <w:tcPr>
            <w:tcW w:w="4060" w:type="dxa"/>
            <w:vAlign w:val="bottom"/>
            <w:tcBorders>
              <w:left w:val="single" w:sz="8" w:color="47829E"/>
              <w:bottom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Stephen P. Zelnak, Jr.</w:t>
            </w:r>
          </w:p>
        </w:tc>
        <w:tc>
          <w:tcPr>
            <w:tcW w:w="1000" w:type="dxa"/>
            <w:vAlign w:val="bottom"/>
            <w:tcBorders>
              <w:bottom w:val="single" w:sz="8" w:color="47829E"/>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78,750</w:t>
            </w:r>
          </w:p>
        </w:tc>
        <w:tc>
          <w:tcPr>
            <w:tcW w:w="820" w:type="dxa"/>
            <w:vAlign w:val="bottom"/>
            <w:tcBorders>
              <w:bottom w:val="single" w:sz="8" w:color="47829E"/>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bottom w:val="single" w:sz="8" w:color="47829E"/>
              <w:right w:val="single" w:sz="8" w:color="47829E"/>
            </w:tcBorders>
          </w:tcPr>
          <w:p>
            <w:pPr>
              <w:spacing w:after="0"/>
              <w:rPr>
                <w:sz w:val="14"/>
                <w:szCs w:val="14"/>
                <w:color w:val="auto"/>
              </w:rPr>
            </w:pPr>
          </w:p>
        </w:tc>
        <w:tc>
          <w:tcPr>
            <w:tcW w:w="1240" w:type="dxa"/>
            <w:vAlign w:val="bottom"/>
            <w:tcBorders>
              <w:bottom w:val="single" w:sz="8" w:color="47829E"/>
              <w:right w:val="single" w:sz="8" w:color="47829E"/>
            </w:tcBorders>
          </w:tcPr>
          <w:p>
            <w:pPr>
              <w:spacing w:after="0"/>
              <w:rPr>
                <w:sz w:val="14"/>
                <w:szCs w:val="14"/>
                <w:color w:val="auto"/>
              </w:rPr>
            </w:pPr>
          </w:p>
        </w:tc>
        <w:tc>
          <w:tcPr>
            <w:tcW w:w="1260" w:type="dxa"/>
            <w:vAlign w:val="bottom"/>
            <w:tcBorders>
              <w:bottom w:val="single" w:sz="8" w:color="47829E"/>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2,081</w:t>
            </w:r>
          </w:p>
        </w:tc>
        <w:tc>
          <w:tcPr>
            <w:tcW w:w="1260" w:type="dxa"/>
            <w:vAlign w:val="bottom"/>
            <w:tcBorders>
              <w:bottom w:val="single" w:sz="8" w:color="47829E"/>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29,015</w:t>
            </w:r>
          </w:p>
        </w:tc>
        <w:tc>
          <w:tcPr>
            <w:tcW w:w="960" w:type="dxa"/>
            <w:vAlign w:val="bottom"/>
            <w:tcBorders>
              <w:bottom w:val="single" w:sz="8" w:color="47829E"/>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209,859</w:t>
            </w:r>
          </w:p>
        </w:tc>
      </w:tr>
    </w:tbl>
    <w:p>
      <w:pPr>
        <w:spacing w:after="0" w:line="40" w:lineRule="exact"/>
        <w:rPr>
          <w:sz w:val="20"/>
          <w:szCs w:val="20"/>
          <w:color w:val="auto"/>
        </w:rPr>
      </w:pPr>
    </w:p>
    <w:p>
      <w:pPr>
        <w:ind w:left="340" w:right="40" w:hanging="332"/>
        <w:spacing w:after="0" w:line="231" w:lineRule="auto"/>
        <w:tabs>
          <w:tab w:leader="none" w:pos="340" w:val="left"/>
        </w:tabs>
        <w:numPr>
          <w:ilvl w:val="0"/>
          <w:numId w:val="15"/>
        </w:numPr>
        <w:rPr>
          <w:rFonts w:ascii="Arial" w:cs="Arial" w:eastAsia="Arial" w:hAnsi="Arial"/>
          <w:sz w:val="11"/>
          <w:szCs w:val="11"/>
          <w:color w:val="auto"/>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42.</w:t>
      </w:r>
    </w:p>
    <w:p>
      <w:pPr>
        <w:spacing w:after="0" w:line="28" w:lineRule="exact"/>
        <w:rPr>
          <w:sz w:val="20"/>
          <w:szCs w:val="20"/>
          <w:color w:val="auto"/>
        </w:rPr>
      </w:pPr>
    </w:p>
    <w:p>
      <w:pPr>
        <w:jc w:val="both"/>
        <w:ind w:left="340" w:right="20" w:hanging="332"/>
        <w:spacing w:after="0" w:line="264" w:lineRule="auto"/>
        <w:tabs>
          <w:tab w:leader="none" w:pos="340" w:val="left"/>
        </w:tabs>
        <w:numPr>
          <w:ilvl w:val="0"/>
          <w:numId w:val="16"/>
        </w:numPr>
        <w:rPr>
          <w:rFonts w:ascii="Arial" w:cs="Arial" w:eastAsia="Arial" w:hAnsi="Arial"/>
          <w:sz w:val="11"/>
          <w:szCs w:val="11"/>
          <w:color w:val="auto"/>
        </w:rPr>
      </w:pPr>
      <w:r>
        <w:rPr>
          <w:rFonts w:ascii="Arial" w:cs="Arial" w:eastAsia="Arial" w:hAnsi="Arial"/>
          <w:sz w:val="12"/>
          <w:szCs w:val="12"/>
          <w:color w:val="auto"/>
        </w:rPr>
        <w:t>The amounts in column (b) reflect fees earned in 2015. Some of these fees were deferred pursuant to the Common Stock Purchase Plan for Directors in the form of common stock units. The number of units of common stock credited in 2015 to each of the Directors under the Common Stock Purchase Plan for Directors and the grant date fair value for these awards determined in accordance with FASB ASC Topic 718, which includes the 20% discount, are as follows: Ms. Cole, 356 units and $44,250 value, respectively; Mr. Maffucci, 158 units and $19,500 value, respectively; Mr. McDonald, 710 units and $88,500 value, respectively; Mr. Menaker, 715 units and $88,750 value, respectively; Ms. Perez, 150 units and $18,450 value, respectively; Mr. Quillen, 811 units and $101,250 value, respectively; Mr. Rediker, 141 units and $17,250 value, respectively; Mr. Vinroot, 678 units and $84,750 value, respectively; and Mr. Zelnak, 316 units and $39,375 value, respectively. The number of units credited to each of the Directors as of December 31, 2015, including units accumulated under the plan for all years of service as a Director, is as follows: Ms. Cole, 13,867; Mr. Maffucci, 8,726; Mr. McDonald, 16,506; Mr. Menaker, 19,345; Ms. Perez, 5,098; Mr. Quillen, 6,447; Mr. Rediker, 9,561; Mr. Vinroot, 16,552; and Mr. Zelnak, 5,511. The 20% discount from the market price of Martin Marietta’s common stock used in converting to common stock is reported in column (g).</w:t>
      </w:r>
    </w:p>
    <w:p>
      <w:pPr>
        <w:spacing w:after="0" w:line="15" w:lineRule="exact"/>
        <w:rPr>
          <w:sz w:val="20"/>
          <w:szCs w:val="20"/>
          <w:color w:val="auto"/>
        </w:rPr>
      </w:pPr>
    </w:p>
    <w:p>
      <w:pPr>
        <w:jc w:val="both"/>
        <w:ind w:left="340" w:right="20" w:hanging="332"/>
        <w:spacing w:after="0" w:line="228" w:lineRule="auto"/>
        <w:tabs>
          <w:tab w:leader="none" w:pos="340" w:val="left"/>
        </w:tabs>
        <w:numPr>
          <w:ilvl w:val="0"/>
          <w:numId w:val="17"/>
        </w:numPr>
        <w:rPr>
          <w:rFonts w:ascii="Arial" w:cs="Arial" w:eastAsia="Arial" w:hAnsi="Arial"/>
          <w:sz w:val="11"/>
          <w:szCs w:val="11"/>
          <w:color w:val="auto"/>
        </w:rPr>
      </w:pPr>
      <w:r>
        <w:rPr>
          <w:rFonts w:ascii="Arial" w:cs="Arial" w:eastAsia="Arial" w:hAnsi="Arial"/>
          <w:sz w:val="14"/>
          <w:szCs w:val="14"/>
          <w:color w:val="auto"/>
        </w:rPr>
        <w:t>Each Director received 647 restricted stock units in 2015. The amounts in column (c) reflect the grant date fair value for these awards determined in accordance with FASB ASC Topic 718. The restricted stock units fully vested upon award and will be distributed to the Director upon retirement, except Mr. Maffucci received a distribution of 324 unrestricted shares of common stock and deferred the distribution of 323 restricted stock units until retirement.</w:t>
      </w:r>
    </w:p>
    <w:p>
      <w:pPr>
        <w:spacing w:after="0" w:line="27" w:lineRule="exact"/>
        <w:rPr>
          <w:sz w:val="20"/>
          <w:szCs w:val="20"/>
          <w:color w:val="auto"/>
        </w:rPr>
      </w:pPr>
    </w:p>
    <w:p>
      <w:pPr>
        <w:ind w:left="340" w:right="40" w:hanging="332"/>
        <w:spacing w:after="0" w:line="231"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As of December 31, 2015, each Director held options for common stock in the amounts as follows: Ms. Cole, 9,000; Mr. Maffucci, 6,000; Mr. McDonald, 9,000; Mr. Menaker, 9,000; Ms. Perez, 9,000; Mr. Quillen, 3,000; Mr. Rediker, 0; Mr. Vinroot, 9,000; and Mr. Zelnak, 22,500.</w:t>
      </w:r>
    </w:p>
    <w:p>
      <w:pPr>
        <w:spacing w:after="0" w:line="2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1"/>
          <w:szCs w:val="11"/>
          <w:color w:val="auto"/>
        </w:rPr>
      </w:pPr>
      <w:r>
        <w:rPr>
          <w:rFonts w:ascii="Arial" w:cs="Arial" w:eastAsia="Arial" w:hAnsi="Arial"/>
          <w:sz w:val="14"/>
          <w:szCs w:val="14"/>
          <w:color w:val="auto"/>
        </w:rPr>
        <w:t>The amounts in column (f) reflect interest paid on fees deferred in cash under the plan.</w:t>
      </w:r>
    </w:p>
    <w:p>
      <w:pPr>
        <w:spacing w:after="0" w:line="28" w:lineRule="exact"/>
        <w:rPr>
          <w:sz w:val="20"/>
          <w:szCs w:val="20"/>
          <w:color w:val="auto"/>
        </w:rPr>
      </w:pPr>
    </w:p>
    <w:p>
      <w:pPr>
        <w:jc w:val="both"/>
        <w:ind w:left="340" w:right="20" w:hanging="332"/>
        <w:spacing w:after="0" w:line="228" w:lineRule="auto"/>
        <w:tabs>
          <w:tab w:leader="none" w:pos="340" w:val="left"/>
        </w:tabs>
        <w:numPr>
          <w:ilvl w:val="0"/>
          <w:numId w:val="20"/>
        </w:numPr>
        <w:rPr>
          <w:rFonts w:ascii="Arial" w:cs="Arial" w:eastAsia="Arial" w:hAnsi="Arial"/>
          <w:sz w:val="11"/>
          <w:szCs w:val="11"/>
          <w:color w:val="auto"/>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2015 into common stock units pursuant to the Common Stock Purchase Plan for Directors, and (ii) the dollar value of dividend equivalents paid in 2015 on common stock units held under the plan. The Directors did not receive perquisites or other personal benefits in 2015.</w:t>
      </w:r>
    </w:p>
    <w:p>
      <w:pPr>
        <w:spacing w:after="0" w:line="112"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1"/>
          <w:szCs w:val="21"/>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GOVERNANCE MATTERS</w:t>
      </w:r>
    </w:p>
    <w:p>
      <w:pPr>
        <w:sectPr>
          <w:pgSz w:w="11900" w:h="16838" w:orient="portrait"/>
          <w:cols w:equalWidth="0" w:num="1">
            <w:col w:w="11440"/>
          </w:cols>
          <w:pgMar w:left="240" w:top="256" w:right="2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Governance Philosophy</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7"/>
          <w:szCs w:val="17"/>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 Guidelines</w:t>
      </w:r>
      <w:r>
        <w:rPr>
          <w:rFonts w:ascii="Arial" w:cs="Arial" w:eastAsia="Arial" w:hAnsi="Arial"/>
          <w:sz w:val="17"/>
          <w:szCs w:val="17"/>
          <w:color w:val="auto"/>
        </w:rPr>
        <w:t>, posted and available for public viewing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xml:space="preserve">, which set forth a flexible framework within which the Board, assisted by its Committees, directs the affairs of the Company. The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Martin Marietta’s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has been in place since the 1980s, and applies to all Board members, officers, and employees, providing our policies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 xml:space="preserve">expectations on a number of topics, including our commitment to good 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7"/>
          <w:szCs w:val="17"/>
          <w:i w:val="1"/>
          <w:iCs w:val="1"/>
          <w:color w:val="auto"/>
        </w:rPr>
        <w:t>Code of</w:t>
      </w:r>
      <w:r>
        <w:rPr>
          <w:rFonts w:ascii="Arial" w:cs="Arial" w:eastAsia="Arial" w:hAnsi="Arial"/>
          <w:sz w:val="17"/>
          <w:szCs w:val="17"/>
          <w:color w:val="auto"/>
        </w:rPr>
        <w:t xml:space="preserve"> </w:t>
      </w:r>
      <w:r>
        <w:rPr>
          <w:rFonts w:ascii="Arial" w:cs="Arial" w:eastAsia="Arial" w:hAnsi="Arial"/>
          <w:sz w:val="17"/>
          <w:szCs w:val="17"/>
          <w:i w:val="1"/>
          <w:iCs w:val="1"/>
          <w:color w:val="auto"/>
        </w:rPr>
        <w:t>Ethical Business Conduct</w:t>
      </w:r>
      <w:r>
        <w:rPr>
          <w:rFonts w:ascii="Arial" w:cs="Arial" w:eastAsia="Arial" w:hAnsi="Arial"/>
          <w:sz w:val="17"/>
          <w:szCs w:val="17"/>
          <w:color w:val="auto"/>
        </w:rPr>
        <w:t>, Board members, officers, and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regularly in ethics training. There have been no waivers from any provisions of our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to any Board member or executive officer.</w:t>
      </w:r>
    </w:p>
    <w:p>
      <w:pPr>
        <w:spacing w:after="0" w:line="202"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In addition, the Board believes that accountability to shareholders is a mark of good governance and critical to Martin Marietta’s success. To that end, management regularly engages with shareholders on a variety of topics throughout the year to ensure we are addressing their questions and concerns, to seek input and to provide perspective on Company policies and practices.</w:t>
      </w:r>
    </w:p>
    <w:p>
      <w:pPr>
        <w:spacing w:after="0" w:line="422" w:lineRule="exact"/>
        <w:rPr>
          <w:sz w:val="20"/>
          <w:szCs w:val="20"/>
          <w:color w:val="auto"/>
        </w:rPr>
      </w:pPr>
    </w:p>
    <w:p>
      <w:pPr>
        <w:sectPr>
          <w:pgSz w:w="11900" w:h="16838" w:orient="portrait"/>
          <w:cols w:equalWidth="0" w:num="2">
            <w:col w:w="5480" w:space="340"/>
            <w:col w:w="5620"/>
          </w:cols>
          <w:pgMar w:left="240" w:top="256" w:right="21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provides a snapshot of Martin Marietta’s governance highlights.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80" w:type="dxa"/>
            <w:vAlign w:val="bottom"/>
            <w:tcBorders>
              <w:left w:val="single" w:sz="8" w:color="47829E"/>
              <w:right w:val="single" w:sz="8" w:color="47829E"/>
            </w:tcBorders>
            <w:shd w:val="clear" w:color="auto" w:fill="47829E"/>
          </w:tcPr>
          <w:p>
            <w:pPr>
              <w:spacing w:after="0"/>
              <w:rPr>
                <w:sz w:val="17"/>
                <w:szCs w:val="17"/>
                <w:color w:val="auto"/>
              </w:rPr>
            </w:pPr>
          </w:p>
        </w:tc>
        <w:tc>
          <w:tcPr>
            <w:tcW w:w="4320" w:type="dxa"/>
            <w:vAlign w:val="bottom"/>
            <w:tcBorders>
              <w:right w:val="single" w:sz="8" w:color="47829E"/>
            </w:tcBorders>
            <w:shd w:val="clear" w:color="auto" w:fill="47829E"/>
          </w:tcPr>
          <w:p>
            <w:pPr>
              <w:ind w:left="880"/>
              <w:spacing w:after="0"/>
              <w:rPr>
                <w:sz w:val="20"/>
                <w:szCs w:val="20"/>
                <w:color w:val="auto"/>
              </w:rPr>
            </w:pPr>
            <w:r>
              <w:rPr>
                <w:rFonts w:ascii="Arial" w:cs="Arial" w:eastAsia="Arial" w:hAnsi="Arial"/>
                <w:sz w:val="17"/>
                <w:szCs w:val="17"/>
                <w:b w:val="1"/>
                <w:bCs w:val="1"/>
                <w:color w:val="FFFFFF"/>
              </w:rPr>
              <w:t>GOVERNANCE HIGHLIGHTS</w:t>
            </w:r>
          </w:p>
        </w:tc>
        <w:tc>
          <w:tcPr>
            <w:tcW w:w="3440" w:type="dxa"/>
            <w:vAlign w:val="bottom"/>
            <w:tcBorders>
              <w:right w:val="single" w:sz="8" w:color="47829E"/>
            </w:tcBorders>
            <w:shd w:val="clear" w:color="auto" w:fill="47829E"/>
          </w:tcPr>
          <w:p>
            <w:pPr>
              <w:spacing w:after="0"/>
              <w:rPr>
                <w:sz w:val="17"/>
                <w:szCs w:val="17"/>
                <w:color w:val="auto"/>
              </w:rPr>
            </w:pPr>
          </w:p>
        </w:tc>
      </w:tr>
      <w:tr>
        <w:trPr>
          <w:trHeight w:val="183"/>
        </w:trPr>
        <w:tc>
          <w:tcPr>
            <w:tcW w:w="368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Nine out of 10 directors are non-employees;</w:t>
            </w:r>
          </w:p>
        </w:tc>
        <w:tc>
          <w:tcPr>
            <w:tcW w:w="4320" w:type="dxa"/>
            <w:vAlign w:val="bottom"/>
            <w:tcBorders>
              <w:right w:val="single" w:sz="8" w:color="47829E"/>
            </w:tcBorders>
          </w:tcPr>
          <w:p>
            <w:pPr>
              <w:ind w:left="640"/>
              <w:spacing w:after="0" w:line="183" w:lineRule="exact"/>
              <w:rPr>
                <w:sz w:val="20"/>
                <w:szCs w:val="20"/>
                <w:color w:val="auto"/>
              </w:rPr>
            </w:pPr>
            <w:r>
              <w:rPr>
                <w:rFonts w:ascii="Arial" w:cs="Arial" w:eastAsia="Arial" w:hAnsi="Arial"/>
                <w:sz w:val="17"/>
                <w:szCs w:val="17"/>
                <w:color w:val="auto"/>
              </w:rPr>
              <w:t>Regular Board and Committee self-evaluations</w:t>
            </w:r>
          </w:p>
        </w:tc>
        <w:tc>
          <w:tcPr>
            <w:tcW w:w="3440" w:type="dxa"/>
            <w:vAlign w:val="bottom"/>
            <w:tcBorders>
              <w:right w:val="single" w:sz="8" w:color="47829E"/>
            </w:tcBorders>
          </w:tcPr>
          <w:p>
            <w:pPr>
              <w:ind w:left="660"/>
              <w:spacing w:after="0" w:line="183" w:lineRule="exact"/>
              <w:rPr>
                <w:sz w:val="20"/>
                <w:szCs w:val="20"/>
                <w:color w:val="auto"/>
              </w:rPr>
            </w:pPr>
            <w:r>
              <w:rPr>
                <w:rFonts w:ascii="Arial" w:cs="Arial" w:eastAsia="Arial" w:hAnsi="Arial"/>
                <w:sz w:val="17"/>
                <w:szCs w:val="17"/>
                <w:color w:val="auto"/>
              </w:rPr>
              <w:t>Code of Ethical Business Conduct</w:t>
            </w:r>
          </w:p>
        </w:tc>
      </w:tr>
      <w:tr>
        <w:trPr>
          <w:trHeight w:val="195"/>
        </w:trPr>
        <w:tc>
          <w:tcPr>
            <w:tcW w:w="368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eight out of 10 directors are independent</w:t>
            </w:r>
          </w:p>
        </w:tc>
        <w:tc>
          <w:tcPr>
            <w:tcW w:w="4320" w:type="dxa"/>
            <w:vAlign w:val="bottom"/>
            <w:tcBorders>
              <w:right w:val="single" w:sz="8" w:color="47829E"/>
            </w:tcBorders>
          </w:tcPr>
          <w:p>
            <w:pPr>
              <w:spacing w:after="0"/>
              <w:rPr>
                <w:sz w:val="16"/>
                <w:szCs w:val="16"/>
                <w:color w:val="auto"/>
              </w:rPr>
            </w:pPr>
          </w:p>
        </w:tc>
        <w:tc>
          <w:tcPr>
            <w:tcW w:w="3440" w:type="dxa"/>
            <w:vAlign w:val="bottom"/>
            <w:tcBorders>
              <w:right w:val="single" w:sz="8" w:color="47829E"/>
            </w:tcBorders>
          </w:tcPr>
          <w:p>
            <w:pPr>
              <w:spacing w:after="0"/>
              <w:rPr>
                <w:sz w:val="16"/>
                <w:szCs w:val="16"/>
                <w:color w:val="auto"/>
              </w:rPr>
            </w:pPr>
          </w:p>
        </w:tc>
      </w:tr>
      <w:tr>
        <w:trPr>
          <w:trHeight w:val="189"/>
        </w:trPr>
        <w:tc>
          <w:tcPr>
            <w:tcW w:w="368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Lead Independent Director</w:t>
            </w:r>
          </w:p>
        </w:tc>
        <w:tc>
          <w:tcPr>
            <w:tcW w:w="4320" w:type="dxa"/>
            <w:vAlign w:val="bottom"/>
            <w:tcBorders>
              <w:right w:val="single" w:sz="8" w:color="47829E"/>
            </w:tcBorders>
            <w:shd w:val="clear" w:color="auto" w:fill="DAE6EB"/>
          </w:tcPr>
          <w:p>
            <w:pPr>
              <w:ind w:left="640"/>
              <w:spacing w:after="0" w:line="189" w:lineRule="exact"/>
              <w:rPr>
                <w:sz w:val="20"/>
                <w:szCs w:val="20"/>
                <w:color w:val="auto"/>
              </w:rPr>
            </w:pPr>
            <w:r>
              <w:rPr>
                <w:rFonts w:ascii="Arial" w:cs="Arial" w:eastAsia="Arial" w:hAnsi="Arial"/>
                <w:sz w:val="17"/>
                <w:szCs w:val="17"/>
                <w:color w:val="auto"/>
              </w:rPr>
              <w:t>Long-standing active shareholder engagement</w:t>
            </w:r>
          </w:p>
        </w:tc>
        <w:tc>
          <w:tcPr>
            <w:tcW w:w="3440" w:type="dxa"/>
            <w:vAlign w:val="bottom"/>
            <w:tcBorders>
              <w:right w:val="single" w:sz="8" w:color="47829E"/>
            </w:tcBorders>
            <w:shd w:val="clear" w:color="auto" w:fill="DAE6EB"/>
          </w:tcPr>
          <w:p>
            <w:pPr>
              <w:ind w:left="660"/>
              <w:spacing w:after="0" w:line="189" w:lineRule="exact"/>
              <w:rPr>
                <w:sz w:val="20"/>
                <w:szCs w:val="20"/>
                <w:color w:val="auto"/>
              </w:rPr>
            </w:pPr>
            <w:r>
              <w:rPr>
                <w:rFonts w:ascii="Arial" w:cs="Arial" w:eastAsia="Arial" w:hAnsi="Arial"/>
                <w:sz w:val="17"/>
                <w:szCs w:val="17"/>
                <w:color w:val="auto"/>
              </w:rPr>
              <w:t>A confidential ethics hotline</w:t>
            </w:r>
          </w:p>
        </w:tc>
      </w:tr>
      <w:tr>
        <w:trPr>
          <w:trHeight w:val="183"/>
        </w:trPr>
        <w:tc>
          <w:tcPr>
            <w:tcW w:w="368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Independent audit, compensation and</w:t>
            </w:r>
          </w:p>
        </w:tc>
        <w:tc>
          <w:tcPr>
            <w:tcW w:w="4320" w:type="dxa"/>
            <w:vAlign w:val="bottom"/>
            <w:tcBorders>
              <w:right w:val="single" w:sz="8" w:color="47829E"/>
            </w:tcBorders>
          </w:tcPr>
          <w:p>
            <w:pPr>
              <w:ind w:left="640"/>
              <w:spacing w:after="0" w:line="183" w:lineRule="exact"/>
              <w:rPr>
                <w:sz w:val="20"/>
                <w:szCs w:val="20"/>
                <w:color w:val="auto"/>
              </w:rPr>
            </w:pPr>
            <w:r>
              <w:rPr>
                <w:rFonts w:ascii="Arial" w:cs="Arial" w:eastAsia="Arial" w:hAnsi="Arial"/>
                <w:sz w:val="17"/>
                <w:szCs w:val="17"/>
                <w:color w:val="auto"/>
              </w:rPr>
              <w:t>Executive compensation driven by pay-for-</w:t>
            </w:r>
          </w:p>
        </w:tc>
        <w:tc>
          <w:tcPr>
            <w:tcW w:w="3440" w:type="dxa"/>
            <w:vAlign w:val="bottom"/>
            <w:tcBorders>
              <w:right w:val="single" w:sz="8" w:color="47829E"/>
            </w:tcBorders>
          </w:tcPr>
          <w:p>
            <w:pPr>
              <w:ind w:left="660"/>
              <w:spacing w:after="0" w:line="183" w:lineRule="exact"/>
              <w:rPr>
                <w:sz w:val="20"/>
                <w:szCs w:val="20"/>
                <w:color w:val="auto"/>
              </w:rPr>
            </w:pPr>
            <w:r>
              <w:rPr>
                <w:rFonts w:ascii="Arial" w:cs="Arial" w:eastAsia="Arial" w:hAnsi="Arial"/>
                <w:sz w:val="17"/>
                <w:szCs w:val="17"/>
                <w:color w:val="auto"/>
              </w:rPr>
              <w:t>Risk oversight by full Board</w:t>
            </w:r>
          </w:p>
        </w:tc>
      </w:tr>
      <w:tr>
        <w:trPr>
          <w:trHeight w:val="195"/>
        </w:trPr>
        <w:tc>
          <w:tcPr>
            <w:tcW w:w="368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governance committees</w:t>
            </w:r>
          </w:p>
        </w:tc>
        <w:tc>
          <w:tcPr>
            <w:tcW w:w="4320" w:type="dxa"/>
            <w:vAlign w:val="bottom"/>
            <w:tcBorders>
              <w:right w:val="single" w:sz="8" w:color="47829E"/>
            </w:tcBorders>
          </w:tcPr>
          <w:p>
            <w:pPr>
              <w:ind w:left="640"/>
              <w:spacing w:after="0"/>
              <w:rPr>
                <w:sz w:val="20"/>
                <w:szCs w:val="20"/>
                <w:color w:val="auto"/>
              </w:rPr>
            </w:pPr>
            <w:r>
              <w:rPr>
                <w:rFonts w:ascii="Arial" w:cs="Arial" w:eastAsia="Arial" w:hAnsi="Arial"/>
                <w:sz w:val="17"/>
                <w:szCs w:val="17"/>
                <w:color w:val="auto"/>
              </w:rPr>
              <w:t>performance</w:t>
            </w:r>
          </w:p>
        </w:tc>
        <w:tc>
          <w:tcPr>
            <w:tcW w:w="3440" w:type="dxa"/>
            <w:vAlign w:val="bottom"/>
            <w:tcBorders>
              <w:right w:val="single" w:sz="8" w:color="47829E"/>
            </w:tcBorders>
          </w:tcPr>
          <w:p>
            <w:pPr>
              <w:ind w:left="660"/>
              <w:spacing w:after="0"/>
              <w:rPr>
                <w:sz w:val="20"/>
                <w:szCs w:val="20"/>
                <w:color w:val="auto"/>
              </w:rPr>
            </w:pPr>
            <w:r>
              <w:rPr>
                <w:rFonts w:ascii="Arial" w:cs="Arial" w:eastAsia="Arial" w:hAnsi="Arial"/>
                <w:sz w:val="17"/>
                <w:szCs w:val="17"/>
                <w:color w:val="auto"/>
              </w:rPr>
              <w:t>and Committees</w:t>
            </w:r>
          </w:p>
        </w:tc>
      </w:tr>
      <w:tr>
        <w:trPr>
          <w:trHeight w:val="183"/>
        </w:trPr>
        <w:tc>
          <w:tcPr>
            <w:tcW w:w="3680" w:type="dxa"/>
            <w:vAlign w:val="bottom"/>
            <w:tcBorders>
              <w:left w:val="single" w:sz="8" w:color="47829E"/>
              <w:right w:val="single" w:sz="8" w:color="47829E"/>
            </w:tcBorders>
            <w:shd w:val="clear" w:color="auto" w:fill="DAE6EB"/>
          </w:tcPr>
          <w:p>
            <w:pPr>
              <w:ind w:left="160"/>
              <w:spacing w:after="0" w:line="183" w:lineRule="exact"/>
              <w:rPr>
                <w:sz w:val="20"/>
                <w:szCs w:val="20"/>
                <w:color w:val="auto"/>
              </w:rPr>
            </w:pPr>
            <w:r>
              <w:rPr>
                <w:rFonts w:ascii="Arial" w:cs="Arial" w:eastAsia="Arial" w:hAnsi="Arial"/>
                <w:sz w:val="17"/>
                <w:szCs w:val="17"/>
                <w:color w:val="auto"/>
              </w:rPr>
              <w:t>Independent chair for key committees</w:t>
            </w:r>
          </w:p>
        </w:tc>
        <w:tc>
          <w:tcPr>
            <w:tcW w:w="4320" w:type="dxa"/>
            <w:vAlign w:val="bottom"/>
            <w:tcBorders>
              <w:right w:val="single" w:sz="8" w:color="47829E"/>
            </w:tcBorders>
            <w:shd w:val="clear" w:color="auto" w:fill="DAE6EB"/>
          </w:tcPr>
          <w:p>
            <w:pPr>
              <w:ind w:left="640"/>
              <w:spacing w:after="0" w:line="183" w:lineRule="exact"/>
              <w:rPr>
                <w:sz w:val="20"/>
                <w:szCs w:val="20"/>
                <w:color w:val="auto"/>
              </w:rPr>
            </w:pPr>
            <w:r>
              <w:rPr>
                <w:rFonts w:ascii="Arial" w:cs="Arial" w:eastAsia="Arial" w:hAnsi="Arial"/>
                <w:sz w:val="17"/>
                <w:szCs w:val="17"/>
                <w:color w:val="auto"/>
              </w:rPr>
              <w:t>Regular executive sessions of independent</w:t>
            </w:r>
          </w:p>
        </w:tc>
        <w:tc>
          <w:tcPr>
            <w:tcW w:w="3440" w:type="dxa"/>
            <w:vAlign w:val="bottom"/>
            <w:tcBorders>
              <w:right w:val="single" w:sz="8" w:color="47829E"/>
            </w:tcBorders>
            <w:shd w:val="clear" w:color="auto" w:fill="DAE6EB"/>
          </w:tcPr>
          <w:p>
            <w:pPr>
              <w:ind w:left="660"/>
              <w:spacing w:after="0" w:line="183" w:lineRule="exact"/>
              <w:rPr>
                <w:sz w:val="20"/>
                <w:szCs w:val="20"/>
                <w:color w:val="auto"/>
              </w:rPr>
            </w:pPr>
            <w:r>
              <w:rPr>
                <w:rFonts w:ascii="Arial" w:cs="Arial" w:eastAsia="Arial" w:hAnsi="Arial"/>
                <w:sz w:val="17"/>
                <w:szCs w:val="17"/>
                <w:color w:val="auto"/>
              </w:rPr>
              <w:t>Majority voting for Directors</w:t>
            </w:r>
          </w:p>
        </w:tc>
      </w:tr>
      <w:tr>
        <w:trPr>
          <w:trHeight w:val="195"/>
        </w:trPr>
        <w:tc>
          <w:tcPr>
            <w:tcW w:w="3680" w:type="dxa"/>
            <w:vAlign w:val="bottom"/>
            <w:tcBorders>
              <w:left w:val="single" w:sz="8" w:color="47829E"/>
              <w:bottom w:val="single" w:sz="8" w:color="47829E"/>
              <w:right w:val="single" w:sz="8" w:color="47829E"/>
            </w:tcBorders>
            <w:shd w:val="clear" w:color="auto" w:fill="DAE6EB"/>
          </w:tcPr>
          <w:p>
            <w:pPr>
              <w:spacing w:after="0"/>
              <w:rPr>
                <w:sz w:val="16"/>
                <w:szCs w:val="16"/>
                <w:color w:val="auto"/>
              </w:rPr>
            </w:pPr>
          </w:p>
        </w:tc>
        <w:tc>
          <w:tcPr>
            <w:tcW w:w="4320" w:type="dxa"/>
            <w:vAlign w:val="bottom"/>
            <w:tcBorders>
              <w:bottom w:val="single" w:sz="8" w:color="47829E"/>
              <w:right w:val="single" w:sz="8" w:color="47829E"/>
            </w:tcBorders>
            <w:shd w:val="clear" w:color="auto" w:fill="DAE6EB"/>
          </w:tcPr>
          <w:p>
            <w:pPr>
              <w:ind w:left="640"/>
              <w:spacing w:after="0"/>
              <w:rPr>
                <w:sz w:val="20"/>
                <w:szCs w:val="20"/>
                <w:color w:val="auto"/>
              </w:rPr>
            </w:pPr>
            <w:r>
              <w:rPr>
                <w:rFonts w:ascii="Arial" w:cs="Arial" w:eastAsia="Arial" w:hAnsi="Arial"/>
                <w:sz w:val="17"/>
                <w:szCs w:val="17"/>
                <w:color w:val="auto"/>
              </w:rPr>
              <w:t>Directors</w:t>
            </w:r>
          </w:p>
        </w:tc>
        <w:tc>
          <w:tcPr>
            <w:tcW w:w="3440" w:type="dxa"/>
            <w:vAlign w:val="bottom"/>
            <w:tcBorders>
              <w:bottom w:val="single" w:sz="8" w:color="47829E"/>
              <w:right w:val="single" w:sz="8" w:color="47829E"/>
            </w:tcBorders>
            <w:shd w:val="clear" w:color="auto" w:fill="DAE6EB"/>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40"/>
          </w:cols>
          <w:pgMar w:left="240" w:top="256" w:right="21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Martin Marietta’s Independent Directors?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All of Martin Marietta’s Directors are non-employee Directors except Mr. Nye.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In assessing the independence of its members, the Board has adopted for Martin Marietta a set of </w:t>
      </w:r>
      <w:r>
        <w:rPr>
          <w:rFonts w:ascii="Arial" w:cs="Arial" w:eastAsia="Arial" w:hAnsi="Arial"/>
          <w:sz w:val="17"/>
          <w:szCs w:val="17"/>
          <w:i w:val="1"/>
          <w:iCs w:val="1"/>
          <w:color w:val="auto"/>
        </w:rPr>
        <w:t>Guidelines for Director’s Independence</w:t>
      </w:r>
      <w:r>
        <w:rPr>
          <w:rFonts w:ascii="Arial" w:cs="Arial" w:eastAsia="Arial" w:hAnsi="Arial"/>
          <w:sz w:val="17"/>
          <w:szCs w:val="17"/>
          <w:color w:val="auto"/>
        </w:rPr>
        <w:t xml:space="preserve">. The Guidelines are posted and available for public viewing on 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These Guidelines reflect the rules of the New York Stock Exchange, applicable requirements of the SEC, and other standards determined by the Board to be important in assessing the independence of Board members. The Board has determined that all members of the Board, except Mr. Nye and Mr. Zelnak, are “independent” under these Guidelines, resulting in more than two-thirds of the Board being independent. The Board has further determined that Mr. Slager is “independent” under these Guidelines. The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Board of Directors has determined that no Director (except Mr. Nye and Mr. Zelnak) and Mr. Slager, or any person or organization with which the Director or Mr. Slager has any affiliation, has a relationship with Martin Marietta that may interfere with his or her independence from Martin Marietta and its management.</w:t>
      </w:r>
    </w:p>
    <w:p>
      <w:pPr>
        <w:spacing w:after="0" w:line="204"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In making this “independence” determination, the Board considered other entities with which the Directors and nominees were affiliated and any business Martin Marietta had done with such entities. In that regard, Mr. Vinroot is a member of the law firm of Robinson, Bradshaw &amp; Hinson, P.A. located in Charlotte, North Carolina, which provided certain legal services to Martin Marietta in 2015. Mr. Vinroot did not work on any of the legal matters for Martin Marietta. The amount of fees paid to Robinson, Bradshaw &amp; Hinson, P.A. for such services in 2015 was approximately $97,000, representing less than 0.02% of the firm’s total revenues for the last fiscal year. Accordingly, the Board determined that Mr. Vinroot’s relationship with Martin Marietta, directly and as a partner of Robinson, Bradshaw &amp; Hinson, P.A., was not material for purposes of the independence determination.</w:t>
      </w:r>
    </w:p>
    <w:p>
      <w:pPr>
        <w:spacing w:after="0" w:line="288" w:lineRule="exact"/>
        <w:rPr>
          <w:sz w:val="20"/>
          <w:szCs w:val="20"/>
          <w:color w:val="auto"/>
        </w:rPr>
      </w:pPr>
    </w:p>
    <w:p>
      <w:pPr>
        <w:sectPr>
          <w:pgSz w:w="11900" w:h="16838" w:orient="portrait"/>
          <w:cols w:equalWidth="0" w:num="2">
            <w:col w:w="5480" w:space="340"/>
            <w:col w:w="5620"/>
          </w:cols>
          <w:pgMar w:left="240" w:top="256" w:right="21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sz w:val="1"/>
          <w:szCs w:val="1"/>
          <w:color w:val="auto"/>
        </w:rPr>
        <w:drawing>
          <wp:inline distT="0" distB="0" distL="0" distR="0">
            <wp:extent cx="342900" cy="2057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56" w:right="2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Do the independent Directors ever meet without management?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Martin Marietta’s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adopted by the Board provide that at least two Board meetings each year will include an executive session of the non-employee Directors to discuss such topics as they may choose, including a discussion of the performance of Martin Marietta’s Chairman and its Chief Executive Officer. In 2015, Martin Marietta’s non-employee Directors met four times in executive session without management, in addition to executive sessions held by committees of the Board. In addition, at least once a year the independent Directors meet in executive session.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Board’s leadership structure?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Board of Directors elected Mr. Nye as Chairman of the Board effective June 2014. This change to add the responsibility of Chairman to Mr. Nye’s position completes the orderly succession process overseen by the Board of Directors. Our </w:t>
      </w:r>
      <w:r>
        <w:rPr>
          <w:rFonts w:ascii="Arial" w:cs="Arial" w:eastAsia="Arial" w:hAnsi="Arial"/>
          <w:sz w:val="17"/>
          <w:szCs w:val="17"/>
          <w:i w:val="1"/>
          <w:iCs w:val="1"/>
          <w:color w:val="auto"/>
        </w:rPr>
        <w:t>Corporate 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Guidelines </w:t>
      </w:r>
      <w:r>
        <w:rPr>
          <w:rFonts w:ascii="Arial" w:cs="Arial" w:eastAsia="Arial" w:hAnsi="Arial"/>
          <w:sz w:val="17"/>
          <w:szCs w:val="17"/>
          <w:color w:val="auto"/>
        </w:rPr>
        <w:t>provide that the Board’s policy as to whether the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Executive Officer positions should be separate is to adopt the practice that best serves the Company’s needs at any particular time.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Nominating and Governance Committee and the Board discussed board leadership alternatives on a number of occasions during 2013 and 2014 before deciding to recombine the Chairman and Chief Executive Officer roles. As a result of Mr. Nye’s long tenure at Martin Marietta, including four years as President and Chief Operating Officer and five years as President and Chief Executive Officer,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Chief Executive Officer is appropriate taking into consideration the size and nature of our business, Mr. Nye’s effective and careful formulation and execution of our strategic plan, Mr. Nye’s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80%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b w:val="1"/>
          <w:bCs w:val="1"/>
          <w:color w:val="FFFFFF"/>
        </w:rPr>
        <w:t>REASONS FOR COMBINED 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-253365</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-125095</wp:posOffset>
            </wp:positionV>
            <wp:extent cx="348170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81705" cy="137160"/>
                    </a:xfrm>
                    <a:prstGeom prst="rect">
                      <a:avLst/>
                    </a:prstGeom>
                    <a:noFill/>
                  </pic:spPr>
                </pic:pic>
              </a:graphicData>
            </a:graphic>
          </wp:anchor>
        </w:drawing>
      </w:r>
    </w:p>
    <w:p>
      <w:pPr>
        <w:jc w:val="both"/>
        <w:ind w:left="520" w:right="260" w:hanging="265"/>
        <w:spacing w:after="0" w:line="238" w:lineRule="auto"/>
        <w:tabs>
          <w:tab w:leader="none" w:pos="6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independent Board members believe that Mr. Nye has extensive experience in all facets of the construction materials industry, in both the U.S. and with global competitors.</w:t>
      </w:r>
    </w:p>
    <w:p>
      <w:pPr>
        <w:spacing w:after="0" w:line="53" w:lineRule="exact"/>
        <w:rPr>
          <w:rFonts w:ascii="Arial" w:cs="Arial" w:eastAsia="Arial" w:hAnsi="Arial"/>
          <w:sz w:val="17"/>
          <w:szCs w:val="17"/>
          <w:color w:val="auto"/>
        </w:rPr>
      </w:pPr>
    </w:p>
    <w:p>
      <w:pPr>
        <w:jc w:val="both"/>
        <w:ind w:left="520" w:right="260" w:hanging="265"/>
        <w:spacing w:after="0" w:line="238" w:lineRule="auto"/>
        <w:tabs>
          <w:tab w:leader="none" w:pos="7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Nye has been effective in creating shareholder value through strategic acquisitions and divestitures, with achievement of expected synergies.</w:t>
      </w:r>
    </w:p>
    <w:p>
      <w:pPr>
        <w:spacing w:after="0" w:line="53" w:lineRule="exact"/>
        <w:rPr>
          <w:rFonts w:ascii="Arial" w:cs="Arial" w:eastAsia="Arial" w:hAnsi="Arial"/>
          <w:sz w:val="17"/>
          <w:szCs w:val="17"/>
          <w:color w:val="auto"/>
        </w:rPr>
      </w:pPr>
    </w:p>
    <w:p>
      <w:pPr>
        <w:jc w:val="both"/>
        <w:ind w:left="520" w:right="260" w:hanging="265"/>
        <w:spacing w:after="0" w:line="238" w:lineRule="auto"/>
        <w:tabs>
          <w:tab w:leader="none" w:pos="563"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Nye has in-depth knowledge of safety, environmental, and regulatory considerations that impact the business and oversight of management.</w:t>
      </w:r>
    </w:p>
    <w:p>
      <w:pPr>
        <w:spacing w:after="0" w:line="53" w:lineRule="exact"/>
        <w:rPr>
          <w:rFonts w:ascii="Arial" w:cs="Arial" w:eastAsia="Arial" w:hAnsi="Arial"/>
          <w:sz w:val="17"/>
          <w:szCs w:val="17"/>
          <w:color w:val="auto"/>
        </w:rPr>
      </w:pPr>
    </w:p>
    <w:p>
      <w:pPr>
        <w:jc w:val="both"/>
        <w:ind w:left="520" w:right="260" w:hanging="265"/>
        <w:spacing w:after="0" w:line="235" w:lineRule="auto"/>
        <w:tabs>
          <w:tab w:leader="none" w:pos="5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Nye has demonstrated his leadership and vision to guide the Board in its oversight of management with the development of two five-year strategic plans, with the current Strategic Operating Analysis and Review (SOAR 2020) discussed with the Board in August 2015.</w:t>
      </w:r>
    </w:p>
    <w:p>
      <w:pPr>
        <w:spacing w:after="0" w:line="55" w:lineRule="exact"/>
        <w:rPr>
          <w:rFonts w:ascii="Arial" w:cs="Arial" w:eastAsia="Arial" w:hAnsi="Arial"/>
          <w:sz w:val="17"/>
          <w:szCs w:val="17"/>
          <w:color w:val="auto"/>
        </w:rPr>
      </w:pPr>
    </w:p>
    <w:p>
      <w:pPr>
        <w:jc w:val="both"/>
        <w:ind w:left="520" w:right="260" w:hanging="265"/>
        <w:spacing w:after="0" w:line="236"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Nye has engaged in an active investor relations program, including the Company’s Investor Day in 2015, and leads the Board in understanding the perspective of the Company’s shareholders.</w:t>
      </w:r>
    </w:p>
    <w:p>
      <w:pPr>
        <w:spacing w:after="0" w:line="54" w:lineRule="exact"/>
        <w:rPr>
          <w:rFonts w:ascii="Arial" w:cs="Arial" w:eastAsia="Arial" w:hAnsi="Arial"/>
          <w:sz w:val="17"/>
          <w:szCs w:val="17"/>
          <w:color w:val="auto"/>
        </w:rPr>
      </w:pPr>
    </w:p>
    <w:p>
      <w:pPr>
        <w:jc w:val="both"/>
        <w:ind w:left="520" w:right="260" w:hanging="265"/>
        <w:spacing w:after="0" w:line="238" w:lineRule="auto"/>
        <w:tabs>
          <w:tab w:leader="none" w:pos="563"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Strong independent directors comprise 80% of the Board, and open communications exist between Mr. Nye and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-2740025</wp:posOffset>
            </wp:positionV>
            <wp:extent cx="3481705" cy="2830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81705" cy="283019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Does the Board have a Lead Independent Director?</w:t>
      </w:r>
    </w:p>
    <w:p>
      <w:pPr>
        <w:spacing w:after="0" w:line="203"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7"/>
          <w:szCs w:val="17"/>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Governance Guidelines </w:t>
      </w:r>
      <w:r>
        <w:rPr>
          <w:rFonts w:ascii="Arial" w:cs="Arial" w:eastAsia="Arial" w:hAnsi="Arial"/>
          <w:sz w:val="17"/>
          <w:szCs w:val="17"/>
          <w:color w:val="auto"/>
        </w:rPr>
        <w:t>were revised to provide that in the event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Chief Executive Officer positions are held by one person, our independent 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was designated as the Lead Independent Director.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responsibilities of the Lead Independent Director include:</w:t>
      </w:r>
    </w:p>
    <w:p>
      <w:pPr>
        <w:spacing w:after="0" w:line="115" w:lineRule="exact"/>
        <w:rPr>
          <w:sz w:val="20"/>
          <w:szCs w:val="20"/>
          <w:color w:val="auto"/>
        </w:rPr>
      </w:pPr>
    </w:p>
    <w:p>
      <w:pPr>
        <w:ind w:left="740" w:right="140" w:hanging="300"/>
        <w:spacing w:after="0" w:line="243"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Presiding at Board meetings when the Chairman is not present.</w:t>
      </w:r>
    </w:p>
    <w:p>
      <w:pPr>
        <w:spacing w:after="0" w:line="103" w:lineRule="exact"/>
        <w:rPr>
          <w:rFonts w:ascii="Arial" w:cs="Arial" w:eastAsia="Arial" w:hAnsi="Arial"/>
          <w:sz w:val="17"/>
          <w:szCs w:val="17"/>
          <w:color w:val="auto"/>
        </w:rPr>
      </w:pPr>
    </w:p>
    <w:p>
      <w:pPr>
        <w:jc w:val="both"/>
        <w:ind w:left="740" w:right="120" w:hanging="300"/>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Presiding at executive sessions of the non-management directors with or without the attendance of the Chairman, and meeting separately with the Chairman after executive sessions to review the matters discussed during the executive sessions.</w:t>
      </w:r>
    </w:p>
    <w:p>
      <w:pPr>
        <w:spacing w:after="0" w:line="285"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Acting as a liaison between the Chairman and the independent Directors.</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Suggesting to the Chairman agenda items for Board meetings and consulting with the Chairman regarding Board meeting schedules.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21" w:name="page22"/>
    <w:bookmarkEnd w:id="21"/>
    <w:p>
      <w:pPr>
        <w:ind w:left="740" w:right="20" w:hanging="300"/>
        <w:spacing w:after="0" w:line="243"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Calling, where necessary, meetings of independent directors and executive sessions.</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Being available to meet with shareholders and other key constituents.</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Acting as a resource for, and counsel to, the Chairman.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addition, the Lead Independent Director attended and met with shareholders at the Company-sponsored Investor Day in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Board’s role in risk oversight?</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Board currently has eight independent members and only two non-independent members, Mr. Nye and Mr. Zelnak.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key committees of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Board has overall responsibility for oversight of risk management. The Board believes that an effective risk management system will (1) timely identify the material risks that Martin Marietta faces,</w:t>
      </w:r>
    </w:p>
    <w:p>
      <w:pPr>
        <w:jc w:val="both"/>
        <w:ind w:firstLine="8"/>
        <w:spacing w:after="0" w:line="234" w:lineRule="auto"/>
        <w:tabs>
          <w:tab w:leader="none" w:pos="2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Martin Marietta’s risk profile, and (5) integrate risk management into Martin Marietta’s decision-making.</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  </w:t>
      </w:r>
      <w:r>
        <w:rPr>
          <w:sz w:val="1"/>
          <w:szCs w:val="1"/>
          <w:color w:val="auto"/>
        </w:rPr>
        <w:drawing>
          <wp:inline distT="0" distB="0" distL="0" distR="0">
            <wp:extent cx="342900" cy="2057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3" w:lineRule="auto"/>
        <w:rPr>
          <w:sz w:val="20"/>
          <w:szCs w:val="20"/>
          <w:color w:val="auto"/>
        </w:rPr>
      </w:pPr>
      <w:r>
        <w:rPr>
          <w:rFonts w:ascii="Arial" w:cs="Arial" w:eastAsia="Arial" w:hAnsi="Arial"/>
          <w:sz w:val="17"/>
          <w:szCs w:val="17"/>
          <w:color w:val="auto"/>
        </w:rPr>
        <w:t xml:space="preserve">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on page 33.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-1690370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18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How would interested parties make their concerns known to the independent Directors?</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Lead Independent Director, by writing to Martin Marietta, Attn: Corporate Secretary, 2710 Wycliff Road, Raleigh, North Carolina 27607-3033.</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our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w:t>
      </w:r>
    </w:p>
    <w:p>
      <w:pPr>
        <w:sectPr>
          <w:pgSz w:w="11900" w:h="16838" w:orient="portrait"/>
          <w:cols w:equalWidth="0" w:num="2">
            <w:col w:w="5480" w:space="340"/>
            <w:col w:w="5480"/>
          </w:cols>
          <w:pgMar w:left="240" w:top="336"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How often did the Board meet during 2015?</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Martin Marietta’s Board of Directors held five meetings during 2015, all of which were regularly scheduled meetings. There were also a total of 26 committee meetings in 2015. In addition, management confers frequently with its Directors on an informal basis to discuss Company affairs.</w:t>
      </w:r>
    </w:p>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i w:val="1"/>
          <w:iCs w:val="1"/>
          <w:color w:val="auto"/>
        </w:rPr>
        <w:t>How many times did Directors attend meetings of the Board and its Committees?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2015, all Directors attended at least 75% of the meetings of the Board of Directors. All directors attended at least 75% of the meetings of the committees of the Board on which they served (during the periods that they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74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381635</wp:posOffset>
            </wp:positionV>
            <wp:extent cx="774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381635</wp:posOffset>
            </wp:positionV>
            <wp:extent cx="774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Will the Directors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Martin Marietta’s Directors are expected to attend Martin Marietta’s Annual Meeting of Shareholders. In 2015, all Directors attended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Committees has the Board established?</w:t>
      </w:r>
    </w:p>
    <w:p>
      <w:pPr>
        <w:spacing w:after="0" w:line="230"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204"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Below is a summary of our current committee structure and membership information.</w:t>
      </w:r>
    </w:p>
    <w:p>
      <w:pPr>
        <w:spacing w:after="0" w:line="200" w:lineRule="exact"/>
        <w:rPr>
          <w:sz w:val="20"/>
          <w:szCs w:val="20"/>
          <w:color w:val="auto"/>
        </w:rPr>
      </w:pPr>
    </w:p>
    <w:p>
      <w:pPr>
        <w:sectPr>
          <w:pgSz w:w="11900" w:h="16838" w:orient="portrait"/>
          <w:cols w:equalWidth="0" w:num="2">
            <w:col w:w="5480" w:space="340"/>
            <w:col w:w="5620"/>
          </w:cols>
          <w:pgMar w:left="240" w:top="316" w:right="21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ind w:left="280"/>
              <w:spacing w:after="0"/>
              <w:rPr>
                <w:sz w:val="20"/>
                <w:szCs w:val="20"/>
                <w:color w:val="auto"/>
              </w:rPr>
            </w:pPr>
            <w:r>
              <w:rPr>
                <w:rFonts w:ascii="Arial" w:cs="Arial" w:eastAsia="Arial" w:hAnsi="Arial"/>
                <w:sz w:val="17"/>
                <w:szCs w:val="17"/>
                <w:color w:val="auto"/>
              </w:rPr>
              <w:t>Lead Independent Director</w:t>
            </w:r>
          </w:p>
        </w:tc>
        <w:tc>
          <w:tcPr>
            <w:tcW w:w="2140" w:type="dxa"/>
            <w:vAlign w:val="bottom"/>
          </w:tcPr>
          <w:p>
            <w:pPr>
              <w:ind w:left="640"/>
              <w:spacing w:after="0"/>
              <w:rPr>
                <w:sz w:val="20"/>
                <w:szCs w:val="20"/>
                <w:color w:val="auto"/>
              </w:rPr>
            </w:pPr>
            <w:r>
              <w:rPr>
                <w:rFonts w:ascii="Arial" w:cs="Arial" w:eastAsia="Arial" w:hAnsi="Arial"/>
                <w:sz w:val="17"/>
                <w:szCs w:val="17"/>
                <w:color w:val="auto"/>
              </w:rPr>
              <w:t>Chairperson</w:t>
            </w:r>
          </w:p>
        </w:tc>
        <w:tc>
          <w:tcPr>
            <w:tcW w:w="2520" w:type="dxa"/>
            <w:vAlign w:val="bottom"/>
            <w:gridSpan w:val="2"/>
          </w:tcPr>
          <w:p>
            <w:pPr>
              <w:ind w:left="780"/>
              <w:spacing w:after="0"/>
              <w:rPr>
                <w:sz w:val="20"/>
                <w:szCs w:val="20"/>
                <w:color w:val="auto"/>
              </w:rPr>
            </w:pPr>
            <w:r>
              <w:rPr>
                <w:rFonts w:ascii="Arial" w:cs="Arial" w:eastAsia="Arial" w:hAnsi="Arial"/>
                <w:sz w:val="17"/>
                <w:szCs w:val="17"/>
                <w:color w:val="auto"/>
              </w:rPr>
              <w:t>Member</w:t>
            </w:r>
          </w:p>
        </w:tc>
        <w:tc>
          <w:tcPr>
            <w:tcW w:w="1740" w:type="dxa"/>
            <w:vAlign w:val="bottom"/>
            <w:gridSpan w:val="2"/>
          </w:tcPr>
          <w:p>
            <w:pPr>
              <w:ind w:left="160"/>
              <w:spacing w:after="0"/>
              <w:rPr>
                <w:sz w:val="20"/>
                <w:szCs w:val="20"/>
                <w:color w:val="auto"/>
              </w:rPr>
            </w:pPr>
            <w:r>
              <w:rPr>
                <w:rFonts w:ascii="Arial" w:cs="Arial" w:eastAsia="Arial" w:hAnsi="Arial"/>
                <w:sz w:val="17"/>
                <w:szCs w:val="17"/>
                <w:color w:val="auto"/>
              </w:rPr>
              <w:t>Financial Expert</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2"/>
        </w:trPr>
        <w:tc>
          <w:tcPr>
            <w:tcW w:w="29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27"/>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spacing w:after="0"/>
              <w:rPr>
                <w:sz w:val="11"/>
                <w:szCs w:val="11"/>
                <w:color w:val="auto"/>
              </w:rPr>
            </w:pPr>
          </w:p>
        </w:tc>
        <w:tc>
          <w:tcPr>
            <w:tcW w:w="1220" w:type="dxa"/>
            <w:vAlign w:val="bottom"/>
            <w:shd w:val="clear" w:color="auto" w:fill="47829E"/>
          </w:tcPr>
          <w:p>
            <w:pPr>
              <w:spacing w:after="0"/>
              <w:rPr>
                <w:sz w:val="11"/>
                <w:szCs w:val="11"/>
                <w:color w:val="auto"/>
              </w:rPr>
            </w:pPr>
          </w:p>
        </w:tc>
        <w:tc>
          <w:tcPr>
            <w:tcW w:w="860" w:type="dxa"/>
            <w:vAlign w:val="bottom"/>
            <w:shd w:val="clear" w:color="auto" w:fill="47829E"/>
          </w:tcPr>
          <w:p>
            <w:pPr>
              <w:spacing w:after="0"/>
              <w:rPr>
                <w:sz w:val="11"/>
                <w:szCs w:val="11"/>
                <w:color w:val="auto"/>
              </w:rPr>
            </w:pPr>
          </w:p>
        </w:tc>
        <w:tc>
          <w:tcPr>
            <w:tcW w:w="880" w:type="dxa"/>
            <w:vAlign w:val="bottom"/>
            <w:shd w:val="clear" w:color="auto" w:fill="47829E"/>
          </w:tcPr>
          <w:p>
            <w:pPr>
              <w:spacing w:after="0"/>
              <w:rPr>
                <w:sz w:val="11"/>
                <w:szCs w:val="11"/>
                <w:color w:val="auto"/>
              </w:rPr>
            </w:pPr>
          </w:p>
        </w:tc>
        <w:tc>
          <w:tcPr>
            <w:tcW w:w="1020" w:type="dxa"/>
            <w:vAlign w:val="bottom"/>
            <w:shd w:val="clear" w:color="auto" w:fill="47829E"/>
          </w:tcPr>
          <w:p>
            <w:pPr>
              <w:jc w:val="center"/>
              <w:spacing w:after="0" w:line="127" w:lineRule="exact"/>
              <w:rPr>
                <w:sz w:val="20"/>
                <w:szCs w:val="20"/>
                <w:color w:val="auto"/>
              </w:rPr>
            </w:pPr>
            <w:r>
              <w:rPr>
                <w:rFonts w:ascii="Arial" w:cs="Arial" w:eastAsia="Arial" w:hAnsi="Arial"/>
                <w:sz w:val="13"/>
                <w:szCs w:val="13"/>
                <w:b w:val="1"/>
                <w:bCs w:val="1"/>
                <w:color w:val="FFFFFF"/>
                <w:w w:val="98"/>
              </w:rPr>
              <w:t>Management</w:t>
            </w:r>
          </w:p>
        </w:tc>
        <w:tc>
          <w:tcPr>
            <w:tcW w:w="1100" w:type="dxa"/>
            <w:vAlign w:val="bottom"/>
            <w:shd w:val="clear" w:color="auto" w:fill="47829E"/>
          </w:tcPr>
          <w:p>
            <w:pPr>
              <w:spacing w:after="0"/>
              <w:rPr>
                <w:sz w:val="11"/>
                <w:szCs w:val="11"/>
                <w:color w:val="auto"/>
              </w:rPr>
            </w:pPr>
          </w:p>
        </w:tc>
      </w:tr>
      <w:tr>
        <w:trPr>
          <w:trHeight w:val="135"/>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spacing w:after="0"/>
              <w:rPr>
                <w:sz w:val="11"/>
                <w:szCs w:val="11"/>
                <w:color w:val="auto"/>
              </w:rPr>
            </w:pPr>
          </w:p>
        </w:tc>
        <w:tc>
          <w:tcPr>
            <w:tcW w:w="12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Ethics,</w:t>
            </w:r>
          </w:p>
        </w:tc>
        <w:tc>
          <w:tcPr>
            <w:tcW w:w="860" w:type="dxa"/>
            <w:vAlign w:val="bottom"/>
            <w:shd w:val="clear" w:color="auto" w:fill="47829E"/>
          </w:tcPr>
          <w:p>
            <w:pPr>
              <w:spacing w:after="0"/>
              <w:rPr>
                <w:sz w:val="11"/>
                <w:szCs w:val="11"/>
                <w:color w:val="auto"/>
              </w:rPr>
            </w:pPr>
          </w:p>
        </w:tc>
        <w:tc>
          <w:tcPr>
            <w:tcW w:w="880" w:type="dxa"/>
            <w:vAlign w:val="bottom"/>
            <w:shd w:val="clear" w:color="auto" w:fill="47829E"/>
          </w:tcPr>
          <w:p>
            <w:pPr>
              <w:spacing w:after="0"/>
              <w:rPr>
                <w:sz w:val="11"/>
                <w:szCs w:val="11"/>
                <w:color w:val="auto"/>
              </w:rPr>
            </w:pPr>
          </w:p>
        </w:tc>
        <w:tc>
          <w:tcPr>
            <w:tcW w:w="10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Development</w:t>
            </w:r>
          </w:p>
        </w:tc>
        <w:tc>
          <w:tcPr>
            <w:tcW w:w="1100" w:type="dxa"/>
            <w:vAlign w:val="bottom"/>
            <w:shd w:val="clear" w:color="auto" w:fill="47829E"/>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Nominating</w:t>
            </w:r>
          </w:p>
        </w:tc>
      </w:tr>
      <w:tr>
        <w:trPr>
          <w:trHeight w:val="135"/>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spacing w:after="0"/>
              <w:rPr>
                <w:sz w:val="11"/>
                <w:szCs w:val="11"/>
                <w:color w:val="auto"/>
              </w:rPr>
            </w:pPr>
          </w:p>
        </w:tc>
        <w:tc>
          <w:tcPr>
            <w:tcW w:w="12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Environment,</w:t>
            </w:r>
          </w:p>
        </w:tc>
        <w:tc>
          <w:tcPr>
            <w:tcW w:w="860" w:type="dxa"/>
            <w:vAlign w:val="bottom"/>
            <w:shd w:val="clear" w:color="auto" w:fill="47829E"/>
          </w:tcPr>
          <w:p>
            <w:pPr>
              <w:spacing w:after="0"/>
              <w:rPr>
                <w:sz w:val="11"/>
                <w:szCs w:val="11"/>
                <w:color w:val="auto"/>
              </w:rPr>
            </w:pPr>
          </w:p>
        </w:tc>
        <w:tc>
          <w:tcPr>
            <w:tcW w:w="880" w:type="dxa"/>
            <w:vAlign w:val="bottom"/>
            <w:shd w:val="clear" w:color="auto" w:fill="47829E"/>
          </w:tcPr>
          <w:p>
            <w:pPr>
              <w:spacing w:after="0"/>
              <w:rPr>
                <w:sz w:val="11"/>
                <w:szCs w:val="11"/>
                <w:color w:val="auto"/>
              </w:rPr>
            </w:pPr>
          </w:p>
        </w:tc>
        <w:tc>
          <w:tcPr>
            <w:tcW w:w="10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4"/>
              </w:rPr>
              <w:t>and</w:t>
            </w:r>
          </w:p>
        </w:tc>
        <w:tc>
          <w:tcPr>
            <w:tcW w:w="1100" w:type="dxa"/>
            <w:vAlign w:val="bottom"/>
            <w:shd w:val="clear" w:color="auto" w:fill="47829E"/>
          </w:tcPr>
          <w:p>
            <w:pPr>
              <w:jc w:val="center"/>
              <w:ind w:right="17"/>
              <w:spacing w:after="0" w:line="135" w:lineRule="exact"/>
              <w:rPr>
                <w:sz w:val="20"/>
                <w:szCs w:val="20"/>
                <w:color w:val="auto"/>
              </w:rPr>
            </w:pPr>
            <w:r>
              <w:rPr>
                <w:rFonts w:ascii="Arial" w:cs="Arial" w:eastAsia="Arial" w:hAnsi="Arial"/>
                <w:sz w:val="13"/>
                <w:szCs w:val="13"/>
                <w:b w:val="1"/>
                <w:bCs w:val="1"/>
                <w:color w:val="FFFFFF"/>
                <w:w w:val="96"/>
              </w:rPr>
              <w:t>and Corporate</w:t>
            </w:r>
          </w:p>
        </w:tc>
      </w:tr>
      <w:tr>
        <w:trPr>
          <w:trHeight w:val="135"/>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jc w:val="center"/>
              <w:ind w:left="390"/>
              <w:spacing w:after="0" w:line="135" w:lineRule="exact"/>
              <w:rPr>
                <w:sz w:val="20"/>
                <w:szCs w:val="20"/>
                <w:color w:val="auto"/>
              </w:rPr>
            </w:pPr>
            <w:r>
              <w:rPr>
                <w:rFonts w:ascii="Arial" w:cs="Arial" w:eastAsia="Arial" w:hAnsi="Arial"/>
                <w:sz w:val="13"/>
                <w:szCs w:val="13"/>
                <w:b w:val="1"/>
                <w:bCs w:val="1"/>
                <w:color w:val="FFFFFF"/>
                <w:w w:val="96"/>
              </w:rPr>
              <w:t>Audit</w:t>
            </w:r>
          </w:p>
        </w:tc>
        <w:tc>
          <w:tcPr>
            <w:tcW w:w="12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Safety and Health</w:t>
            </w:r>
          </w:p>
        </w:tc>
        <w:tc>
          <w:tcPr>
            <w:tcW w:w="86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Executive</w:t>
            </w:r>
          </w:p>
        </w:tc>
        <w:tc>
          <w:tcPr>
            <w:tcW w:w="88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Finance</w:t>
            </w:r>
          </w:p>
        </w:tc>
        <w:tc>
          <w:tcPr>
            <w:tcW w:w="10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shd w:val="clear" w:color="auto" w:fill="47829E"/>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Governance</w:t>
            </w:r>
          </w:p>
        </w:tc>
      </w:tr>
      <w:tr>
        <w:trPr>
          <w:trHeight w:val="157"/>
        </w:trPr>
        <w:tc>
          <w:tcPr>
            <w:tcW w:w="2920" w:type="dxa"/>
            <w:vAlign w:val="bottom"/>
            <w:shd w:val="clear" w:color="auto" w:fill="47829E"/>
          </w:tcPr>
          <w:p>
            <w:pPr>
              <w:ind w:left="160"/>
              <w:spacing w:after="0"/>
              <w:rPr>
                <w:sz w:val="20"/>
                <w:szCs w:val="20"/>
                <w:color w:val="auto"/>
              </w:rPr>
            </w:pPr>
            <w:r>
              <w:rPr>
                <w:rFonts w:ascii="Arial" w:cs="Arial" w:eastAsia="Arial" w:hAnsi="Arial"/>
                <w:sz w:val="13"/>
                <w:szCs w:val="13"/>
                <w:b w:val="1"/>
                <w:bCs w:val="1"/>
                <w:color w:val="FFFFFF"/>
              </w:rPr>
              <w:t>Director</w:t>
            </w:r>
          </w:p>
        </w:tc>
        <w:tc>
          <w:tcPr>
            <w:tcW w:w="2140" w:type="dxa"/>
            <w:vAlign w:val="bottom"/>
            <w:shd w:val="clear" w:color="auto" w:fill="47829E"/>
          </w:tcPr>
          <w:p>
            <w:pPr>
              <w:spacing w:after="0"/>
              <w:rPr>
                <w:sz w:val="13"/>
                <w:szCs w:val="13"/>
                <w:color w:val="auto"/>
              </w:rPr>
            </w:pPr>
          </w:p>
        </w:tc>
        <w:tc>
          <w:tcPr>
            <w:tcW w:w="1300" w:type="dxa"/>
            <w:vAlign w:val="bottom"/>
            <w:shd w:val="clear" w:color="auto" w:fill="47829E"/>
          </w:tcPr>
          <w:p>
            <w:pPr>
              <w:jc w:val="center"/>
              <w:ind w:left="390"/>
              <w:spacing w:after="0"/>
              <w:rPr>
                <w:sz w:val="20"/>
                <w:szCs w:val="20"/>
                <w:color w:val="auto"/>
              </w:rPr>
            </w:pPr>
            <w:r>
              <w:rPr>
                <w:rFonts w:ascii="Arial" w:cs="Arial" w:eastAsia="Arial" w:hAnsi="Arial"/>
                <w:sz w:val="13"/>
                <w:szCs w:val="13"/>
                <w:b w:val="1"/>
                <w:bCs w:val="1"/>
                <w:color w:val="FFFFFF"/>
                <w:w w:val="95"/>
              </w:rPr>
              <w:t>Committee</w:t>
            </w:r>
          </w:p>
        </w:tc>
        <w:tc>
          <w:tcPr>
            <w:tcW w:w="122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86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88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02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100" w:type="dxa"/>
            <w:vAlign w:val="bottom"/>
            <w:shd w:val="clear" w:color="auto" w:fill="47829E"/>
          </w:tcPr>
          <w:p>
            <w:pPr>
              <w:jc w:val="center"/>
              <w:ind w:right="37"/>
              <w:spacing w:after="0"/>
              <w:rPr>
                <w:sz w:val="20"/>
                <w:szCs w:val="20"/>
                <w:color w:val="auto"/>
              </w:rPr>
            </w:pPr>
            <w:r>
              <w:rPr>
                <w:rFonts w:ascii="Arial" w:cs="Arial" w:eastAsia="Arial" w:hAnsi="Arial"/>
                <w:sz w:val="13"/>
                <w:szCs w:val="13"/>
                <w:b w:val="1"/>
                <w:bCs w:val="1"/>
                <w:color w:val="FFFFFF"/>
                <w:w w:val="95"/>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-608330</wp:posOffset>
            </wp:positionV>
            <wp:extent cx="85725"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54875" cy="1595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1595120"/>
                    </a:xfrm>
                    <a:prstGeom prst="rect">
                      <a:avLst/>
                    </a:prstGeom>
                    <a:noFill/>
                  </pic:spPr>
                </pic:pic>
              </a:graphicData>
            </a:graphic>
          </wp:anchor>
        </w:drawing>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Sue W. Cole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David G. Maffucci </w:t>
      </w:r>
      <w:r>
        <w:rPr>
          <w:sz w:val="1"/>
          <w:szCs w:val="1"/>
          <w:color w:val="auto"/>
        </w:rPr>
        <w:drawing>
          <wp:inline distT="0" distB="0" distL="0" distR="0">
            <wp:extent cx="85725" cy="946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William E. McDonald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Frank H. Menaker, Jr.</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 Howard Nye</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Laree E. Perez</w:t>
      </w:r>
    </w:p>
    <w:p>
      <w:pPr>
        <w:ind w:left="160"/>
        <w:spacing w:after="0"/>
        <w:rPr>
          <w:sz w:val="20"/>
          <w:szCs w:val="20"/>
          <w:color w:val="auto"/>
        </w:rPr>
      </w:pPr>
      <w:r>
        <w:rPr>
          <w:rFonts w:ascii="Arial" w:cs="Arial" w:eastAsia="Arial" w:hAnsi="Arial"/>
          <w:sz w:val="15"/>
          <w:szCs w:val="15"/>
          <w:color w:val="auto"/>
        </w:rPr>
        <w:t xml:space="preserve">Michael J. Quillen </w:t>
      </w:r>
      <w:r>
        <w:rPr>
          <w:sz w:val="1"/>
          <w:szCs w:val="1"/>
          <w:color w:val="auto"/>
        </w:rPr>
        <w:drawing>
          <wp:inline distT="0" distB="0" distL="0" distR="0">
            <wp:extent cx="77470" cy="1460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46050"/>
                    </a:xfrm>
                    <a:prstGeom prst="rect">
                      <a:avLst/>
                    </a:prstGeom>
                    <a:noFill/>
                    <a:ln>
                      <a:noFill/>
                    </a:ln>
                  </pic:spPr>
                </pic:pic>
              </a:graphicData>
            </a:graphic>
          </wp:inline>
        </w:drawing>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Dennis L. Rediker</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Richard A. Vinroot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Stephen P. Zelnak, Jr.</w:t>
      </w:r>
    </w:p>
    <w:p>
      <w:pPr>
        <w:sectPr>
          <w:pgSz w:w="11900" w:h="16838" w:orient="portrait"/>
          <w:cols w:equalWidth="0" w:num="1">
            <w:col w:w="11440"/>
          </w:cols>
          <w:pgMar w:left="240" w:top="316" w:right="219" w:bottom="1440" w:gutter="0" w:footer="0" w:header="0"/>
          <w:type w:val="continuous"/>
        </w:sectPr>
      </w:pPr>
    </w:p>
    <w:p>
      <w:pPr>
        <w:spacing w:after="0" w:line="277"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Audit Committee</w:t>
      </w:r>
      <w:r>
        <w:rPr>
          <w:rFonts w:ascii="Arial" w:cs="Arial" w:eastAsia="Arial" w:hAnsi="Arial"/>
          <w:sz w:val="17"/>
          <w:szCs w:val="17"/>
          <w:color w:val="auto"/>
        </w:rPr>
        <w:t>, which is composed entirely of non-employee, independent Directors, held eight meetings during 2015. The Audit Committee meets periodically and separately in executive sessions with management, the independent auditors, and Martin Marietta’s internal auditors to review the activities of each. The Audit Committee possesses and may exercise the powers of the Board of Directors relating to accounting, auditing, and financial reporting matters of Martin Marietta,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Martin Marietta’s independent auditors. These are the primary responsibilities of the Audit Committee:</w:t>
      </w:r>
    </w:p>
    <w:p>
      <w:pPr>
        <w:spacing w:after="0" w:line="231" w:lineRule="exact"/>
        <w:rPr>
          <w:sz w:val="20"/>
          <w:szCs w:val="20"/>
          <w:color w:val="auto"/>
        </w:rPr>
      </w:pPr>
    </w:p>
    <w:p>
      <w:pPr>
        <w:ind w:left="740" w:hanging="300"/>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selects the independent auditors</w:t>
      </w:r>
    </w:p>
    <w:p>
      <w:pPr>
        <w:spacing w:after="0" w:line="115" w:lineRule="exact"/>
        <w:rPr>
          <w:rFonts w:ascii="Arial" w:cs="Arial" w:eastAsia="Arial" w:hAnsi="Arial"/>
          <w:sz w:val="17"/>
          <w:szCs w:val="17"/>
          <w:color w:val="auto"/>
        </w:rPr>
      </w:pPr>
    </w:p>
    <w:p>
      <w:pPr>
        <w:ind w:left="740" w:right="60" w:hanging="300"/>
        <w:spacing w:after="0" w:line="243"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pre-approves all audit and non-audit services provided to Martin Marietta by the independent auditors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300" w:hanging="300"/>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monitors the independence of the independent auditors</w:t>
      </w:r>
    </w:p>
    <w:p>
      <w:pPr>
        <w:spacing w:after="0" w:line="115" w:lineRule="exact"/>
        <w:rPr>
          <w:rFonts w:ascii="Arial" w:cs="Arial" w:eastAsia="Arial" w:hAnsi="Arial"/>
          <w:sz w:val="17"/>
          <w:szCs w:val="17"/>
          <w:color w:val="auto"/>
        </w:rPr>
      </w:pPr>
    </w:p>
    <w:p>
      <w:pPr>
        <w:ind w:left="300" w:hanging="300"/>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reviews and approves:</w:t>
      </w:r>
    </w:p>
    <w:p>
      <w:pPr>
        <w:spacing w:after="0" w:line="115" w:lineRule="exact"/>
        <w:rPr>
          <w:sz w:val="20"/>
          <w:szCs w:val="20"/>
          <w:color w:val="auto"/>
        </w:rPr>
      </w:pPr>
    </w:p>
    <w:p>
      <w:pPr>
        <w:ind w:left="640" w:right="140" w:hanging="289"/>
        <w:spacing w:after="0" w:line="243" w:lineRule="auto"/>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scope and timing of work to be performed by the independent auditors</w:t>
      </w:r>
    </w:p>
    <w:p>
      <w:pPr>
        <w:spacing w:after="0" w:line="103" w:lineRule="exact"/>
        <w:rPr>
          <w:rFonts w:ascii="Arial" w:cs="Arial" w:eastAsia="Arial" w:hAnsi="Arial"/>
          <w:sz w:val="17"/>
          <w:szCs w:val="17"/>
          <w:color w:val="auto"/>
        </w:rPr>
      </w:pPr>
    </w:p>
    <w:p>
      <w:pPr>
        <w:ind w:left="640" w:hanging="289"/>
        <w:spacing w:after="0"/>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compensation to be paid to the independent auditors</w:t>
      </w:r>
    </w:p>
    <w:p>
      <w:pPr>
        <w:spacing w:after="0" w:line="128" w:lineRule="exact"/>
        <w:rPr>
          <w:rFonts w:ascii="Arial" w:cs="Arial" w:eastAsia="Arial" w:hAnsi="Arial"/>
          <w:sz w:val="17"/>
          <w:szCs w:val="17"/>
          <w:color w:val="auto"/>
        </w:rPr>
      </w:pPr>
    </w:p>
    <w:p>
      <w:pPr>
        <w:ind w:left="640" w:right="160" w:hanging="289"/>
        <w:spacing w:after="0" w:line="243" w:lineRule="auto"/>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financial accounting and reporting principles used by Martin Marietta</w:t>
      </w:r>
    </w:p>
    <w:p>
      <w:pPr>
        <w:spacing w:after="0" w:line="103" w:lineRule="exact"/>
        <w:rPr>
          <w:rFonts w:ascii="Arial" w:cs="Arial" w:eastAsia="Arial" w:hAnsi="Arial"/>
          <w:sz w:val="17"/>
          <w:szCs w:val="17"/>
          <w:color w:val="auto"/>
        </w:rPr>
      </w:pPr>
    </w:p>
    <w:p>
      <w:pPr>
        <w:ind w:left="640" w:right="160" w:hanging="289"/>
        <w:spacing w:after="0" w:line="243" w:lineRule="auto"/>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policies and procedures concerning audits, accounting, and financial controls</w:t>
      </w:r>
    </w:p>
    <w:p>
      <w:pPr>
        <w:spacing w:after="0" w:line="103" w:lineRule="exact"/>
        <w:rPr>
          <w:rFonts w:ascii="Arial" w:cs="Arial" w:eastAsia="Arial" w:hAnsi="Arial"/>
          <w:sz w:val="17"/>
          <w:szCs w:val="17"/>
          <w:color w:val="auto"/>
        </w:rPr>
      </w:pPr>
    </w:p>
    <w:p>
      <w:pPr>
        <w:ind w:left="640" w:hanging="289"/>
        <w:spacing w:after="0"/>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recommendations to improve existing practices</w:t>
      </w:r>
    </w:p>
    <w:p>
      <w:pPr>
        <w:spacing w:after="0" w:line="128" w:lineRule="exact"/>
        <w:rPr>
          <w:rFonts w:ascii="Arial" w:cs="Arial" w:eastAsia="Arial" w:hAnsi="Arial"/>
          <w:sz w:val="17"/>
          <w:szCs w:val="17"/>
          <w:color w:val="auto"/>
        </w:rPr>
      </w:pPr>
    </w:p>
    <w:p>
      <w:pPr>
        <w:ind w:left="640" w:right="160" w:hanging="289"/>
        <w:spacing w:after="0" w:line="243" w:lineRule="auto"/>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results of the audit and the reports of the independent auditors</w:t>
      </w:r>
    </w:p>
    <w:p>
      <w:pPr>
        <w:spacing w:after="0" w:line="103" w:lineRule="exact"/>
        <w:rPr>
          <w:rFonts w:ascii="Arial" w:cs="Arial" w:eastAsia="Arial" w:hAnsi="Arial"/>
          <w:sz w:val="17"/>
          <w:szCs w:val="17"/>
          <w:color w:val="auto"/>
        </w:rPr>
      </w:pPr>
    </w:p>
    <w:p>
      <w:pPr>
        <w:jc w:val="both"/>
        <w:ind w:left="300" w:right="140" w:hanging="300"/>
        <w:spacing w:after="0" w:line="236"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reviews and discusses Martin Marietta’s annual audited consolidated financial statements and quarterly consolidated financial statements with management and the independent auditors</w:t>
      </w:r>
    </w:p>
    <w:p>
      <w:pPr>
        <w:spacing w:after="0" w:line="200" w:lineRule="exact"/>
        <w:rPr>
          <w:sz w:val="20"/>
          <w:szCs w:val="20"/>
          <w:color w:val="auto"/>
        </w:rPr>
      </w:pPr>
    </w:p>
    <w:p>
      <w:pPr>
        <w:sectPr>
          <w:pgSz w:w="11900" w:h="16838" w:orient="portrait"/>
          <w:cols w:equalWidth="0" w:num="2">
            <w:col w:w="5540" w:space="720"/>
            <w:col w:w="5180"/>
          </w:cols>
          <w:pgMar w:left="240" w:top="316" w:right="219" w:bottom="1440" w:gutter="0" w:footer="0" w:header="0"/>
          <w:type w:val="continuous"/>
        </w:sectPr>
      </w:pPr>
    </w:p>
    <w:p>
      <w:pPr>
        <w:spacing w:after="0" w:line="53"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type w:val="continuous"/>
        </w:sectPr>
      </w:pPr>
    </w:p>
    <w:bookmarkStart w:id="23" w:name="page24"/>
    <w:bookmarkEnd w:id="23"/>
    <w:p>
      <w:pPr>
        <w:jc w:val="both"/>
        <w:ind w:left="740" w:hanging="300"/>
        <w:spacing w:after="0" w:line="238"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reviews and discusses management’s assessment of the effectiveness of Martin Marietta’s system of internal control over financial reporting</w:t>
      </w:r>
    </w:p>
    <w:p>
      <w:pPr>
        <w:spacing w:after="0" w:line="107"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discusses Martin Marietta’s earnings press releases, as well as financial information and earnings guidance provided to analysts and rating agencies</w:t>
      </w:r>
    </w:p>
    <w:p>
      <w:pPr>
        <w:spacing w:after="0" w:line="107" w:lineRule="exact"/>
        <w:rPr>
          <w:rFonts w:ascii="Arial" w:cs="Arial" w:eastAsia="Arial" w:hAnsi="Arial"/>
          <w:sz w:val="17"/>
          <w:szCs w:val="17"/>
          <w:color w:val="auto"/>
        </w:rPr>
      </w:pPr>
    </w:p>
    <w:p>
      <w:pPr>
        <w:jc w:val="both"/>
        <w:ind w:left="74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discusses matters related to risk assessment and risk management and how the process is handled by management</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considers allegations, if ever made, of possible financial fraud or other financial improprieties</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sets clear hiring policies for employees or former employees of the independent auditors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reviews the qualifications and the plan and scope of work of the corporate internal audit function</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prepares an audit committee report as required by the SEC to be in this proxy statement</w:t>
      </w:r>
    </w:p>
    <w:p>
      <w:pPr>
        <w:spacing w:after="0" w:line="19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17"/>
          <w:szCs w:val="17"/>
          <w:i w:val="1"/>
          <w:iCs w:val="1"/>
          <w:color w:val="auto"/>
        </w:rPr>
        <w:t>Guidelines for</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 Independence</w:t>
      </w:r>
      <w:r>
        <w:rPr>
          <w:rFonts w:ascii="Arial" w:cs="Arial" w:eastAsia="Arial" w:hAnsi="Arial"/>
          <w:sz w:val="17"/>
          <w:szCs w:val="17"/>
          <w:color w:val="auto"/>
        </w:rPr>
        <w:t>.</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Ethics, Environment, Safety and Health Committee</w:t>
      </w:r>
      <w:r>
        <w:rPr>
          <w:rFonts w:ascii="Arial" w:cs="Arial" w:eastAsia="Arial" w:hAnsi="Arial"/>
          <w:sz w:val="17"/>
          <w:szCs w:val="17"/>
          <w:color w:val="auto"/>
        </w:rPr>
        <w:t xml:space="preserve"> held two meetings during 2015. It monitors compliance with Martin Marietta’s </w:t>
      </w:r>
      <w:r>
        <w:rPr>
          <w:rFonts w:ascii="Arial" w:cs="Arial" w:eastAsia="Arial" w:hAnsi="Arial"/>
          <w:sz w:val="17"/>
          <w:szCs w:val="17"/>
          <w:i w:val="1"/>
          <w:iCs w:val="1"/>
          <w:color w:val="auto"/>
        </w:rPr>
        <w:t xml:space="preserve">Code of Ethical Business Conduct </w:t>
      </w:r>
      <w:r>
        <w:rPr>
          <w:rFonts w:ascii="Arial" w:cs="Arial" w:eastAsia="Arial" w:hAnsi="Arial"/>
          <w:sz w:val="17"/>
          <w:szCs w:val="17"/>
          <w:color w:val="auto"/>
        </w:rPr>
        <w:t>and reviews all matters presented to</w:t>
      </w:r>
      <w:r>
        <w:rPr>
          <w:rFonts w:ascii="Arial" w:cs="Arial" w:eastAsia="Arial" w:hAnsi="Arial"/>
          <w:sz w:val="17"/>
          <w:szCs w:val="17"/>
          <w:i w:val="1"/>
          <w:iCs w:val="1"/>
          <w:color w:val="auto"/>
        </w:rPr>
        <w:t xml:space="preserve"> </w:t>
      </w:r>
      <w:r>
        <w:rPr>
          <w:rFonts w:ascii="Arial" w:cs="Arial" w:eastAsia="Arial" w:hAnsi="Arial"/>
          <w:sz w:val="17"/>
          <w:szCs w:val="17"/>
          <w:color w:val="auto"/>
        </w:rPr>
        <w:t>it by the Corporate Ethics Officer concerning the ethical practices of Martin Marietta and its Directors, officers, and employees, including conflicts or potential conflicts of interest between Martin Marietta and any of its Directors, officers, and employees. The Committee also reviews and monitors the adequacy of Martin Marietta’s policies and procedures and organizational structure for ensuring compliance with environmental laws and regulations, and matters relating to health and safety. The Committee’s current members are Directors Vinroot (Chair), Menaker, Perez, Quillen, Rediker, and Zelnak.</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Executive Committee</w:t>
      </w:r>
      <w:r>
        <w:rPr>
          <w:rFonts w:ascii="Arial" w:cs="Arial" w:eastAsia="Arial" w:hAnsi="Arial"/>
          <w:sz w:val="17"/>
          <w:szCs w:val="17"/>
          <w:color w:val="auto"/>
        </w:rPr>
        <w:t xml:space="preserve"> held no meetings during 2015.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by statute, the Articles of Incorporation or Bylaws reserved to the full Board. The Committee’s current members are Directors Nye (Chair), McDonald, and Menaker.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Finance Committee</w:t>
      </w:r>
      <w:r>
        <w:rPr>
          <w:rFonts w:ascii="Arial" w:cs="Arial" w:eastAsia="Arial" w:hAnsi="Arial"/>
          <w:sz w:val="17"/>
          <w:szCs w:val="17"/>
          <w:color w:val="auto"/>
        </w:rPr>
        <w:t xml:space="preserve"> held five meetings during 2015. It has been delegated general oversight powers related to the management of the financial affairs of Martin Marietta, including but not limited to, establishing lines of credit or other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sz w:val="1"/>
          <w:szCs w:val="1"/>
          <w:color w:val="auto"/>
        </w:rPr>
        <w:drawing>
          <wp:inline distT="0" distB="0" distL="0" distR="0">
            <wp:extent cx="342900" cy="2057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Rediker, and Zelnak.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Management Development and Compensation Committee</w:t>
      </w:r>
      <w:r>
        <w:rPr>
          <w:rFonts w:ascii="Arial" w:cs="Arial" w:eastAsia="Arial" w:hAnsi="Arial"/>
          <w:sz w:val="17"/>
          <w:szCs w:val="17"/>
          <w:color w:val="auto"/>
        </w:rPr>
        <w:t xml:space="preserve"> held seven meetings during 2015.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111" w:lineRule="exact"/>
        <w:rPr>
          <w:sz w:val="20"/>
          <w:szCs w:val="20"/>
          <w:color w:val="auto"/>
        </w:rPr>
      </w:pPr>
    </w:p>
    <w:p>
      <w:pPr>
        <w:jc w:val="both"/>
        <w:ind w:left="740" w:hanging="300"/>
        <w:spacing w:after="0" w:line="238"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 an overall strategy with respect to compensation for officers and management to enable Martin Marietta to attract and retain qualified employees</w:t>
      </w:r>
    </w:p>
    <w:p>
      <w:pPr>
        <w:spacing w:after="0" w:line="107"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oversee executive succession and management development plans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discharge the Board’s responsibilities relating to compensation of Martin Marietta’s directors and elected officers</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administer Martin Marietta’s equity and other compensation plans, as amended from time to time</w:t>
      </w:r>
    </w:p>
    <w:p>
      <w:pPr>
        <w:spacing w:after="0" w:line="103"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 and discuss the Compensation Discussion and Analysis and produce a compensation committee report as required by the SEC to be included in this proxy statement</w:t>
      </w:r>
    </w:p>
    <w:p>
      <w:pPr>
        <w:spacing w:after="0" w:line="107"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oversight of Martin Marietta’s Benefit Plan Committee, which administers Martin Marietta’s defined benefit and contribution plans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Martin Marietta.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reviews and approves Martin Marietta’s goals and objectives for the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w:t>
      </w:r>
    </w:p>
    <w:p>
      <w:pPr>
        <w:sectPr>
          <w:pgSz w:w="11900" w:h="16838" w:orient="portrait"/>
          <w:cols w:equalWidth="0" w:num="2">
            <w:col w:w="5480" w:space="340"/>
            <w:col w:w="5480"/>
          </w:cols>
          <w:pgMar w:left="240" w:top="336" w:right="359" w:bottom="1440" w:gutter="0" w:footer="0" w:header="0"/>
        </w:sectPr>
      </w:pPr>
    </w:p>
    <w:bookmarkStart w:id="24" w:name="page25"/>
    <w:bookmarkEnd w:id="24"/>
    <w:p>
      <w:pPr>
        <w:jc w:val="both"/>
        <w:spacing w:after="0" w:line="233" w:lineRule="auto"/>
        <w:rPr>
          <w:sz w:val="20"/>
          <w:szCs w:val="20"/>
          <w:color w:val="auto"/>
        </w:rPr>
      </w:pPr>
      <w:r>
        <w:rPr>
          <w:rFonts w:ascii="Arial" w:cs="Arial" w:eastAsia="Arial" w:hAnsi="Arial"/>
          <w:sz w:val="17"/>
          <w:szCs w:val="17"/>
          <w:color w:val="auto"/>
        </w:rPr>
        <w:t>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Martin Marietta. The Committee’s current members are Directors Cole (Chair), McDonald, Menaker and Quillen.</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Nominating and Corporate Governance Committee</w:t>
      </w:r>
      <w:r>
        <w:rPr>
          <w:rFonts w:ascii="Arial" w:cs="Arial" w:eastAsia="Arial" w:hAnsi="Arial"/>
          <w:sz w:val="17"/>
          <w:szCs w:val="17"/>
          <w:color w:val="auto"/>
        </w:rPr>
        <w:t xml:space="preserve"> held four meetings in 2015. The Committee is composed entirely of non-employee, independent Directors, as required by the rules of the NYSE. The Committee possesses and may exercise the powers of the Board of Directors relating to the process of governance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106" w:lineRule="exact"/>
        <w:rPr>
          <w:sz w:val="20"/>
          <w:szCs w:val="20"/>
          <w:color w:val="auto"/>
        </w:rPr>
      </w:pPr>
    </w:p>
    <w:p>
      <w:pPr>
        <w:ind w:left="740" w:hanging="300"/>
        <w:spacing w:after="0" w:line="243"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oversee the identification and selection of qualified Board and Committee members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recommend to the Board director nominees for the next Annual Meeting of Shareholders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oversee the development and implementation of a set of corporate governance principles applicable to Martin Marietta</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Upon the recommendation of this Committee, the Board of Directors has adopted a set of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for Martin Marietta. The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are posted and available for public viewing on 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A copy may also be obtained upon request from Martin Marietta’s Corporate Secretary. Additional information concerning the corporate governance process of Martin Marietta is contained in the section entitled “CORPORATE GOVERNANCE MATTERS” above.</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Will the Nominating and Corporate Governance Committee consider any Director candidates recommended by shareholders?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w:t>
      </w:r>
    </w:p>
    <w:p>
      <w:pPr>
        <w:spacing w:after="0" w:line="20" w:lineRule="exact"/>
        <w:rPr>
          <w:sz w:val="20"/>
          <w:szCs w:val="20"/>
          <w:color w:val="auto"/>
        </w:rPr>
      </w:pPr>
      <w:r>
        <w:rPr>
          <w:sz w:val="20"/>
          <w:szCs w:val="20"/>
          <w:color w:val="auto"/>
        </w:rPr>
        <w:br w:type="column"/>
      </w:r>
    </w:p>
    <w:p>
      <w:pPr>
        <w:jc w:val="both"/>
        <w:ind w:right="120"/>
        <w:spacing w:after="0" w:line="232" w:lineRule="auto"/>
        <w:rPr>
          <w:sz w:val="20"/>
          <w:szCs w:val="20"/>
          <w:color w:val="auto"/>
        </w:rPr>
      </w:pPr>
      <w:r>
        <w:rPr>
          <w:rFonts w:ascii="Arial" w:cs="Arial" w:eastAsia="Arial" w:hAnsi="Arial"/>
          <w:sz w:val="17"/>
          <w:szCs w:val="17"/>
          <w:color w:val="auto"/>
        </w:rPr>
        <w:t>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2015 Annual Meeting, Martin Marietta has not made any material changes to the procedures by which shareholders may recommend nominees to Martin Marietta’s Board of Directors. Additional information is contained in the section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-2044065</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spacing w:after="0" w:line="243" w:lineRule="auto"/>
        <w:rPr>
          <w:sz w:val="20"/>
          <w:szCs w:val="20"/>
          <w:color w:val="auto"/>
        </w:rPr>
      </w:pPr>
      <w:r>
        <w:rPr>
          <w:rFonts w:ascii="Arial" w:cs="Arial" w:eastAsia="Arial" w:hAnsi="Arial"/>
          <w:sz w:val="17"/>
          <w:szCs w:val="17"/>
          <w:color w:val="auto"/>
        </w:rPr>
        <w:t>“SHAREHOLDERS’ PROPOSALS FOR 2017 ANNUAL MEETING”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does the Board select nominees for the Board?</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203"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7"/>
          <w:szCs w:val="17"/>
          <w:i w:val="1"/>
          <w:iCs w:val="1"/>
          <w:color w:val="auto"/>
        </w:rPr>
        <w:t xml:space="preserve">Guidelines for Potential New Board Members </w:t>
      </w:r>
      <w:r>
        <w:rPr>
          <w:rFonts w:ascii="Arial" w:cs="Arial" w:eastAsia="Arial" w:hAnsi="Arial"/>
          <w:sz w:val="17"/>
          <w:szCs w:val="17"/>
          <w:color w:val="auto"/>
        </w:rPr>
        <w:t>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and takes into account all other factors it considers appropriate. A copy of these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is attached to this proxy statement as Appendix A.</w:t>
      </w:r>
    </w:p>
    <w:p>
      <w:pPr>
        <w:spacing w:after="0" w:line="185"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b w:val="1"/>
          <w:bCs w:val="1"/>
          <w:i w:val="1"/>
          <w:iCs w:val="1"/>
          <w:color w:val="auto"/>
        </w:rPr>
        <w:t>Do the Board Committees have charters? How can shareholders obtain them?</w:t>
      </w:r>
    </w:p>
    <w:p>
      <w:pPr>
        <w:spacing w:after="0" w:line="17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Martin Marietta’s Board of Directors has adopted written charters meeting the requirements of the NYSE for the Audit</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-107950</wp:posOffset>
            </wp:positionV>
            <wp:extent cx="34290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25" w:name="page26"/>
    <w:bookmarkEnd w:id="25"/>
    <w:p>
      <w:pPr>
        <w:jc w:val="both"/>
        <w:spacing w:after="0" w:line="234" w:lineRule="auto"/>
        <w:rPr>
          <w:sz w:val="20"/>
          <w:szCs w:val="20"/>
          <w:color w:val="auto"/>
        </w:rPr>
      </w:pPr>
      <w:r>
        <w:rPr>
          <w:rFonts w:ascii="Arial" w:cs="Arial" w:eastAsia="Arial" w:hAnsi="Arial"/>
          <w:sz w:val="17"/>
          <w:szCs w:val="17"/>
          <w:color w:val="auto"/>
        </w:rPr>
        <w:t xml:space="preserve">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xml:space="preserve">, along with copies of Martin Marietta’s </w:t>
      </w:r>
      <w:r>
        <w:rPr>
          <w:rFonts w:ascii="Arial" w:cs="Arial" w:eastAsia="Arial" w:hAnsi="Arial"/>
          <w:sz w:val="17"/>
          <w:szCs w:val="17"/>
          <w:i w:val="1"/>
          <w:iCs w:val="1"/>
          <w:color w:val="auto"/>
        </w:rPr>
        <w:t>Corporate Governance Guidelines, Code of Ethical</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Conduct</w:t>
      </w:r>
      <w:r>
        <w:rPr>
          <w:rFonts w:ascii="Arial" w:cs="Arial" w:eastAsia="Arial" w:hAnsi="Arial"/>
          <w:sz w:val="17"/>
          <w:szCs w:val="17"/>
          <w:color w:val="auto"/>
        </w:rPr>
        <w:t>, and</w:t>
      </w:r>
      <w:r>
        <w:rPr>
          <w:rFonts w:ascii="Arial" w:cs="Arial" w:eastAsia="Arial" w:hAnsi="Arial"/>
          <w:sz w:val="17"/>
          <w:szCs w:val="17"/>
          <w:i w:val="1"/>
          <w:iCs w:val="1"/>
          <w:color w:val="auto"/>
        </w:rPr>
        <w:t xml:space="preserve"> Guidelines for Director’s Independence</w:t>
      </w:r>
      <w:r>
        <w:rPr>
          <w:rFonts w:ascii="Arial" w:cs="Arial" w:eastAsia="Arial" w:hAnsi="Arial"/>
          <w:sz w:val="17"/>
          <w:szCs w:val="17"/>
          <w:color w:val="auto"/>
        </w:rPr>
        <w:t>.</w:t>
      </w:r>
    </w:p>
    <w:p>
      <w:pPr>
        <w:spacing w:after="0" w:line="184"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b w:val="1"/>
          <w:bCs w:val="1"/>
          <w:i w:val="1"/>
          <w:iCs w:val="1"/>
          <w:color w:val="auto"/>
        </w:rPr>
        <w:t>How are transactions with persons related to Martin Marietta reviewed?</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Each Director, executive officer, and nominee for Director of Martin Marietta receives and agrees to abide by Martin Marietta’s </w:t>
      </w:r>
      <w:r>
        <w:rPr>
          <w:rFonts w:ascii="Arial" w:cs="Arial" w:eastAsia="Arial" w:hAnsi="Arial"/>
          <w:sz w:val="17"/>
          <w:szCs w:val="17"/>
          <w:i w:val="1"/>
          <w:iCs w:val="1"/>
          <w:color w:val="auto"/>
        </w:rPr>
        <w:t>Code of</w:t>
      </w:r>
      <w:r>
        <w:rPr>
          <w:rFonts w:ascii="Arial" w:cs="Arial" w:eastAsia="Arial" w:hAnsi="Arial"/>
          <w:sz w:val="17"/>
          <w:szCs w:val="17"/>
          <w:color w:val="auto"/>
        </w:rPr>
        <w:t xml:space="preserve"> </w:t>
      </w:r>
      <w:r>
        <w:rPr>
          <w:rFonts w:ascii="Arial" w:cs="Arial" w:eastAsia="Arial" w:hAnsi="Arial"/>
          <w:sz w:val="17"/>
          <w:szCs w:val="17"/>
          <w:i w:val="1"/>
          <w:iCs w:val="1"/>
          <w:color w:val="auto"/>
        </w:rPr>
        <w:t>Ethical Business Conduct</w:t>
      </w:r>
      <w:r>
        <w:rPr>
          <w:rFonts w:ascii="Arial" w:cs="Arial" w:eastAsia="Arial" w:hAnsi="Arial"/>
          <w:sz w:val="17"/>
          <w:szCs w:val="17"/>
          <w:color w:val="auto"/>
        </w:rPr>
        <w:t>. Martin Marietta considers that any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in which Martin Marietta</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sz w:val="1"/>
          <w:szCs w:val="1"/>
          <w:color w:val="auto"/>
        </w:rPr>
        <w:drawing>
          <wp:inline distT="0" distB="0" distL="0" distR="0">
            <wp:extent cx="342900" cy="2057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 xml:space="preserve">participates and in which any related person of Martin Marietta has a direct or indirect material interest will be subject to Martin Marietta’s </w:t>
      </w:r>
      <w:r>
        <w:rPr>
          <w:rFonts w:ascii="Arial" w:cs="Arial" w:eastAsia="Arial" w:hAnsi="Arial"/>
          <w:sz w:val="17"/>
          <w:szCs w:val="17"/>
          <w:i w:val="1"/>
          <w:iCs w:val="1"/>
          <w:color w:val="auto"/>
        </w:rPr>
        <w:t xml:space="preserve">Code of Ethical Business Conduct </w:t>
      </w:r>
      <w:r>
        <w:rPr>
          <w:rFonts w:ascii="Arial" w:cs="Arial" w:eastAsia="Arial" w:hAnsi="Arial"/>
          <w:sz w:val="17"/>
          <w:szCs w:val="17"/>
          <w:color w:val="auto"/>
        </w:rPr>
        <w:t>and subject to review, approval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ratification, as appropriate under the circumstances, by Martin Marietta under the standards enumerated in Martin Marietta’s </w:t>
      </w:r>
      <w:r>
        <w:rPr>
          <w:rFonts w:ascii="Arial" w:cs="Arial" w:eastAsia="Arial" w:hAnsi="Arial"/>
          <w:sz w:val="17"/>
          <w:szCs w:val="17"/>
          <w:i w:val="1"/>
          <w:iCs w:val="1"/>
          <w:color w:val="auto"/>
        </w:rPr>
        <w:t>Code of Ethical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Conduct. </w:t>
      </w:r>
      <w:r>
        <w:rPr>
          <w:rFonts w:ascii="Arial" w:cs="Arial" w:eastAsia="Arial" w:hAnsi="Arial"/>
          <w:sz w:val="17"/>
          <w:szCs w:val="17"/>
          <w:color w:val="auto"/>
        </w:rPr>
        <w:t>If a proposed transaction is one in which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Martin Marietta has an actual or potential conflict of interest, it will be subject to review by the Chairman of the Board of Directors and the Chairman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Any waivers of the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7"/>
          <w:szCs w:val="17"/>
          <w:i w:val="1"/>
          <w:iCs w:val="1"/>
          <w:color w:val="auto"/>
        </w:rPr>
        <w:t xml:space="preserve">Code of Ethical Business Conduct </w:t>
      </w:r>
      <w:r>
        <w:rPr>
          <w:rFonts w:ascii="Arial" w:cs="Arial" w:eastAsia="Arial" w:hAnsi="Arial"/>
          <w:sz w:val="17"/>
          <w:szCs w:val="17"/>
          <w:color w:val="auto"/>
        </w:rPr>
        <w:t>will be promptly disclosed to Martin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Marietta’s shareholders by posting on our website, </w:t>
      </w:r>
      <w:r>
        <w:rPr>
          <w:rFonts w:ascii="Arial" w:cs="Arial" w:eastAsia="Arial" w:hAnsi="Arial"/>
          <w:sz w:val="17"/>
          <w:szCs w:val="17"/>
          <w:i w:val="1"/>
          <w:iCs w:val="1"/>
          <w:color w:val="auto"/>
        </w:rPr>
        <w:t>www.martinmarietta.com</w:t>
      </w:r>
      <w:r>
        <w:rPr>
          <w:rFonts w:ascii="Arial" w:cs="Arial" w:eastAsia="Arial" w:hAnsi="Arial"/>
          <w:sz w:val="17"/>
          <w:szCs w:val="17"/>
          <w:color w:val="auto"/>
        </w:rPr>
        <w:t>.</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ectPr>
          <w:pgSz w:w="11900" w:h="16838" w:orient="portrait"/>
          <w:cols w:equalWidth="0" w:num="2">
            <w:col w:w="5480" w:space="340"/>
            <w:col w:w="5480"/>
          </w:cols>
          <w:pgMar w:left="240" w:top="336"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7829E"/>
        </w:rPr>
        <w:t>INDEPENDENT AUDITORS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47829E"/>
        </w:rPr>
        <w:t>(Item 3 on Proxy Card)</w:t>
      </w:r>
    </w:p>
    <w:p>
      <w:pPr>
        <w:sectPr>
          <w:pgSz w:w="11900" w:h="16838" w:orient="portrait"/>
          <w:cols w:equalWidth="0" w:num="1">
            <w:col w:w="11420"/>
          </w:cols>
          <w:pgMar w:left="240" w:top="256" w:right="239" w:bottom="1440" w:gutter="0" w:footer="0" w:header="0"/>
        </w:sectPr>
      </w:pPr>
    </w:p>
    <w:p>
      <w:pPr>
        <w:spacing w:after="0" w:line="28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Board of Directors recommends that the shareholders ratify the appointment of PricewaterhouseCoopers LLP, an independent registered public accounting firm, to audit the consolidated financial statements of Martin Marietta and the effectiveness of Martin Marietta’s internal control over financial reporting for the 2016 fiscal year. The ratification of the appointment of PricewaterhouseCoopers LLP is being submitted to the shareholders because management believes this to be good corporate practice. Should the shareholders fail to ratify this appointment, the Board of Directors and its Audit Committee will review the matter.</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Ernst &amp; Young LLP served as Martin Marietta’s independent auditors for 2015 and audited the consolidated financial statements of Martin Marietta for the year ended December 31, 2015 and the effectiveness of Martin Marietta’s internal control over financial reporting as of December 31, 2015. In connection with the audit of Martin Marietta’s 2015 consolidated financial statements, Martin Marietta entered into an engagement letter with Ernst &amp; Young LLP that sets forth the terms by which Ernst &amp; Young LLP would perform audit services for Martin Marietta in 2015. Ernst &amp; Young LLP required that the audit engagement agreement be subject to alternative dispute resolution procedures.</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Audit Committee conducted a competitive process with multiple firms to determine the Company’s independent registered public accounting firm for the fiscal year ending December 31, 2016. The Audit Committee invited several firms to participate in this process, including Ernst &amp; Young LLP. As a result of this process, on March 14, 2016, the Audit Committee dismissed EY as its independent registered public accounting firm for the fiscal year ending December 31, 2016. During the fiscal years ended December 31, 2015 and 2014 and in the subsequent interim period through March 14, 2016, there were no “disagreements” (as that term is described in Item 304(a)(1)(iv) of Regulation S-K and the related instructions) with Ernst &amp; Young LLP on any matters of accounting principles or practices, financial statement disclosure, or auditing scope or procedure which, if not resolved to the satisfaction of Ernst &amp; Young LLP, would have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caused Ernst &amp; Young LLP to make reference to the subject matter of such disagreements in their reports on the consolidated financial statements.</w:t>
      </w:r>
    </w:p>
    <w:p>
      <w:pPr>
        <w:spacing w:after="0" w:line="202"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audit reports of Ernst &amp; Young LLP on the Company’s consolidated financial statements as of and for the fiscal years ended December 31, 2015 and 2014 did not contain an adverse opinion or a disclaimer of opinion, and were not qualified or modified as to uncertainty, audit scope or accounting principles. During the fiscal years ended December 31, 2015 and 2014 and in the subsequent interim period through March 14, 2016 there were no “reportable events” as that term is described in Item 304(a)(1)(v) of Regulation S-K of the rules and regulations of the SEC.</w:t>
      </w:r>
    </w:p>
    <w:p>
      <w:pPr>
        <w:spacing w:after="0" w:line="354"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On March 14, 2016, the Audit Committee approved the appointment of PricewaterhouseCoopers LLP (“PwC”) as the Company’s new independent registered public accounting firm for the year ending December 31, 2016. During the fiscal years ended December 31, 2015 and 2014 and in the subsequent interim period through March 14, 2016, neither the Company nor anyone acting on its behalf consulted with PwC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PwC concluded was an important factor considered by the Company in reaching a decision as to any accounting, auditing, or financial reporting issue, (ii) any matter that was the subject of a disagreement as defined in Item 304(a)(1)(iv) of Regulation S-K, or</w:t>
      </w:r>
    </w:p>
    <w:p>
      <w:pPr>
        <w:spacing w:after="0" w:line="2" w:lineRule="exact"/>
        <w:rPr>
          <w:sz w:val="20"/>
          <w:szCs w:val="20"/>
          <w:color w:val="auto"/>
        </w:rPr>
      </w:pPr>
    </w:p>
    <w:p>
      <w:pPr>
        <w:ind w:right="120" w:firstLine="8"/>
        <w:spacing w:after="0" w:line="243" w:lineRule="auto"/>
        <w:tabs>
          <w:tab w:leader="none" w:pos="27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reportable event as defined in Item 304(a)(1)(v) of Regulation S-K of the rules and regulations of the SEC.</w:t>
      </w:r>
    </w:p>
    <w:p>
      <w:pPr>
        <w:spacing w:after="0" w:line="198"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Audit Committee is solely responsible for retaining or terminating Martin Marietta’s independent auditors. Representatives of Ernst &amp; Young LLP and of PricewaterhouseCoopers LLP are expected to attend the Annual Meeting, will have the opportunity to make a statement if they so desire, and will be available to respond to questions from shareholders.</w:t>
      </w:r>
    </w:p>
    <w:p>
      <w:pPr>
        <w:spacing w:after="0" w:line="200"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178" w:lineRule="exact"/>
        <w:rPr>
          <w:sz w:val="20"/>
          <w:szCs w:val="20"/>
          <w:color w:val="auto"/>
        </w:rPr>
      </w:pPr>
    </w:p>
    <w:p>
      <w:pPr>
        <w:jc w:val="center"/>
        <w:ind w:left="2080" w:right="2080"/>
        <w:spacing w:after="0" w:line="246" w:lineRule="auto"/>
        <w:rPr>
          <w:sz w:val="20"/>
          <w:szCs w:val="20"/>
          <w:color w:val="auto"/>
        </w:rPr>
      </w:pPr>
      <w:r>
        <w:rPr>
          <w:rFonts w:ascii="Arial" w:cs="Arial" w:eastAsia="Arial" w:hAnsi="Arial"/>
          <w:sz w:val="22"/>
          <w:szCs w:val="22"/>
          <w:b w:val="1"/>
          <w:bCs w:val="1"/>
          <w:color w:val="auto"/>
        </w:rPr>
        <w:t xml:space="preserve">THE BOARD UNANIMOUSLY RECOMMENDS 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RATIFCATION OF THE SELECTION OF PRICEWATERHOUSECOOPERS LLP AS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514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Summary of Fees</w:t>
      </w:r>
    </w:p>
    <w:p>
      <w:pPr>
        <w:spacing w:after="0" w:line="23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following table summarizes the aggregate fees billed for professional services rendered to Martin Marietta by Ernst &amp; Young LLP in 2015 and 2014. A description of these various fees and services follows the table.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060" w:type="dxa"/>
            <w:vAlign w:val="bottom"/>
            <w:tcBorders>
              <w:left w:val="single" w:sz="8" w:color="47829E"/>
              <w:right w:val="single" w:sz="8" w:color="47829E"/>
            </w:tcBorders>
            <w:shd w:val="clear" w:color="auto" w:fill="47829E"/>
          </w:tcPr>
          <w:p>
            <w:pPr>
              <w:spacing w:after="0"/>
              <w:rPr>
                <w:sz w:val="17"/>
                <w:szCs w:val="17"/>
                <w:color w:val="auto"/>
              </w:rPr>
            </w:pPr>
          </w:p>
        </w:tc>
        <w:tc>
          <w:tcPr>
            <w:tcW w:w="40" w:type="dxa"/>
            <w:vAlign w:val="bottom"/>
            <w:shd w:val="clear" w:color="auto" w:fill="47829E"/>
          </w:tcPr>
          <w:p>
            <w:pPr>
              <w:spacing w:after="0"/>
              <w:rPr>
                <w:sz w:val="17"/>
                <w:szCs w:val="17"/>
                <w:color w:val="auto"/>
              </w:rPr>
            </w:pPr>
          </w:p>
        </w:tc>
        <w:tc>
          <w:tcPr>
            <w:tcW w:w="880" w:type="dxa"/>
            <w:vAlign w:val="bottom"/>
            <w:shd w:val="clear" w:color="auto" w:fill="47829E"/>
          </w:tcPr>
          <w:p>
            <w:pPr>
              <w:jc w:val="right"/>
              <w:ind w:right="1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17"/>
                <w:szCs w:val="17"/>
                <w:color w:val="auto"/>
              </w:rPr>
            </w:pPr>
          </w:p>
        </w:tc>
        <w:tc>
          <w:tcPr>
            <w:tcW w:w="40" w:type="dxa"/>
            <w:vAlign w:val="bottom"/>
            <w:shd w:val="clear" w:color="auto" w:fill="47829E"/>
          </w:tcPr>
          <w:p>
            <w:pPr>
              <w:spacing w:after="0"/>
              <w:rPr>
                <w:sz w:val="17"/>
                <w:szCs w:val="17"/>
                <w:color w:val="auto"/>
              </w:rPr>
            </w:pPr>
          </w:p>
        </w:tc>
        <w:tc>
          <w:tcPr>
            <w:tcW w:w="880" w:type="dxa"/>
            <w:vAlign w:val="bottom"/>
            <w:shd w:val="clear" w:color="auto" w:fill="47829E"/>
          </w:tcPr>
          <w:p>
            <w:pPr>
              <w:jc w:val="right"/>
              <w:ind w:right="15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Audit Fees</w:t>
            </w:r>
          </w:p>
        </w:tc>
        <w:tc>
          <w:tcPr>
            <w:tcW w:w="40" w:type="dxa"/>
            <w:vAlign w:val="bottom"/>
          </w:tcPr>
          <w:p>
            <w:pPr>
              <w:spacing w:after="0"/>
              <w:rPr>
                <w:sz w:val="16"/>
                <w:szCs w:val="16"/>
                <w:color w:val="auto"/>
              </w:rPr>
            </w:pPr>
          </w:p>
        </w:tc>
        <w:tc>
          <w:tcPr>
            <w:tcW w:w="110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w w:val="95"/>
              </w:rPr>
              <w:t>$ 2,825,000</w:t>
            </w:r>
          </w:p>
        </w:tc>
        <w:tc>
          <w:tcPr>
            <w:tcW w:w="40" w:type="dxa"/>
            <w:vAlign w:val="bottom"/>
          </w:tcPr>
          <w:p>
            <w:pPr>
              <w:spacing w:after="0"/>
              <w:rPr>
                <w:sz w:val="16"/>
                <w:szCs w:val="16"/>
                <w:color w:val="auto"/>
              </w:rPr>
            </w:pPr>
          </w:p>
        </w:tc>
        <w:tc>
          <w:tcPr>
            <w:tcW w:w="1260" w:type="dxa"/>
            <w:vAlign w:val="bottom"/>
            <w:tcBorders>
              <w:right w:val="single" w:sz="8" w:color="47829E"/>
            </w:tcBorders>
            <w:gridSpan w:val="2"/>
          </w:tcPr>
          <w:p>
            <w:pPr>
              <w:jc w:val="right"/>
              <w:ind w:right="360"/>
              <w:spacing w:after="0" w:line="189" w:lineRule="exact"/>
              <w:rPr>
                <w:sz w:val="20"/>
                <w:szCs w:val="20"/>
                <w:color w:val="auto"/>
              </w:rPr>
            </w:pPr>
            <w:r>
              <w:rPr>
                <w:rFonts w:ascii="Arial" w:cs="Arial" w:eastAsia="Arial" w:hAnsi="Arial"/>
                <w:sz w:val="17"/>
                <w:szCs w:val="17"/>
                <w:color w:val="auto"/>
                <w:w w:val="97"/>
              </w:rPr>
              <w:t>$ 3,103,000</w:t>
            </w: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Audit-Related Fees</w:t>
            </w:r>
          </w:p>
        </w:tc>
        <w:tc>
          <w:tcPr>
            <w:tcW w:w="40" w:type="dxa"/>
            <w:vAlign w:val="bottom"/>
            <w:shd w:val="clear" w:color="auto" w:fill="DAE6EB"/>
          </w:tcPr>
          <w:p>
            <w:pPr>
              <w:spacing w:after="0"/>
              <w:rPr>
                <w:sz w:val="16"/>
                <w:szCs w:val="16"/>
                <w:color w:val="auto"/>
              </w:rPr>
            </w:pPr>
          </w:p>
        </w:tc>
        <w:tc>
          <w:tcPr>
            <w:tcW w:w="1100" w:type="dxa"/>
            <w:vAlign w:val="bottom"/>
            <w:tcBorders>
              <w:right w:val="single" w:sz="8" w:color="47829E"/>
            </w:tcBorders>
            <w:gridSpan w:val="2"/>
            <w:shd w:val="clear" w:color="auto" w:fill="DAE6EB"/>
          </w:tcPr>
          <w:p>
            <w:pPr>
              <w:jc w:val="right"/>
              <w:ind w:right="220"/>
              <w:spacing w:after="0" w:line="189" w:lineRule="exact"/>
              <w:rPr>
                <w:sz w:val="20"/>
                <w:szCs w:val="20"/>
                <w:color w:val="auto"/>
              </w:rPr>
            </w:pPr>
            <w:r>
              <w:rPr>
                <w:rFonts w:ascii="Arial" w:cs="Arial" w:eastAsia="Arial" w:hAnsi="Arial"/>
                <w:sz w:val="17"/>
                <w:szCs w:val="17"/>
                <w:color w:val="auto"/>
              </w:rPr>
              <w:t>90,000</w:t>
            </w:r>
          </w:p>
        </w:tc>
        <w:tc>
          <w:tcPr>
            <w:tcW w:w="40" w:type="dxa"/>
            <w:vAlign w:val="bottom"/>
            <w:shd w:val="clear" w:color="auto" w:fill="DAE6EB"/>
          </w:tcPr>
          <w:p>
            <w:pPr>
              <w:spacing w:after="0"/>
              <w:rPr>
                <w:sz w:val="16"/>
                <w:szCs w:val="16"/>
                <w:color w:val="auto"/>
              </w:rPr>
            </w:pPr>
          </w:p>
        </w:tc>
        <w:tc>
          <w:tcPr>
            <w:tcW w:w="1260" w:type="dxa"/>
            <w:vAlign w:val="bottom"/>
            <w:tcBorders>
              <w:right w:val="single" w:sz="8" w:color="47829E"/>
            </w:tcBorders>
            <w:gridSpan w:val="2"/>
            <w:shd w:val="clear" w:color="auto" w:fill="DAE6EB"/>
          </w:tcPr>
          <w:p>
            <w:pPr>
              <w:jc w:val="right"/>
              <w:ind w:right="360"/>
              <w:spacing w:after="0" w:line="189"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Tax Fees</w:t>
            </w:r>
          </w:p>
        </w:tc>
        <w:tc>
          <w:tcPr>
            <w:tcW w:w="40" w:type="dxa"/>
            <w:vAlign w:val="bottom"/>
          </w:tcPr>
          <w:p>
            <w:pPr>
              <w:spacing w:after="0"/>
              <w:rPr>
                <w:sz w:val="16"/>
                <w:szCs w:val="16"/>
                <w:color w:val="auto"/>
              </w:rPr>
            </w:pPr>
          </w:p>
        </w:tc>
        <w:tc>
          <w:tcPr>
            <w:tcW w:w="110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853,000</w:t>
            </w:r>
          </w:p>
        </w:tc>
        <w:tc>
          <w:tcPr>
            <w:tcW w:w="40" w:type="dxa"/>
            <w:vAlign w:val="bottom"/>
          </w:tcPr>
          <w:p>
            <w:pPr>
              <w:spacing w:after="0"/>
              <w:rPr>
                <w:sz w:val="16"/>
                <w:szCs w:val="16"/>
                <w:color w:val="auto"/>
              </w:rPr>
            </w:pPr>
          </w:p>
        </w:tc>
        <w:tc>
          <w:tcPr>
            <w:tcW w:w="1260" w:type="dxa"/>
            <w:vAlign w:val="bottom"/>
            <w:tcBorders>
              <w:right w:val="single" w:sz="8" w:color="47829E"/>
            </w:tcBorders>
            <w:gridSpan w:val="2"/>
          </w:tcPr>
          <w:p>
            <w:pPr>
              <w:jc w:val="right"/>
              <w:ind w:right="360"/>
              <w:spacing w:after="0" w:line="189" w:lineRule="exact"/>
              <w:rPr>
                <w:sz w:val="20"/>
                <w:szCs w:val="20"/>
                <w:color w:val="auto"/>
              </w:rPr>
            </w:pPr>
            <w:r>
              <w:rPr>
                <w:rFonts w:ascii="Arial" w:cs="Arial" w:eastAsia="Arial" w:hAnsi="Arial"/>
                <w:sz w:val="17"/>
                <w:szCs w:val="17"/>
                <w:color w:val="auto"/>
              </w:rPr>
              <w:t>653,000</w:t>
            </w: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All Other Fees</w:t>
            </w:r>
          </w:p>
        </w:tc>
        <w:tc>
          <w:tcPr>
            <w:tcW w:w="40" w:type="dxa"/>
            <w:vAlign w:val="bottom"/>
            <w:shd w:val="clear" w:color="auto" w:fill="DAE6EB"/>
          </w:tcPr>
          <w:p>
            <w:pPr>
              <w:spacing w:after="0"/>
              <w:rPr>
                <w:sz w:val="16"/>
                <w:szCs w:val="16"/>
                <w:color w:val="auto"/>
              </w:rPr>
            </w:pPr>
          </w:p>
        </w:tc>
        <w:tc>
          <w:tcPr>
            <w:tcW w:w="1100" w:type="dxa"/>
            <w:vAlign w:val="bottom"/>
            <w:tcBorders>
              <w:right w:val="single" w:sz="8" w:color="47829E"/>
            </w:tcBorders>
            <w:gridSpan w:val="2"/>
            <w:shd w:val="clear" w:color="auto" w:fill="DAE6EB"/>
          </w:tcPr>
          <w:p>
            <w:pPr>
              <w:jc w:val="right"/>
              <w:ind w:right="220"/>
              <w:spacing w:after="0" w:line="189" w:lineRule="exact"/>
              <w:rPr>
                <w:sz w:val="20"/>
                <w:szCs w:val="20"/>
                <w:color w:val="auto"/>
              </w:rPr>
            </w:pPr>
            <w:r>
              <w:rPr>
                <w:rFonts w:ascii="Arial" w:cs="Arial" w:eastAsia="Arial" w:hAnsi="Arial"/>
                <w:sz w:val="17"/>
                <w:szCs w:val="17"/>
                <w:color w:val="auto"/>
              </w:rPr>
              <w:t>0</w:t>
            </w:r>
          </w:p>
        </w:tc>
        <w:tc>
          <w:tcPr>
            <w:tcW w:w="40" w:type="dxa"/>
            <w:vAlign w:val="bottom"/>
            <w:shd w:val="clear" w:color="auto" w:fill="DAE6EB"/>
          </w:tcPr>
          <w:p>
            <w:pPr>
              <w:spacing w:after="0"/>
              <w:rPr>
                <w:sz w:val="16"/>
                <w:szCs w:val="16"/>
                <w:color w:val="auto"/>
              </w:rPr>
            </w:pPr>
          </w:p>
        </w:tc>
        <w:tc>
          <w:tcPr>
            <w:tcW w:w="1260" w:type="dxa"/>
            <w:vAlign w:val="bottom"/>
            <w:tcBorders>
              <w:right w:val="single" w:sz="8" w:color="47829E"/>
            </w:tcBorders>
            <w:gridSpan w:val="2"/>
            <w:shd w:val="clear" w:color="auto" w:fill="DAE6EB"/>
          </w:tcPr>
          <w:p>
            <w:pPr>
              <w:jc w:val="right"/>
              <w:ind w:right="360"/>
              <w:spacing w:after="0" w:line="18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3060" w:type="dxa"/>
            <w:vAlign w:val="bottom"/>
            <w:tcBorders>
              <w:left w:val="single" w:sz="8" w:color="47829E"/>
              <w:right w:val="single" w:sz="8" w:color="47829E"/>
            </w:tcBorders>
            <w:vMerge w:val="restart"/>
          </w:tcPr>
          <w:p>
            <w:pPr>
              <w:ind w:left="520"/>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left w:val="single" w:sz="8" w:color="47829E"/>
              <w:right w:val="single" w:sz="8" w:color="47829E"/>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Borders>
              <w:right w:val="single" w:sz="8" w:color="47829E"/>
            </w:tcBorders>
            <w:gridSpan w:val="2"/>
          </w:tcPr>
          <w:p>
            <w:pPr>
              <w:jc w:val="right"/>
              <w:ind w:right="220"/>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3,768,000</w:t>
            </w:r>
          </w:p>
        </w:tc>
        <w:tc>
          <w:tcPr>
            <w:tcW w:w="40" w:type="dxa"/>
            <w:vAlign w:val="bottom"/>
          </w:tcPr>
          <w:p>
            <w:pPr>
              <w:spacing w:after="0"/>
              <w:rPr>
                <w:sz w:val="17"/>
                <w:szCs w:val="17"/>
                <w:color w:val="auto"/>
              </w:rPr>
            </w:pPr>
          </w:p>
        </w:tc>
        <w:tc>
          <w:tcPr>
            <w:tcW w:w="1260" w:type="dxa"/>
            <w:vAlign w:val="bottom"/>
            <w:tcBorders>
              <w:right w:val="single" w:sz="8" w:color="47829E"/>
            </w:tcBorders>
            <w:gridSpan w:val="2"/>
          </w:tcPr>
          <w:p>
            <w:pPr>
              <w:jc w:val="right"/>
              <w:ind w:right="360"/>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 xml:space="preserve"> 3,856,000</w:t>
            </w:r>
          </w:p>
        </w:tc>
        <w:tc>
          <w:tcPr>
            <w:tcW w:w="0" w:type="dxa"/>
            <w:vAlign w:val="bottom"/>
          </w:tcPr>
          <w:p>
            <w:pPr>
              <w:spacing w:after="0"/>
              <w:rPr>
                <w:sz w:val="1"/>
                <w:szCs w:val="1"/>
                <w:color w:val="auto"/>
              </w:rPr>
            </w:pPr>
          </w:p>
        </w:tc>
      </w:tr>
      <w:tr>
        <w:trPr>
          <w:trHeight w:val="20"/>
        </w:trPr>
        <w:tc>
          <w:tcPr>
            <w:tcW w:w="3060" w:type="dxa"/>
            <w:vAlign w:val="bottom"/>
            <w:tcBorders>
              <w:left w:val="single" w:sz="8" w:color="47829E"/>
              <w:right w:val="single" w:sz="8" w:color="47829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60" w:type="dxa"/>
            <w:vAlign w:val="bottom"/>
            <w:tcBorders>
              <w:left w:val="single" w:sz="8" w:color="47829E"/>
              <w:right w:val="single" w:sz="8" w:color="47829E"/>
            </w:tcBorders>
            <w:shd w:val="clear" w:color="auto" w:fill="DAE6EB"/>
          </w:tcPr>
          <w:p>
            <w:pPr>
              <w:ind w:left="160"/>
              <w:spacing w:after="0" w:line="177" w:lineRule="exact"/>
              <w:rPr>
                <w:sz w:val="20"/>
                <w:szCs w:val="20"/>
                <w:color w:val="auto"/>
              </w:rPr>
            </w:pPr>
            <w:r>
              <w:rPr>
                <w:rFonts w:ascii="Arial" w:cs="Arial" w:eastAsia="Arial" w:hAnsi="Arial"/>
                <w:sz w:val="17"/>
                <w:szCs w:val="17"/>
                <w:color w:val="auto"/>
              </w:rPr>
              <w:t>Percentage of Audit &amp; Audit-Related</w:t>
            </w:r>
          </w:p>
        </w:tc>
        <w:tc>
          <w:tcPr>
            <w:tcW w:w="40" w:type="dxa"/>
            <w:vAlign w:val="bottom"/>
            <w:shd w:val="clear" w:color="auto" w:fill="DAE6EB"/>
          </w:tcPr>
          <w:p>
            <w:pPr>
              <w:spacing w:after="0"/>
              <w:rPr>
                <w:sz w:val="15"/>
                <w:szCs w:val="15"/>
                <w:color w:val="auto"/>
              </w:rPr>
            </w:pPr>
          </w:p>
        </w:tc>
        <w:tc>
          <w:tcPr>
            <w:tcW w:w="880" w:type="dxa"/>
            <w:vAlign w:val="bottom"/>
            <w:shd w:val="clear" w:color="auto" w:fill="DAE6EB"/>
          </w:tcPr>
          <w:p>
            <w:pPr>
              <w:spacing w:after="0"/>
              <w:rPr>
                <w:sz w:val="15"/>
                <w:szCs w:val="15"/>
                <w:color w:val="auto"/>
              </w:rPr>
            </w:pPr>
          </w:p>
        </w:tc>
        <w:tc>
          <w:tcPr>
            <w:tcW w:w="220" w:type="dxa"/>
            <w:vAlign w:val="bottom"/>
            <w:tcBorders>
              <w:right w:val="single" w:sz="8" w:color="47829E"/>
            </w:tcBorders>
            <w:shd w:val="clear" w:color="auto" w:fill="DAE6EB"/>
          </w:tcPr>
          <w:p>
            <w:pPr>
              <w:spacing w:after="0"/>
              <w:rPr>
                <w:sz w:val="15"/>
                <w:szCs w:val="15"/>
                <w:color w:val="auto"/>
              </w:rPr>
            </w:pPr>
          </w:p>
        </w:tc>
        <w:tc>
          <w:tcPr>
            <w:tcW w:w="40" w:type="dxa"/>
            <w:vAlign w:val="bottom"/>
            <w:shd w:val="clear" w:color="auto" w:fill="DAE6EB"/>
          </w:tcPr>
          <w:p>
            <w:pPr>
              <w:spacing w:after="0"/>
              <w:rPr>
                <w:sz w:val="15"/>
                <w:szCs w:val="15"/>
                <w:color w:val="auto"/>
              </w:rPr>
            </w:pPr>
          </w:p>
        </w:tc>
        <w:tc>
          <w:tcPr>
            <w:tcW w:w="880" w:type="dxa"/>
            <w:vAlign w:val="bottom"/>
            <w:shd w:val="clear" w:color="auto" w:fill="DAE6EB"/>
          </w:tcPr>
          <w:p>
            <w:pPr>
              <w:spacing w:after="0"/>
              <w:rPr>
                <w:sz w:val="15"/>
                <w:szCs w:val="15"/>
                <w:color w:val="auto"/>
              </w:rPr>
            </w:pPr>
          </w:p>
        </w:tc>
        <w:tc>
          <w:tcPr>
            <w:tcW w:w="380" w:type="dxa"/>
            <w:vAlign w:val="bottom"/>
            <w:tcBorders>
              <w:right w:val="single" w:sz="8" w:color="47829E"/>
            </w:tcBorders>
            <w:shd w:val="clear" w:color="auto" w:fill="DAE6EB"/>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60" w:type="dxa"/>
            <w:vAlign w:val="bottom"/>
            <w:tcBorders>
              <w:left w:val="single" w:sz="8" w:color="47829E"/>
              <w:bottom w:val="single" w:sz="8" w:color="47829E"/>
              <w:right w:val="single" w:sz="8" w:color="47829E"/>
            </w:tcBorders>
            <w:shd w:val="clear" w:color="auto" w:fill="DAE6EB"/>
          </w:tcPr>
          <w:p>
            <w:pPr>
              <w:ind w:left="340"/>
              <w:spacing w:after="0"/>
              <w:rPr>
                <w:sz w:val="20"/>
                <w:szCs w:val="20"/>
                <w:color w:val="auto"/>
              </w:rPr>
            </w:pPr>
            <w:r>
              <w:rPr>
                <w:rFonts w:ascii="Arial" w:cs="Arial" w:eastAsia="Arial" w:hAnsi="Arial"/>
                <w:sz w:val="17"/>
                <w:szCs w:val="17"/>
                <w:color w:val="auto"/>
              </w:rPr>
              <w:t>Fees to Total Fees</w:t>
            </w:r>
          </w:p>
        </w:tc>
        <w:tc>
          <w:tcPr>
            <w:tcW w:w="40" w:type="dxa"/>
            <w:vAlign w:val="bottom"/>
            <w:tcBorders>
              <w:bottom w:val="single" w:sz="8" w:color="47829E"/>
            </w:tcBorders>
            <w:shd w:val="clear" w:color="auto" w:fill="DAE6EB"/>
          </w:tcPr>
          <w:p>
            <w:pPr>
              <w:spacing w:after="0"/>
              <w:rPr>
                <w:sz w:val="16"/>
                <w:szCs w:val="16"/>
                <w:color w:val="auto"/>
              </w:rPr>
            </w:pPr>
          </w:p>
        </w:tc>
        <w:tc>
          <w:tcPr>
            <w:tcW w:w="1100" w:type="dxa"/>
            <w:vAlign w:val="bottom"/>
            <w:tcBorders>
              <w:bottom w:val="single" w:sz="8" w:color="47829E"/>
              <w:right w:val="single" w:sz="8" w:color="47829E"/>
            </w:tcBorders>
            <w:gridSpan w:val="2"/>
            <w:shd w:val="clear" w:color="auto" w:fill="DAE6EB"/>
          </w:tcPr>
          <w:p>
            <w:pPr>
              <w:jc w:val="right"/>
              <w:ind w:right="60"/>
              <w:spacing w:after="0"/>
              <w:rPr>
                <w:sz w:val="20"/>
                <w:szCs w:val="20"/>
                <w:color w:val="auto"/>
              </w:rPr>
            </w:pPr>
            <w:r>
              <w:rPr>
                <w:rFonts w:ascii="Arial" w:cs="Arial" w:eastAsia="Arial" w:hAnsi="Arial"/>
                <w:sz w:val="17"/>
                <w:szCs w:val="17"/>
                <w:color w:val="auto"/>
              </w:rPr>
              <w:t>77.4%</w:t>
            </w:r>
          </w:p>
        </w:tc>
        <w:tc>
          <w:tcPr>
            <w:tcW w:w="40" w:type="dxa"/>
            <w:vAlign w:val="bottom"/>
            <w:tcBorders>
              <w:bottom w:val="single" w:sz="8" w:color="47829E"/>
            </w:tcBorders>
            <w:shd w:val="clear" w:color="auto" w:fill="DAE6EB"/>
          </w:tcPr>
          <w:p>
            <w:pPr>
              <w:spacing w:after="0"/>
              <w:rPr>
                <w:sz w:val="16"/>
                <w:szCs w:val="16"/>
                <w:color w:val="auto"/>
              </w:rPr>
            </w:pPr>
          </w:p>
        </w:tc>
        <w:tc>
          <w:tcPr>
            <w:tcW w:w="1260" w:type="dxa"/>
            <w:vAlign w:val="bottom"/>
            <w:tcBorders>
              <w:bottom w:val="single" w:sz="8" w:color="47829E"/>
              <w:right w:val="single" w:sz="8" w:color="47829E"/>
            </w:tcBorders>
            <w:gridSpan w:val="2"/>
            <w:shd w:val="clear" w:color="auto" w:fill="DAE6EB"/>
          </w:tcPr>
          <w:p>
            <w:pPr>
              <w:jc w:val="right"/>
              <w:ind w:right="220"/>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Fees</w:t>
      </w:r>
    </w:p>
    <w:p>
      <w:pPr>
        <w:spacing w:after="0" w:line="23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The aggregate fees billed for professional services rendered by Ernst &amp; Young LLP to Martin Marietta for each of 2015 and 2014 in connection with the annual consolidated financial statement audit, the annual internal controls audit, and reviews of Martin Marietta’s consolidated financial consolidated statements included in the quarterly reports on Form 10-Q were $2,825,000 and $2,605,000, respectively. During 2014, Ernst &amp; Young LLP also billed the Company $498,000 for work relating to registration statements and other SEC filings in connection with the acquisition of Texas Industries, Inc.</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Audit-Related Fees</w:t>
      </w:r>
    </w:p>
    <w:p>
      <w:pPr>
        <w:spacing w:after="0" w:line="23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aggregate fees billed for professional services rendered by Ernst &amp; Young LLP to Martin Marietta for each of 2015 and 2014 and in connection with audit-related services, including agreed-upon procedures reports, subsidiary audits and continuing education, was $90,000 and $100,000,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sz w:val="1"/>
          <w:szCs w:val="1"/>
          <w:color w:val="auto"/>
        </w:rPr>
        <w:drawing>
          <wp:inline distT="0" distB="0" distL="0" distR="0">
            <wp:extent cx="342900" cy="2057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aggregate fees billed for professional services rendered by Ernst &amp; Young LLP to Martin Marietta for each of 2015 and 2014 in connection with tax advice, including consultation on tax audits, transaction issues, transfer pricing issues and other tax-related activities and tax compliance were $853,000 and $653,000, respectively. The 2014 fees include $597,000 for services related to TXI, which the Company acquired in July 2014.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Fees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There were no other fees billed for other professional services rendered or products provided by Ernst &amp; Young LLP to Martin Marietta for 2015 and 2014.</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Pre-Approval Policies and Procedures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 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 Review</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ectPr>
          <w:pgSz w:w="11900" w:h="16838" w:orient="portrait"/>
          <w:cols w:equalWidth="0" w:num="2">
            <w:col w:w="5500" w:space="320"/>
            <w:col w:w="5480"/>
          </w:cols>
          <w:pgMar w:left="240" w:top="316"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7"/>
          <w:szCs w:val="17"/>
          <w:i w:val="1"/>
          <w:iCs w:val="1"/>
          <w:color w:val="auto"/>
        </w:rPr>
        <w:t>Guidelines for Director’s Independence</w:t>
      </w:r>
      <w:r>
        <w:rPr>
          <w:rFonts w:ascii="Arial" w:cs="Arial" w:eastAsia="Arial" w:hAnsi="Arial"/>
          <w:sz w:val="17"/>
          <w:szCs w:val="17"/>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Director’s Independence </w:t>
      </w:r>
      <w:r>
        <w:rPr>
          <w:rFonts w:ascii="Arial" w:cs="Arial" w:eastAsia="Arial" w:hAnsi="Arial"/>
          <w:sz w:val="17"/>
          <w:szCs w:val="17"/>
          <w:color w:val="auto"/>
        </w:rPr>
        <w:t>can be viewed on Martin Marietta’s website at</w:t>
      </w:r>
      <w:r>
        <w:rPr>
          <w:rFonts w:ascii="Arial" w:cs="Arial" w:eastAsia="Arial" w:hAnsi="Arial"/>
          <w:sz w:val="17"/>
          <w:szCs w:val="17"/>
          <w:i w:val="1"/>
          <w:iCs w:val="1"/>
          <w:color w:val="auto"/>
        </w:rPr>
        <w:t xml:space="preserve"> www.martinmarietta.com.</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the discharge of its responsibilities, the Audit Committee has reviewed and discussed with management and the independent auditors Martin Marietta’s audited consolidated financial statements for fiscal year 2015. In addition, the Committee has discussed with the independent auditors matters such as the quality (in addition to acceptability), clarity, consistency, and completeness of Martin Marietta’s financial reporting, as required by Statement on Auditing Standard No. 16, Communication with Audit Committees, as adopted by the Public Company Accounting Oversight Board.</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Concerning Independence</w:t>
      </w:r>
      <w:r>
        <w:rPr>
          <w:rFonts w:ascii="Arial" w:cs="Arial" w:eastAsia="Arial" w:hAnsi="Arial"/>
          <w:sz w:val="17"/>
          <w:szCs w:val="17"/>
          <w:color w:val="auto"/>
        </w:rPr>
        <w:t>, and has discussed with the independent auditors the independent auditors’ independence. The Audit Committee also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Based on these reviews and discussions, the Audit Committee has recommended to the Board of Directors that the audited financial statements be included in Martin Marietta’s 2015 Annual Report on Form 10-K for filing with the Securities and Exchange Commission.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2016</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David G. Maffucci,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Frank H. Menaker, Jr.</w:t>
      </w:r>
    </w:p>
    <w:p>
      <w:pPr>
        <w:ind w:left="6060"/>
        <w:spacing w:after="0" w:line="232" w:lineRule="auto"/>
        <w:rPr>
          <w:sz w:val="20"/>
          <w:szCs w:val="20"/>
          <w:color w:val="auto"/>
        </w:rPr>
      </w:pPr>
      <w:r>
        <w:rPr>
          <w:rFonts w:ascii="Arial" w:cs="Arial" w:eastAsia="Arial" w:hAnsi="Arial"/>
          <w:sz w:val="17"/>
          <w:szCs w:val="17"/>
          <w:color w:val="auto"/>
        </w:rPr>
        <w:t>Laree E. Perez</w:t>
      </w:r>
    </w:p>
    <w:p>
      <w:pPr>
        <w:ind w:left="6060"/>
        <w:spacing w:after="0"/>
        <w:rPr>
          <w:sz w:val="20"/>
          <w:szCs w:val="20"/>
          <w:color w:val="auto"/>
        </w:rPr>
      </w:pPr>
      <w:r>
        <w:rPr>
          <w:rFonts w:ascii="Arial" w:cs="Arial" w:eastAsia="Arial" w:hAnsi="Arial"/>
          <w:sz w:val="17"/>
          <w:szCs w:val="17"/>
          <w:color w:val="auto"/>
        </w:rPr>
        <w:t>Dennis L. Rediker</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DEVELOPMENT AND COMPENSATION COMMITTEE REPORT</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The Management Development and Compensation Committee has reviewed and discussed with management the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w:t>
      </w:r>
      <w:r>
        <w:rPr>
          <w:rFonts w:ascii="Arial" w:cs="Arial" w:eastAsia="Arial" w:hAnsi="Arial"/>
          <w:sz w:val="17"/>
          <w:szCs w:val="17"/>
          <w:color w:val="auto"/>
        </w:rPr>
        <w:t>beginning on page 27 of this proxy statement. Based on this review and discussion, the Management Development and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recommended to the Board of Directors that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be included in Martin Marietta’s Annual Report on Form 10-K and this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February 18, 2016</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MANAGEMENT DEVELOPMENT AND</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COMPENSATION COMMITTEE</w:t>
      </w:r>
    </w:p>
    <w:p>
      <w:pPr>
        <w:spacing w:after="0" w:line="19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Sue W. Cole,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William E. McDonald</w:t>
      </w:r>
    </w:p>
    <w:p>
      <w:pPr>
        <w:ind w:left="6060"/>
        <w:spacing w:after="0" w:line="232" w:lineRule="auto"/>
        <w:rPr>
          <w:sz w:val="20"/>
          <w:szCs w:val="20"/>
          <w:color w:val="auto"/>
        </w:rPr>
      </w:pPr>
      <w:r>
        <w:rPr>
          <w:rFonts w:ascii="Arial" w:cs="Arial" w:eastAsia="Arial" w:hAnsi="Arial"/>
          <w:sz w:val="17"/>
          <w:szCs w:val="17"/>
          <w:color w:val="auto"/>
        </w:rPr>
        <w:t>Frank H. Menaker, Jr.</w:t>
      </w:r>
    </w:p>
    <w:p>
      <w:pPr>
        <w:ind w:left="6060"/>
        <w:spacing w:after="0"/>
        <w:rPr>
          <w:sz w:val="20"/>
          <w:szCs w:val="20"/>
          <w:color w:val="auto"/>
        </w:rPr>
      </w:pPr>
      <w:r>
        <w:rPr>
          <w:rFonts w:ascii="Arial" w:cs="Arial" w:eastAsia="Arial" w:hAnsi="Arial"/>
          <w:sz w:val="17"/>
          <w:szCs w:val="17"/>
          <w:color w:val="auto"/>
        </w:rPr>
        <w:t>Michael J. Quillen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COMPENSATION COMMITTEE INTERLOCKS AND INSIDER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PARTICIPATION IN COMPENSATION DECISIONS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members of Martin Marietta’s Management Development and Compensation Committee are Directors Cole, McDonald, Menaker and Quillen, none of whom has ever been an officer or employee of Martin Marietta or any of its subsidiaries. There are no executive officer-Director interlocks where an executive of Martin Marietta serves on the compensation committee of another corporation that has an executive officer serving on Martin Marietta’s Board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sz w:val="1"/>
          <w:szCs w:val="1"/>
          <w:color w:val="auto"/>
        </w:rPr>
        <w:drawing>
          <wp:inline distT="0" distB="0" distL="0" distR="0">
            <wp:extent cx="342900" cy="2057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5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1"/>
          <w:szCs w:val="21"/>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Introduction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Compensation Discussion and Analysis, or CD&amp;A, describes our 2015 executive compensation program and the attendant oversight provided by the Management Development and Compensation Committee of the Board of Directors (the “Committee”). It also summarizes our executive compensation structure and discusses the compensation</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For 2015, our named executive officers were: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earned by Martin Marietta’s named executive officers (the CEO, the CFO, and the three other most highly compensated executive officers in 2015) as presented below in the tables under “Executive Compensation” following this CD&amp;A, which contain detailed compensation information quantifying and further explaining our named executive officers’ (NEO) compensation.</w:t>
      </w:r>
    </w:p>
    <w:p>
      <w:pPr>
        <w:spacing w:after="0" w:line="1178"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43" w:lineRule="exact"/>
        <w:rPr>
          <w:sz w:val="20"/>
          <w:szCs w:val="20"/>
          <w:color w:val="auto"/>
        </w:rPr>
      </w:pPr>
    </w:p>
    <w:tbl>
      <w:tblPr>
        <w:tblLayout w:type="fixed"/>
        <w:tblInd w:w="470" w:type="dxa"/>
        <w:tblCellMar>
          <w:top w:w="0" w:type="dxa"/>
          <w:left w:w="0" w:type="dxa"/>
          <w:bottom w:w="0" w:type="dxa"/>
          <w:right w:w="0" w:type="dxa"/>
        </w:tblCellMar>
      </w:tblPr>
      <w:tr>
        <w:trPr>
          <w:trHeight w:val="203"/>
        </w:trPr>
        <w:tc>
          <w:tcPr>
            <w:tcW w:w="22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8280" w:type="dxa"/>
            <w:vAlign w:val="bottom"/>
            <w:tcBorders>
              <w:right w:val="single" w:sz="8" w:color="47829E"/>
            </w:tcBorders>
            <w:shd w:val="clear" w:color="auto" w:fill="47829E"/>
          </w:tcPr>
          <w:p>
            <w:pPr>
              <w:ind w:left="180"/>
              <w:spacing w:after="0"/>
              <w:rPr>
                <w:sz w:val="20"/>
                <w:szCs w:val="20"/>
                <w:color w:val="auto"/>
              </w:rPr>
            </w:pPr>
            <w:r>
              <w:rPr>
                <w:rFonts w:ascii="Arial" w:cs="Arial" w:eastAsia="Arial" w:hAnsi="Arial"/>
                <w:sz w:val="17"/>
                <w:szCs w:val="17"/>
                <w:b w:val="1"/>
                <w:bCs w:val="1"/>
                <w:color w:val="FFFFFF"/>
              </w:rPr>
              <w:t>Title</w:t>
            </w:r>
          </w:p>
        </w:tc>
      </w:tr>
      <w:tr>
        <w:trPr>
          <w:trHeight w:val="189"/>
        </w:trPr>
        <w:tc>
          <w:tcPr>
            <w:tcW w:w="22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C. Howard Nye</w:t>
            </w:r>
          </w:p>
        </w:tc>
        <w:tc>
          <w:tcPr>
            <w:tcW w:w="8280" w:type="dxa"/>
            <w:vAlign w:val="bottom"/>
            <w:tcBorders>
              <w:right w:val="single" w:sz="8" w:color="47829E"/>
            </w:tcBorders>
          </w:tcPr>
          <w:p>
            <w:pPr>
              <w:ind w:left="180"/>
              <w:spacing w:after="0" w:line="189" w:lineRule="exact"/>
              <w:rPr>
                <w:sz w:val="20"/>
                <w:szCs w:val="20"/>
                <w:color w:val="auto"/>
              </w:rPr>
            </w:pPr>
            <w:r>
              <w:rPr>
                <w:rFonts w:ascii="Arial" w:cs="Arial" w:eastAsia="Arial" w:hAnsi="Arial"/>
                <w:sz w:val="17"/>
                <w:szCs w:val="17"/>
                <w:color w:val="auto"/>
              </w:rPr>
              <w:t>Chairman of the Board, President and Chief Executive Officer</w:t>
            </w:r>
          </w:p>
        </w:tc>
      </w:tr>
      <w:tr>
        <w:trPr>
          <w:trHeight w:val="189"/>
        </w:trPr>
        <w:tc>
          <w:tcPr>
            <w:tcW w:w="22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Anne H. Lloyd</w:t>
            </w:r>
          </w:p>
        </w:tc>
        <w:tc>
          <w:tcPr>
            <w:tcW w:w="8280" w:type="dxa"/>
            <w:vAlign w:val="bottom"/>
            <w:tcBorders>
              <w:right w:val="single" w:sz="8" w:color="47829E"/>
            </w:tcBorders>
            <w:shd w:val="clear" w:color="auto" w:fill="DAE6EB"/>
          </w:tcPr>
          <w:p>
            <w:pPr>
              <w:ind w:left="180"/>
              <w:spacing w:after="0" w:line="189" w:lineRule="exact"/>
              <w:rPr>
                <w:sz w:val="20"/>
                <w:szCs w:val="20"/>
                <w:color w:val="auto"/>
              </w:rPr>
            </w:pPr>
            <w:r>
              <w:rPr>
                <w:rFonts w:ascii="Arial" w:cs="Arial" w:eastAsia="Arial" w:hAnsi="Arial"/>
                <w:sz w:val="17"/>
                <w:szCs w:val="17"/>
                <w:color w:val="auto"/>
              </w:rPr>
              <w:t>Executive Vice President and Chief Financial Officer</w:t>
            </w:r>
          </w:p>
        </w:tc>
      </w:tr>
      <w:tr>
        <w:trPr>
          <w:trHeight w:val="189"/>
        </w:trPr>
        <w:tc>
          <w:tcPr>
            <w:tcW w:w="22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Roselyn R. Bar</w:t>
            </w:r>
          </w:p>
        </w:tc>
        <w:tc>
          <w:tcPr>
            <w:tcW w:w="8280" w:type="dxa"/>
            <w:vAlign w:val="bottom"/>
            <w:tcBorders>
              <w:right w:val="single" w:sz="8" w:color="47829E"/>
            </w:tcBorders>
          </w:tcPr>
          <w:p>
            <w:pPr>
              <w:ind w:left="180"/>
              <w:spacing w:after="0" w:line="189" w:lineRule="exact"/>
              <w:rPr>
                <w:sz w:val="20"/>
                <w:szCs w:val="20"/>
                <w:color w:val="auto"/>
              </w:rPr>
            </w:pPr>
            <w:r>
              <w:rPr>
                <w:rFonts w:ascii="Arial" w:cs="Arial" w:eastAsia="Arial" w:hAnsi="Arial"/>
                <w:sz w:val="17"/>
                <w:szCs w:val="17"/>
                <w:color w:val="auto"/>
              </w:rPr>
              <w:t>Executive Vice President, General Counsel and Corporate Secretary*</w:t>
            </w:r>
          </w:p>
        </w:tc>
      </w:tr>
      <w:tr>
        <w:trPr>
          <w:trHeight w:val="189"/>
        </w:trPr>
        <w:tc>
          <w:tcPr>
            <w:tcW w:w="22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Donald A. McCunniff</w:t>
            </w:r>
          </w:p>
        </w:tc>
        <w:tc>
          <w:tcPr>
            <w:tcW w:w="8280" w:type="dxa"/>
            <w:vAlign w:val="bottom"/>
            <w:tcBorders>
              <w:right w:val="single" w:sz="8" w:color="47829E"/>
            </w:tcBorders>
            <w:shd w:val="clear" w:color="auto" w:fill="DAE6EB"/>
          </w:tcPr>
          <w:p>
            <w:pPr>
              <w:ind w:left="180"/>
              <w:spacing w:after="0" w:line="189" w:lineRule="exact"/>
              <w:rPr>
                <w:sz w:val="20"/>
                <w:szCs w:val="20"/>
                <w:color w:val="auto"/>
              </w:rPr>
            </w:pPr>
            <w:r>
              <w:rPr>
                <w:rFonts w:ascii="Arial" w:cs="Arial" w:eastAsia="Arial" w:hAnsi="Arial"/>
                <w:sz w:val="17"/>
                <w:szCs w:val="17"/>
                <w:color w:val="auto"/>
              </w:rPr>
              <w:t>Senior Vice President – Human Resources</w:t>
            </w:r>
          </w:p>
        </w:tc>
      </w:tr>
      <w:tr>
        <w:trPr>
          <w:trHeight w:val="189"/>
        </w:trPr>
        <w:tc>
          <w:tcPr>
            <w:tcW w:w="2240" w:type="dxa"/>
            <w:vAlign w:val="bottom"/>
            <w:tcBorders>
              <w:left w:val="single" w:sz="8" w:color="47829E"/>
              <w:bottom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Daniel L. Grant</w:t>
            </w:r>
          </w:p>
        </w:tc>
        <w:tc>
          <w:tcPr>
            <w:tcW w:w="8280" w:type="dxa"/>
            <w:vAlign w:val="bottom"/>
            <w:tcBorders>
              <w:bottom w:val="single" w:sz="8" w:color="47829E"/>
              <w:right w:val="single" w:sz="8" w:color="47829E"/>
            </w:tcBorders>
          </w:tcPr>
          <w:p>
            <w:pPr>
              <w:ind w:left="180"/>
              <w:spacing w:after="0" w:line="189" w:lineRule="exact"/>
              <w:rPr>
                <w:sz w:val="20"/>
                <w:szCs w:val="20"/>
                <w:color w:val="auto"/>
              </w:rPr>
            </w:pPr>
            <w:r>
              <w:rPr>
                <w:rFonts w:ascii="Arial" w:cs="Arial" w:eastAsia="Arial" w:hAnsi="Arial"/>
                <w:sz w:val="17"/>
                <w:szCs w:val="17"/>
                <w:color w:val="auto"/>
              </w:rPr>
              <w:t>Senior Vice President – Strategy &amp; Development</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 Ms. Bar was elected as Executive Vice President in November 2015.</w:t>
      </w:r>
    </w:p>
    <w:p>
      <w:pPr>
        <w:sectPr>
          <w:pgSz w:w="11900" w:h="16838" w:orient="portrait"/>
          <w:cols w:equalWidth="0" w:num="1">
            <w:col w:w="11420"/>
          </w:cols>
          <w:pgMar w:left="240" w:top="256" w:right="239" w:bottom="1440" w:gutter="0" w:footer="0" w:header="0"/>
          <w:type w:val="continuous"/>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Executive Summary</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year 2015 allowed Martin Marietta to execute on our strategic plan, following the $2.8 billion acquisition of Texas Industries, Inc. (TXI) in 2014. Despite significant precipitation in many of our key markets, modest economic recovery along with volume and pricing growth in 2015 led to increased profits versus prior year, and effective management provided us the ability to prudently reinvest in our business, pursue strategic opportunities, and return cash to our shareholders. In summary, Martin Marietta continued to execute its strategic plan while delivering strong performance in 2015:</w:t>
      </w:r>
    </w:p>
    <w:p>
      <w:pPr>
        <w:spacing w:after="0" w:line="88" w:lineRule="exact"/>
        <w:rPr>
          <w:sz w:val="20"/>
          <w:szCs w:val="20"/>
          <w:color w:val="auto"/>
        </w:rPr>
      </w:pPr>
    </w:p>
    <w:p>
      <w:pPr>
        <w:ind w:left="740" w:hanging="300"/>
        <w:spacing w:after="0" w:line="26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Record net sales of $3.3 billion </w:t>
      </w:r>
      <w:r>
        <w:rPr>
          <w:rFonts w:ascii="Arial" w:cs="Arial" w:eastAsia="Arial" w:hAnsi="Arial"/>
          <w:sz w:val="17"/>
          <w:szCs w:val="17"/>
          <w:color w:val="auto"/>
        </w:rPr>
        <w:t>(compared with $2.7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 increase of 22% from 2014</w:t>
      </w:r>
    </w:p>
    <w:p>
      <w:pPr>
        <w:spacing w:after="0" w:line="6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Record gross profit of $721.8 million, </w:t>
      </w:r>
      <w:r>
        <w:rPr>
          <w:rFonts w:ascii="Arial" w:cs="Arial" w:eastAsia="Arial" w:hAnsi="Arial"/>
          <w:sz w:val="17"/>
          <w:szCs w:val="17"/>
          <w:color w:val="auto"/>
        </w:rPr>
        <w:t>an increase of nearly</w:t>
      </w:r>
      <w:r>
        <w:rPr>
          <w:rFonts w:ascii="Arial" w:cs="Arial" w:eastAsia="Arial" w:hAnsi="Arial"/>
          <w:sz w:val="17"/>
          <w:szCs w:val="17"/>
          <w:b w:val="1"/>
          <w:bCs w:val="1"/>
          <w:color w:val="auto"/>
        </w:rPr>
        <w:t xml:space="preserve"> </w:t>
      </w:r>
      <w:r>
        <w:rPr>
          <w:rFonts w:ascii="Arial" w:cs="Arial" w:eastAsia="Arial" w:hAnsi="Arial"/>
          <w:sz w:val="17"/>
          <w:szCs w:val="17"/>
          <w:color w:val="auto"/>
        </w:rPr>
        <w:t>$200 million or 38% from $522.2 million in 2014</w:t>
      </w:r>
    </w:p>
    <w:p>
      <w:pPr>
        <w:spacing w:after="0" w:line="6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Record operating earnings of $479.4 million</w:t>
      </w:r>
      <w:r>
        <w:rPr>
          <w:rFonts w:ascii="Arial" w:cs="Arial" w:eastAsia="Arial" w:hAnsi="Arial"/>
          <w:sz w:val="17"/>
          <w:szCs w:val="17"/>
          <w:color w:val="auto"/>
        </w:rPr>
        <w:t>, an increase of</w:t>
      </w:r>
      <w:r>
        <w:rPr>
          <w:rFonts w:ascii="Arial" w:cs="Arial" w:eastAsia="Arial" w:hAnsi="Arial"/>
          <w:sz w:val="17"/>
          <w:szCs w:val="17"/>
          <w:b w:val="1"/>
          <w:bCs w:val="1"/>
          <w:color w:val="auto"/>
        </w:rPr>
        <w:t xml:space="preserve"> </w:t>
      </w:r>
      <w:r>
        <w:rPr>
          <w:rFonts w:ascii="Arial" w:cs="Arial" w:eastAsia="Arial" w:hAnsi="Arial"/>
          <w:sz w:val="17"/>
          <w:szCs w:val="17"/>
          <w:color w:val="auto"/>
        </w:rPr>
        <w:t>$165 million or 52% from 2014</w:t>
      </w:r>
    </w:p>
    <w:p>
      <w:pPr>
        <w:spacing w:after="0" w:line="6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Record net earnings of $288.8 million</w:t>
      </w:r>
      <w:r>
        <w:rPr>
          <w:rFonts w:ascii="Arial" w:cs="Arial" w:eastAsia="Arial" w:hAnsi="Arial"/>
          <w:sz w:val="17"/>
          <w:szCs w:val="17"/>
          <w:color w:val="auto"/>
        </w:rPr>
        <w:t>, an increase of 86%</w:t>
      </w:r>
      <w:r>
        <w:rPr>
          <w:rFonts w:ascii="Arial" w:cs="Arial" w:eastAsia="Arial" w:hAnsi="Arial"/>
          <w:sz w:val="17"/>
          <w:szCs w:val="17"/>
          <w:b w:val="1"/>
          <w:bCs w:val="1"/>
          <w:color w:val="auto"/>
        </w:rPr>
        <w:t xml:space="preserve"> </w:t>
      </w:r>
      <w:r>
        <w:rPr>
          <w:rFonts w:ascii="Arial" w:cs="Arial" w:eastAsia="Arial" w:hAnsi="Arial"/>
          <w:sz w:val="17"/>
          <w:szCs w:val="17"/>
          <w:color w:val="auto"/>
        </w:rPr>
        <w:t>from $155.6 million in 2014</w:t>
      </w:r>
    </w:p>
    <w:p>
      <w:pPr>
        <w:spacing w:after="0" w:line="63" w:lineRule="exact"/>
        <w:rPr>
          <w:rFonts w:ascii="Arial" w:cs="Arial" w:eastAsia="Arial" w:hAnsi="Arial"/>
          <w:sz w:val="17"/>
          <w:szCs w:val="17"/>
          <w:color w:val="auto"/>
        </w:rPr>
      </w:pPr>
    </w:p>
    <w:p>
      <w:pPr>
        <w:jc w:val="both"/>
        <w:ind w:left="740" w:hanging="300"/>
        <w:spacing w:after="0" w:line="250" w:lineRule="auto"/>
        <w:tabs>
          <w:tab w:leader="none" w:pos="74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Consolidated gross margin (excluding freight and delivery revenues) expanded by 260 basis points to 22.1%; </w:t>
      </w:r>
      <w:r>
        <w:rPr>
          <w:rFonts w:ascii="Arial" w:cs="Arial" w:eastAsia="Arial" w:hAnsi="Arial"/>
          <w:sz w:val="17"/>
          <w:szCs w:val="17"/>
          <w:color w:val="auto"/>
        </w:rPr>
        <w:t>heritage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gross margin of 24.5%, up 350 basis points</w:t>
      </w:r>
    </w:p>
    <w:p>
      <w:pPr>
        <w:spacing w:after="0" w:line="97" w:lineRule="exact"/>
        <w:rPr>
          <w:rFonts w:ascii="Arial" w:cs="Arial" w:eastAsia="Arial" w:hAnsi="Arial"/>
          <w:sz w:val="17"/>
          <w:szCs w:val="17"/>
          <w:b w:val="1"/>
          <w:bCs w:val="1"/>
          <w:color w:val="auto"/>
        </w:rPr>
      </w:pPr>
    </w:p>
    <w:p>
      <w:pPr>
        <w:ind w:left="740" w:hanging="300"/>
        <w:spacing w:after="0" w:line="243"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Earnings Before Interest, Taxes, Depreciation &amp; Amortization </w:t>
      </w:r>
      <w:r>
        <w:rPr>
          <w:rFonts w:ascii="Arial" w:cs="Arial" w:eastAsia="Arial" w:hAnsi="Arial"/>
          <w:sz w:val="17"/>
          <w:szCs w:val="17"/>
          <w:b w:val="1"/>
          <w:bCs w:val="1"/>
          <w:color w:val="auto"/>
        </w:rPr>
        <w:t xml:space="preserve">(EBITDA) of $750.7 million increased </w:t>
      </w:r>
      <w:r>
        <w:rPr>
          <w:rFonts w:ascii="Arial" w:cs="Arial" w:eastAsia="Arial" w:hAnsi="Arial"/>
          <w:sz w:val="17"/>
          <w:szCs w:val="17"/>
          <w:color w:val="auto"/>
        </w:rPr>
        <w:t>$214 million, or 40%</w:t>
      </w:r>
    </w:p>
    <w:p>
      <w:pPr>
        <w:spacing w:after="0" w:line="8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Adjusted earnings per diluted share of $4.50 </w:t>
      </w:r>
      <w:r>
        <w:rPr>
          <w:rFonts w:ascii="Arial" w:cs="Arial" w:eastAsia="Arial" w:hAnsi="Arial"/>
          <w:sz w:val="17"/>
          <w:szCs w:val="17"/>
          <w:color w:val="auto"/>
        </w:rPr>
        <w:t>increased</w:t>
      </w:r>
      <w:r>
        <w:rPr>
          <w:rFonts w:ascii="Arial" w:cs="Arial" w:eastAsia="Arial" w:hAnsi="Arial"/>
          <w:sz w:val="17"/>
          <w:szCs w:val="17"/>
          <w:b w:val="1"/>
          <w:bCs w:val="1"/>
          <w:color w:val="auto"/>
        </w:rPr>
        <w:t xml:space="preserve"> </w:t>
      </w:r>
      <w:r>
        <w:rPr>
          <w:rFonts w:ascii="Arial" w:cs="Arial" w:eastAsia="Arial" w:hAnsi="Arial"/>
          <w:sz w:val="17"/>
          <w:szCs w:val="17"/>
          <w:color w:val="auto"/>
        </w:rPr>
        <w:t>20% from $3.74 in 2014</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both"/>
        <w:ind w:left="740" w:right="120" w:hanging="300"/>
        <w:spacing w:after="0" w:line="250"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Acquired business </w:t>
      </w:r>
      <w:r>
        <w:rPr>
          <w:rFonts w:ascii="Arial" w:cs="Arial" w:eastAsia="Arial" w:hAnsi="Arial"/>
          <w:sz w:val="17"/>
          <w:szCs w:val="17"/>
          <w:b w:val="1"/>
          <w:bCs w:val="1"/>
          <w:color w:val="auto"/>
        </w:rPr>
        <w:t>synergy realization of approximately $95</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million </w:t>
      </w:r>
      <w:r>
        <w:rPr>
          <w:rFonts w:ascii="Arial" w:cs="Arial" w:eastAsia="Arial" w:hAnsi="Arial"/>
          <w:sz w:val="17"/>
          <w:szCs w:val="17"/>
          <w:color w:val="auto"/>
        </w:rPr>
        <w:t>in 2015 from the TXI transaction, exceeding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target of $70 million by 2017.</w:t>
      </w:r>
    </w:p>
    <w:p>
      <w:pPr>
        <w:spacing w:after="0" w:line="19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This financial performance allowed us to achieve our additional strategic objectives, including:</w:t>
      </w:r>
    </w:p>
    <w:p>
      <w:pPr>
        <w:spacing w:after="0" w:line="84" w:lineRule="exact"/>
        <w:rPr>
          <w:sz w:val="20"/>
          <w:szCs w:val="20"/>
          <w:color w:val="auto"/>
        </w:rPr>
      </w:pPr>
    </w:p>
    <w:p>
      <w:pPr>
        <w:jc w:val="both"/>
        <w:ind w:left="740" w:right="120" w:hanging="300"/>
        <w:spacing w:after="0" w:line="244"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Pursuing </w:t>
      </w:r>
      <w:r>
        <w:rPr>
          <w:rFonts w:ascii="Arial" w:cs="Arial" w:eastAsia="Arial" w:hAnsi="Arial"/>
          <w:sz w:val="17"/>
          <w:szCs w:val="17"/>
          <w:b w:val="1"/>
          <w:bCs w:val="1"/>
          <w:color w:val="auto"/>
        </w:rPr>
        <w:t>aggregates-led expansion through</w:t>
      </w:r>
      <w:r>
        <w:rPr>
          <w:rFonts w:ascii="Arial" w:cs="Arial" w:eastAsia="Arial" w:hAnsi="Arial"/>
          <w:sz w:val="17"/>
          <w:szCs w:val="17"/>
          <w:color w:val="auto"/>
        </w:rPr>
        <w:t xml:space="preserve"> acquisitions that complement existing operations (i.e., bolt-on acquisitions) and acquisitions that provide leadership entry into new markets or similar product lines (i.e., platform acquisitions)</w:t>
      </w:r>
    </w:p>
    <w:p>
      <w:pPr>
        <w:spacing w:after="0" w:line="102" w:lineRule="exact"/>
        <w:rPr>
          <w:rFonts w:ascii="Arial" w:cs="Arial" w:eastAsia="Arial" w:hAnsi="Arial"/>
          <w:sz w:val="17"/>
          <w:szCs w:val="17"/>
          <w:color w:val="auto"/>
        </w:rPr>
      </w:pPr>
    </w:p>
    <w:p>
      <w:pPr>
        <w:jc w:val="both"/>
        <w:ind w:left="740" w:right="120" w:hanging="300"/>
        <w:spacing w:after="0" w:line="236"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Leveraging competitive advantage from Martin Marietta’s </w:t>
      </w:r>
      <w:r>
        <w:rPr>
          <w:rFonts w:ascii="Arial" w:cs="Arial" w:eastAsia="Arial" w:hAnsi="Arial"/>
          <w:sz w:val="17"/>
          <w:szCs w:val="17"/>
          <w:b w:val="1"/>
          <w:bCs w:val="1"/>
          <w:color w:val="auto"/>
        </w:rPr>
        <w:t xml:space="preserve">long-haul distribution network, </w:t>
      </w:r>
      <w:r>
        <w:rPr>
          <w:rFonts w:ascii="Arial" w:cs="Arial" w:eastAsia="Arial" w:hAnsi="Arial"/>
          <w:sz w:val="17"/>
          <w:szCs w:val="17"/>
          <w:color w:val="auto"/>
        </w:rPr>
        <w:t>which was expanded in</w:t>
      </w:r>
      <w:r>
        <w:rPr>
          <w:rFonts w:ascii="Arial" w:cs="Arial" w:eastAsia="Arial" w:hAnsi="Arial"/>
          <w:sz w:val="17"/>
          <w:szCs w:val="17"/>
          <w:b w:val="1"/>
          <w:bCs w:val="1"/>
          <w:color w:val="auto"/>
        </w:rPr>
        <w:t xml:space="preserve"> </w:t>
      </w:r>
      <w:r>
        <w:rPr>
          <w:rFonts w:ascii="Arial" w:cs="Arial" w:eastAsia="Arial" w:hAnsi="Arial"/>
          <w:sz w:val="17"/>
          <w:szCs w:val="17"/>
          <w:color w:val="auto"/>
        </w:rPr>
        <w:t>2015 with the on-time, on-budget completion of the Medina Rock and Rail capital project south of San Antonio, Texas</w:t>
      </w:r>
    </w:p>
    <w:p>
      <w:pPr>
        <w:spacing w:after="0" w:line="88" w:lineRule="exact"/>
        <w:rPr>
          <w:rFonts w:ascii="Arial" w:cs="Arial" w:eastAsia="Arial" w:hAnsi="Arial"/>
          <w:sz w:val="17"/>
          <w:szCs w:val="17"/>
          <w:color w:val="auto"/>
        </w:rPr>
      </w:pPr>
    </w:p>
    <w:p>
      <w:pPr>
        <w:jc w:val="both"/>
        <w:ind w:left="740" w:right="120" w:hanging="300"/>
        <w:spacing w:after="0" w:line="241"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Increasing the incremental gross margin </w:t>
      </w:r>
      <w:r>
        <w:rPr>
          <w:rFonts w:ascii="Arial" w:cs="Arial" w:eastAsia="Arial" w:hAnsi="Arial"/>
          <w:sz w:val="17"/>
          <w:szCs w:val="17"/>
          <w:color w:val="auto"/>
        </w:rPr>
        <w:t>(excluding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delivery revenues) of the aggregates product line toward management’s targeted goal of an average of 60% over the course of recovery in the business cycle, including recovery in the southeastern U.S. markets</w:t>
      </w:r>
    </w:p>
    <w:p>
      <w:pPr>
        <w:spacing w:after="0" w:line="85"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Realize </w:t>
      </w:r>
      <w:r>
        <w:rPr>
          <w:rFonts w:ascii="Arial" w:cs="Arial" w:eastAsia="Arial" w:hAnsi="Arial"/>
          <w:sz w:val="17"/>
          <w:szCs w:val="17"/>
          <w:b w:val="1"/>
          <w:bCs w:val="1"/>
          <w:color w:val="auto"/>
        </w:rPr>
        <w:t>incremental value from possible divestiture</w:t>
      </w:r>
      <w:r>
        <w:rPr>
          <w:rFonts w:ascii="Arial" w:cs="Arial" w:eastAsia="Arial" w:hAnsi="Arial"/>
          <w:sz w:val="17"/>
          <w:szCs w:val="17"/>
          <w:color w:val="auto"/>
        </w:rPr>
        <w:t xml:space="preserve"> of identified non-strategic or surplus assets</w:t>
      </w:r>
    </w:p>
    <w:p>
      <w:pPr>
        <w:spacing w:after="0" w:line="63" w:lineRule="exact"/>
        <w:rPr>
          <w:rFonts w:ascii="Arial" w:cs="Arial" w:eastAsia="Arial" w:hAnsi="Arial"/>
          <w:sz w:val="17"/>
          <w:szCs w:val="17"/>
          <w:color w:val="auto"/>
        </w:rPr>
      </w:pPr>
    </w:p>
    <w:p>
      <w:pPr>
        <w:jc w:val="both"/>
        <w:ind w:left="740" w:right="140" w:hanging="300"/>
        <w:spacing w:after="0" w:line="250"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Returning $627.4 million to our shareholders </w:t>
      </w:r>
      <w:r>
        <w:rPr>
          <w:rFonts w:ascii="Arial" w:cs="Arial" w:eastAsia="Arial" w:hAnsi="Arial"/>
          <w:sz w:val="17"/>
          <w:szCs w:val="17"/>
          <w:color w:val="auto"/>
        </w:rPr>
        <w:t>through share</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repurchases ($520.0 million) and sustained and meaningful dividends ($107.4 million)</w:t>
      </w:r>
    </w:p>
    <w:p>
      <w:pPr>
        <w:spacing w:after="0" w:line="727"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27"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31" w:name="page32"/>
    <w:bookmarkEnd w:id="31"/>
    <w:p>
      <w:pPr>
        <w:jc w:val="both"/>
        <w:spacing w:after="0"/>
        <w:rPr>
          <w:sz w:val="20"/>
          <w:szCs w:val="20"/>
          <w:color w:val="auto"/>
        </w:rPr>
      </w:pPr>
      <w:r>
        <w:rPr>
          <w:rFonts w:ascii="Arial" w:cs="Arial" w:eastAsia="Arial" w:hAnsi="Arial"/>
          <w:sz w:val="17"/>
          <w:szCs w:val="17"/>
          <w:color w:val="auto"/>
        </w:rPr>
        <w:t>A number of key 2015 compensation-related decisions resulted from these significant events and accomplishments, which are discussed more fully below. The Committee believes that our executive compensation program continues to reflect a strong pay-for-performance philosophy and is well-aligned with the interests of shareholders.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2015 Say-On-Pay Vote and Shareholder Outreach</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shareholders expressed their continued support of our executive compensation programs by approving our non-binding advisory vote on executive compensation at our 2015 Annual Meeting of Shareholders. More than 93% of votes cast supported our executive compensation policies and practices. Management and the Committee considered this strong support of the current pay structure by our shareholders and that the Company’s compensation programs do not require material changes, other than those changes warranted by good corporate governance oversight.</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feels strongly that our executive compensation programs should evolve and be adjusted over time to support the achievement of our business goals, to reflect our challenges, and to promote both the near- and long-term profitable growth of Martin Marietta. During 2015, the Committee reviewed and evaluated market trends and best practices in designing and implementing elements to our compensation program. The Committee continues to believe that our executive compensation programs are designed to incentivize and reward achievement that creates value for our shareholders.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view a continuing, constructive dialogue with our long-term shareholders as critically important to ensuring that we remain aligned with their interests. With that in mind:</w:t>
      </w:r>
    </w:p>
    <w:p>
      <w:pPr>
        <w:spacing w:after="0" w:line="107" w:lineRule="exact"/>
        <w:rPr>
          <w:sz w:val="20"/>
          <w:szCs w:val="20"/>
          <w:color w:val="auto"/>
        </w:rPr>
      </w:pPr>
    </w:p>
    <w:p>
      <w:pPr>
        <w:jc w:val="both"/>
        <w:ind w:left="740" w:hanging="300"/>
        <w:spacing w:after="0" w:line="23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regularly talk to long-term shareholders and appreciate the opportunity to gain further insight and understanding into their views.</w:t>
      </w:r>
    </w:p>
    <w:p>
      <w:pPr>
        <w:spacing w:after="0" w:line="20" w:lineRule="exact"/>
        <w:rPr>
          <w:sz w:val="20"/>
          <w:szCs w:val="20"/>
          <w:color w:val="auto"/>
        </w:rPr>
      </w:pPr>
      <w:r>
        <w:rPr>
          <w:sz w:val="20"/>
          <w:szCs w:val="20"/>
          <w:color w:val="auto"/>
        </w:rPr>
        <w:br w:type="column"/>
      </w:r>
    </w:p>
    <w:p>
      <w:pPr>
        <w:jc w:val="both"/>
        <w:ind w:left="740" w:right="120" w:hanging="300"/>
        <w:spacing w:after="0" w:line="236"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held an Investor Day in February 2015 at which shareholders were invited to meet with the entire leadership team of Martin Marietta, including our Lead Independent Director.</w:t>
      </w:r>
    </w:p>
    <w:p>
      <w:pPr>
        <w:spacing w:after="0" w:line="108"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speak to almost all of our top 25 shareholders at least annually, which represents approximately 70%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-1050925</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Our Compensation Strategy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specifically designed to:</w:t>
      </w:r>
    </w:p>
    <w:p>
      <w:pPr>
        <w:spacing w:after="0" w:line="95" w:lineRule="exact"/>
        <w:rPr>
          <w:sz w:val="20"/>
          <w:szCs w:val="20"/>
          <w:color w:val="auto"/>
        </w:rPr>
      </w:pPr>
    </w:p>
    <w:p>
      <w:pPr>
        <w:ind w:left="740" w:right="120" w:hanging="300"/>
        <w:spacing w:after="0" w:line="26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Attract and retain </w:t>
      </w:r>
      <w:r>
        <w:rPr>
          <w:rFonts w:ascii="Arial" w:cs="Arial" w:eastAsia="Arial" w:hAnsi="Arial"/>
          <w:sz w:val="17"/>
          <w:szCs w:val="17"/>
          <w:color w:val="auto"/>
        </w:rPr>
        <w:t>top-caliber, knowledgeable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experienced senior executives.</w:t>
      </w:r>
    </w:p>
    <w:p>
      <w:pPr>
        <w:spacing w:after="0" w:line="63"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Motivate </w:t>
      </w:r>
      <w:r>
        <w:rPr>
          <w:rFonts w:ascii="Arial" w:cs="Arial" w:eastAsia="Arial" w:hAnsi="Arial"/>
          <w:sz w:val="17"/>
          <w:szCs w:val="17"/>
          <w:color w:val="auto"/>
        </w:rPr>
        <w:t>our executives to achieve superior results and build</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value for shareholders.</w:t>
      </w:r>
    </w:p>
    <w:p>
      <w:pPr>
        <w:spacing w:after="0" w:line="63"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Reward </w:t>
      </w:r>
      <w:r>
        <w:rPr>
          <w:rFonts w:ascii="Arial" w:cs="Arial" w:eastAsia="Arial" w:hAnsi="Arial"/>
          <w:sz w:val="17"/>
          <w:szCs w:val="17"/>
          <w:color w:val="auto"/>
        </w:rPr>
        <w:t>performance that meets or exceeds established goals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our strategic aims and upholding integrity.</w:t>
      </w:r>
    </w:p>
    <w:p>
      <w:pPr>
        <w:spacing w:after="0" w:line="63" w:lineRule="exact"/>
        <w:rPr>
          <w:rFonts w:ascii="Arial" w:cs="Arial" w:eastAsia="Arial" w:hAnsi="Arial"/>
          <w:sz w:val="17"/>
          <w:szCs w:val="17"/>
          <w:color w:val="auto"/>
        </w:rPr>
      </w:pPr>
    </w:p>
    <w:p>
      <w:pPr>
        <w:ind w:left="740" w:right="140" w:hanging="300"/>
        <w:spacing w:after="0" w:line="26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Align individual objectives </w:t>
      </w:r>
      <w:r>
        <w:rPr>
          <w:rFonts w:ascii="Arial" w:cs="Arial" w:eastAsia="Arial" w:hAnsi="Arial"/>
          <w:sz w:val="17"/>
          <w:szCs w:val="17"/>
          <w:color w:val="auto"/>
        </w:rPr>
        <w:t>with the Company’s objectives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fostering excessive or inappropriate risk-taking.</w:t>
      </w:r>
    </w:p>
    <w:p>
      <w:pPr>
        <w:spacing w:after="0" w:line="63" w:lineRule="exact"/>
        <w:rPr>
          <w:rFonts w:ascii="Arial" w:cs="Arial" w:eastAsia="Arial" w:hAnsi="Arial"/>
          <w:sz w:val="17"/>
          <w:szCs w:val="17"/>
          <w:color w:val="auto"/>
        </w:rPr>
      </w:pPr>
    </w:p>
    <w:p>
      <w:pPr>
        <w:jc w:val="both"/>
        <w:ind w:left="740" w:right="120" w:hanging="300"/>
        <w:spacing w:after="0" w:line="250"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Encourage an ownership </w:t>
      </w:r>
      <w:r>
        <w:rPr>
          <w:rFonts w:ascii="Arial" w:cs="Arial" w:eastAsia="Arial" w:hAnsi="Arial"/>
          <w:sz w:val="17"/>
          <w:szCs w:val="17"/>
          <w:color w:val="auto"/>
        </w:rPr>
        <w:t>mentality and align the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interests of our executives with those of our shareholders.</w:t>
      </w:r>
    </w:p>
    <w:p>
      <w:pPr>
        <w:spacing w:after="0" w:line="77" w:lineRule="exact"/>
        <w:rPr>
          <w:rFonts w:ascii="Arial" w:cs="Arial" w:eastAsia="Arial" w:hAnsi="Arial"/>
          <w:sz w:val="17"/>
          <w:szCs w:val="17"/>
          <w:color w:val="auto"/>
        </w:rPr>
      </w:pPr>
    </w:p>
    <w:p>
      <w:pPr>
        <w:ind w:left="740" w:hanging="300"/>
        <w:spacing w:after="0"/>
        <w:tabs>
          <w:tab w:leader="none" w:pos="7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 market competitive </w:t>
      </w:r>
      <w:r>
        <w:rPr>
          <w:rFonts w:ascii="Arial" w:cs="Arial" w:eastAsia="Arial" w:hAnsi="Arial"/>
          <w:sz w:val="17"/>
          <w:szCs w:val="17"/>
          <w:color w:val="auto"/>
        </w:rPr>
        <w:t>with our peers.</w:t>
      </w:r>
    </w:p>
    <w:p>
      <w:pPr>
        <w:spacing w:after="0" w:line="115" w:lineRule="exact"/>
        <w:rPr>
          <w:rFonts w:ascii="Arial" w:cs="Arial" w:eastAsia="Arial" w:hAnsi="Arial"/>
          <w:sz w:val="17"/>
          <w:szCs w:val="17"/>
          <w:b w:val="1"/>
          <w:bCs w:val="1"/>
          <w:color w:val="auto"/>
        </w:rPr>
      </w:pPr>
    </w:p>
    <w:p>
      <w:pPr>
        <w:ind w:left="740" w:right="120" w:hanging="300"/>
        <w:spacing w:after="0" w:line="268" w:lineRule="auto"/>
        <w:tabs>
          <w:tab w:leader="none" w:pos="74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 xml:space="preserve">Provide </w:t>
      </w:r>
      <w:r>
        <w:rPr>
          <w:rFonts w:ascii="Arial" w:cs="Arial" w:eastAsia="Arial" w:hAnsi="Arial"/>
          <w:sz w:val="17"/>
          <w:szCs w:val="17"/>
          <w:b w:val="1"/>
          <w:bCs w:val="1"/>
          <w:color w:val="auto"/>
        </w:rPr>
        <w:t>reward systems that are measurable and easily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understood </w:t>
      </w:r>
      <w:r>
        <w:rPr>
          <w:rFonts w:ascii="Arial" w:cs="Arial" w:eastAsia="Arial" w:hAnsi="Arial"/>
          <w:sz w:val="17"/>
          <w:szCs w:val="17"/>
          <w:color w:val="auto"/>
        </w:rPr>
        <w:t>by our managers and shareholders.</w:t>
      </w:r>
    </w:p>
    <w:p>
      <w:pPr>
        <w:spacing w:after="0" w:line="63" w:lineRule="exact"/>
        <w:rPr>
          <w:rFonts w:ascii="Arial" w:cs="Arial" w:eastAsia="Arial" w:hAnsi="Arial"/>
          <w:sz w:val="17"/>
          <w:szCs w:val="17"/>
          <w:b w:val="1"/>
          <w:bCs w:val="1"/>
          <w:color w:val="auto"/>
        </w:rPr>
      </w:pPr>
    </w:p>
    <w:p>
      <w:pPr>
        <w:jc w:val="both"/>
        <w:ind w:left="740" w:right="120" w:hanging="300"/>
        <w:spacing w:after="0" w:line="244"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Reinforce the succession planning </w:t>
      </w:r>
      <w:r>
        <w:rPr>
          <w:rFonts w:ascii="Arial" w:cs="Arial" w:eastAsia="Arial" w:hAnsi="Arial"/>
          <w:sz w:val="17"/>
          <w:szCs w:val="17"/>
          <w:color w:val="auto"/>
        </w:rPr>
        <w:t>process undertaken on</w:t>
      </w:r>
      <w:r>
        <w:rPr>
          <w:rFonts w:ascii="Arial" w:cs="Arial" w:eastAsia="Arial" w:hAnsi="Arial"/>
          <w:sz w:val="17"/>
          <w:szCs w:val="17"/>
          <w:b w:val="1"/>
          <w:bCs w:val="1"/>
          <w:color w:val="auto"/>
        </w:rPr>
        <w:t xml:space="preserve"> </w:t>
      </w:r>
      <w:r>
        <w:rPr>
          <w:rFonts w:ascii="Arial" w:cs="Arial" w:eastAsia="Arial" w:hAnsi="Arial"/>
          <w:sz w:val="17"/>
          <w:szCs w:val="17"/>
          <w:color w:val="auto"/>
        </w:rPr>
        <w:t>a company-wide basis by identifying and retaining senior leadership capable of achieving the Company’s growth, profitability and other objectives.</w:t>
      </w:r>
    </w:p>
    <w:p>
      <w:pPr>
        <w:spacing w:after="0" w:line="411"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39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2015, our executive compensation structure consisted of three primary components: base salary, annual incentives, and long-term incentives. Within the long-term incentive component, we utilized a balanced portfolio of stock options, restricted stock units (RSUs), and performance-based share units (PSUs). Martin Marietta has a long-standing commitment to pay for performance. We fulfill that aim by providing a majority of compensation through programs in which the amounts ultimately received vary in order to best reflect our financial, operational and strategic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28  </w:t>
      </w:r>
      <w:r>
        <w:rPr>
          <w:sz w:val="1"/>
          <w:szCs w:val="1"/>
          <w:color w:val="auto"/>
        </w:rPr>
        <w:drawing>
          <wp:inline distT="0" distB="0" distL="0" distR="0">
            <wp:extent cx="342900" cy="2057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33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key elements of our 2015 executive compensation program:</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6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Element</w:t>
            </w:r>
          </w:p>
        </w:tc>
        <w:tc>
          <w:tcPr>
            <w:tcW w:w="3860" w:type="dxa"/>
            <w:vAlign w:val="bottom"/>
            <w:tcBorders>
              <w:right w:val="single" w:sz="8" w:color="47829E"/>
            </w:tcBorders>
            <w:shd w:val="clear" w:color="auto" w:fill="47829E"/>
          </w:tcPr>
          <w:p>
            <w:pPr>
              <w:ind w:left="1280"/>
              <w:spacing w:after="0"/>
              <w:rPr>
                <w:sz w:val="20"/>
                <w:szCs w:val="20"/>
                <w:color w:val="auto"/>
              </w:rPr>
            </w:pPr>
            <w:r>
              <w:rPr>
                <w:rFonts w:ascii="Arial" w:cs="Arial" w:eastAsia="Arial" w:hAnsi="Arial"/>
                <w:sz w:val="17"/>
                <w:szCs w:val="17"/>
                <w:b w:val="1"/>
                <w:bCs w:val="1"/>
                <w:color w:val="FFFFFF"/>
              </w:rPr>
              <w:t>Primary Purpose</w:t>
            </w:r>
          </w:p>
        </w:tc>
        <w:tc>
          <w:tcPr>
            <w:tcW w:w="3720" w:type="dxa"/>
            <w:vAlign w:val="bottom"/>
            <w:tcBorders>
              <w:right w:val="single" w:sz="8" w:color="47829E"/>
            </w:tcBorders>
            <w:shd w:val="clear" w:color="auto" w:fill="47829E"/>
          </w:tcPr>
          <w:p>
            <w:pPr>
              <w:ind w:left="1020"/>
              <w:spacing w:after="0"/>
              <w:rPr>
                <w:sz w:val="20"/>
                <w:szCs w:val="20"/>
                <w:color w:val="auto"/>
              </w:rPr>
            </w:pPr>
            <w:r>
              <w:rPr>
                <w:rFonts w:ascii="Arial" w:cs="Arial" w:eastAsia="Arial" w:hAnsi="Arial"/>
                <w:sz w:val="17"/>
                <w:szCs w:val="17"/>
                <w:b w:val="1"/>
                <w:bCs w:val="1"/>
                <w:color w:val="FFFFFF"/>
              </w:rPr>
              <w:t>Key Characteristics</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Base Salary</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compensate the executive fairly and</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Fixed compensation to pay the executive fairly</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competitively for the responsibility level of the</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for the responsibility level of the position.</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position.</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Reviewed annually.</w:t>
            </w:r>
          </w:p>
        </w:tc>
        <w:tc>
          <w:tcPr>
            <w:tcW w:w="0" w:type="dxa"/>
            <w:vAlign w:val="bottom"/>
          </w:tcPr>
          <w:p>
            <w:pPr>
              <w:spacing w:after="0"/>
              <w:rPr>
                <w:sz w:val="1"/>
                <w:szCs w:val="1"/>
                <w:color w:val="auto"/>
              </w:rPr>
            </w:pPr>
          </w:p>
        </w:tc>
      </w:tr>
      <w:tr>
        <w:trPr>
          <w:trHeight w:val="171"/>
        </w:trPr>
        <w:tc>
          <w:tcPr>
            <w:tcW w:w="3860" w:type="dxa"/>
            <w:vAlign w:val="bottom"/>
            <w:tcBorders>
              <w:left w:val="single" w:sz="8" w:color="47829E"/>
              <w:right w:val="single" w:sz="8" w:color="47829E"/>
            </w:tcBorders>
            <w:shd w:val="clear" w:color="auto" w:fill="DAE6EB"/>
          </w:tcPr>
          <w:p>
            <w:pPr>
              <w:ind w:left="160"/>
              <w:spacing w:after="0" w:line="171" w:lineRule="exact"/>
              <w:rPr>
                <w:sz w:val="20"/>
                <w:szCs w:val="20"/>
                <w:color w:val="auto"/>
              </w:rPr>
            </w:pPr>
            <w:r>
              <w:rPr>
                <w:rFonts w:ascii="Arial" w:cs="Arial" w:eastAsia="Arial" w:hAnsi="Arial"/>
                <w:sz w:val="16"/>
                <w:szCs w:val="16"/>
                <w:b w:val="1"/>
                <w:bCs w:val="1"/>
                <w:color w:val="auto"/>
              </w:rPr>
              <w:t>Annual Performance-</w:t>
            </w:r>
          </w:p>
        </w:tc>
        <w:tc>
          <w:tcPr>
            <w:tcW w:w="3860" w:type="dxa"/>
            <w:vAlign w:val="bottom"/>
            <w:tcBorders>
              <w:right w:val="single" w:sz="8" w:color="47829E"/>
            </w:tcBorders>
            <w:shd w:val="clear" w:color="auto" w:fill="DAE6EB"/>
          </w:tcPr>
          <w:p>
            <w:pPr>
              <w:ind w:left="100"/>
              <w:spacing w:after="0" w:line="171" w:lineRule="exact"/>
              <w:rPr>
                <w:sz w:val="20"/>
                <w:szCs w:val="20"/>
                <w:color w:val="auto"/>
              </w:rPr>
            </w:pPr>
            <w:r>
              <w:rPr>
                <w:rFonts w:ascii="Arial" w:cs="Arial" w:eastAsia="Arial" w:hAnsi="Arial"/>
                <w:sz w:val="16"/>
                <w:szCs w:val="16"/>
                <w:color w:val="auto"/>
              </w:rPr>
              <w:t>To motivate and reward organizational and</w:t>
            </w:r>
          </w:p>
        </w:tc>
        <w:tc>
          <w:tcPr>
            <w:tcW w:w="3720" w:type="dxa"/>
            <w:vAlign w:val="bottom"/>
            <w:tcBorders>
              <w:right w:val="single" w:sz="8" w:color="47829E"/>
            </w:tcBorders>
            <w:shd w:val="clear" w:color="auto" w:fill="DAE6EB"/>
          </w:tcPr>
          <w:p>
            <w:pPr>
              <w:ind w:left="80"/>
              <w:spacing w:after="0" w:line="171" w:lineRule="exact"/>
              <w:rPr>
                <w:sz w:val="20"/>
                <w:szCs w:val="20"/>
                <w:color w:val="auto"/>
              </w:rPr>
            </w:pPr>
            <w:r>
              <w:rPr>
                <w:rFonts w:ascii="Arial" w:cs="Arial" w:eastAsia="Arial" w:hAnsi="Arial"/>
                <w:sz w:val="16"/>
                <w:szCs w:val="16"/>
                <w:color w:val="auto"/>
              </w:rPr>
              <w:t>Variable compensation component; based on</w:t>
            </w:r>
          </w:p>
        </w:tc>
        <w:tc>
          <w:tcPr>
            <w:tcW w:w="0" w:type="dxa"/>
            <w:vAlign w:val="bottom"/>
          </w:tcPr>
          <w:p>
            <w:pPr>
              <w:spacing w:after="0"/>
              <w:rPr>
                <w:sz w:val="1"/>
                <w:szCs w:val="1"/>
                <w:color w:val="auto"/>
              </w:rPr>
            </w:pPr>
          </w:p>
        </w:tc>
      </w:tr>
      <w:tr>
        <w:trPr>
          <w:trHeight w:val="209"/>
        </w:trPr>
        <w:tc>
          <w:tcPr>
            <w:tcW w:w="38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b w:val="1"/>
                <w:bCs w:val="1"/>
                <w:color w:val="auto"/>
              </w:rPr>
              <w:t>Based Incentive Awards</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individual achievement of annual strategic, financial</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pre-established Company and individual</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vMerge w:val="restart"/>
            <w:shd w:val="clear" w:color="auto" w:fill="DAE6EB"/>
          </w:tcPr>
          <w:p>
            <w:pPr>
              <w:ind w:left="480"/>
              <w:spacing w:after="0"/>
              <w:rPr>
                <w:sz w:val="20"/>
                <w:szCs w:val="20"/>
                <w:color w:val="auto"/>
              </w:rPr>
            </w:pPr>
            <w:r>
              <w:rPr>
                <w:rFonts w:ascii="Arial" w:cs="Arial" w:eastAsia="Arial" w:hAnsi="Arial"/>
                <w:sz w:val="16"/>
                <w:szCs w:val="16"/>
                <w:i w:val="1"/>
                <w:iCs w:val="1"/>
                <w:color w:val="auto"/>
              </w:rPr>
              <w:t>Incentive Stock Plan</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and individual objectives.</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vMerge w:val="continue"/>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To ensure executives invest certain levels of their</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Executives may invest up to 50% of their annual</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annual bonus into Martin Marietta stock units.</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bonus into stock units, with a mandatory</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spacing w:after="0"/>
              <w:rPr>
                <w:sz w:val="16"/>
                <w:szCs w:val="16"/>
                <w:color w:val="auto"/>
              </w:rPr>
            </w:pP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minimum of 35% for our CEO and 20% for other</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spacing w:after="0"/>
              <w:rPr>
                <w:sz w:val="16"/>
                <w:szCs w:val="16"/>
                <w:color w:val="auto"/>
              </w:rPr>
            </w:pP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NEOs to be invested in common stock units.</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Long-Term Incentive Awards</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align executives with shareholder interests, to</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Variable compensation component. Reviewed</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reinforce long-term value creation, and to provide a</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and granted annually.</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balanced portfolio of long-term incentive</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restart"/>
          </w:tcPr>
          <w:p>
            <w:pPr>
              <w:ind w:left="480"/>
              <w:spacing w:after="0"/>
              <w:rPr>
                <w:sz w:val="20"/>
                <w:szCs w:val="20"/>
                <w:color w:val="auto"/>
              </w:rPr>
            </w:pPr>
            <w:r>
              <w:rPr>
                <w:rFonts w:ascii="Arial" w:cs="Arial" w:eastAsia="Arial" w:hAnsi="Arial"/>
                <w:sz w:val="16"/>
                <w:szCs w:val="16"/>
                <w:i w:val="1"/>
                <w:iCs w:val="1"/>
                <w:color w:val="auto"/>
              </w:rPr>
              <w:t>Performance Share Units (PSU)</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opportunity.</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continue"/>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motivate executives by tying incentives to our</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New program in 2014; grants based on three-</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multi-year financial goals and relative TSR</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year Return on Sales (ROS), EBITDA and TSR</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reinforcing the link between our executive officers</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performance relative to peers.</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restart"/>
          </w:tcPr>
          <w:p>
            <w:pPr>
              <w:ind w:left="480"/>
              <w:spacing w:after="0"/>
              <w:rPr>
                <w:sz w:val="20"/>
                <w:szCs w:val="20"/>
                <w:color w:val="auto"/>
              </w:rPr>
            </w:pPr>
            <w:r>
              <w:rPr>
                <w:rFonts w:ascii="Arial" w:cs="Arial" w:eastAsia="Arial" w:hAnsi="Arial"/>
                <w:sz w:val="16"/>
                <w:szCs w:val="16"/>
                <w:i w:val="1"/>
                <w:iCs w:val="1"/>
                <w:color w:val="auto"/>
              </w:rPr>
              <w:t>Long-Term Incentive Plan (LTIP)</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and our shareholders.</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continue"/>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motivate the appropriate behaviors delivering</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Stock options and RSU grant sizes vary based</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superior long-term total shareholder return.</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on Martin Marietta’s annual financial</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Depending on our performance, award can be zero.</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performance of Return on Invested Capital</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spacing w:after="0"/>
              <w:rPr>
                <w:sz w:val="16"/>
                <w:szCs w:val="16"/>
                <w:color w:val="auto"/>
              </w:rPr>
            </w:pP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(ROIC) against Weighted Average Cost of</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spacing w:after="0"/>
              <w:rPr>
                <w:sz w:val="16"/>
                <w:szCs w:val="16"/>
                <w:color w:val="auto"/>
              </w:rPr>
            </w:pP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Capital (WACC) and peer group performance</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spacing w:after="0"/>
              <w:rPr>
                <w:sz w:val="16"/>
                <w:szCs w:val="16"/>
                <w:color w:val="auto"/>
              </w:rPr>
            </w:pP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comparison.</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Stock options (1/3): To motivate behaviors</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Stock price growth above the exercise price.</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increasing shareholder value above the exercise</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price.</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RSUs (2/3): To motivate the behaviors increasing</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Stock price growth.</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shareholder value and promote a base-level of</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executive retention.</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60" w:type="dxa"/>
            <w:vAlign w:val="bottom"/>
            <w:tcBorders>
              <w:left w:val="single" w:sz="8" w:color="47829E"/>
              <w:right w:val="single" w:sz="8" w:color="47829E"/>
            </w:tcBorders>
            <w:shd w:val="clear" w:color="auto" w:fill="DAE6EB"/>
          </w:tcPr>
          <w:p>
            <w:pPr>
              <w:ind w:left="160"/>
              <w:spacing w:after="0" w:line="171" w:lineRule="exact"/>
              <w:rPr>
                <w:sz w:val="20"/>
                <w:szCs w:val="20"/>
                <w:color w:val="auto"/>
              </w:rPr>
            </w:pPr>
            <w:r>
              <w:rPr>
                <w:rFonts w:ascii="Arial" w:cs="Arial" w:eastAsia="Arial" w:hAnsi="Arial"/>
                <w:sz w:val="16"/>
                <w:szCs w:val="16"/>
                <w:b w:val="1"/>
                <w:bCs w:val="1"/>
                <w:color w:val="auto"/>
              </w:rPr>
              <w:t>Health/Welfare Plan and</w:t>
            </w:r>
          </w:p>
        </w:tc>
        <w:tc>
          <w:tcPr>
            <w:tcW w:w="3860" w:type="dxa"/>
            <w:vAlign w:val="bottom"/>
            <w:tcBorders>
              <w:right w:val="single" w:sz="8" w:color="47829E"/>
            </w:tcBorders>
            <w:shd w:val="clear" w:color="auto" w:fill="DAE6EB"/>
          </w:tcPr>
          <w:p>
            <w:pPr>
              <w:ind w:left="100"/>
              <w:spacing w:after="0" w:line="171" w:lineRule="exact"/>
              <w:rPr>
                <w:sz w:val="20"/>
                <w:szCs w:val="20"/>
                <w:color w:val="auto"/>
              </w:rPr>
            </w:pPr>
            <w:r>
              <w:rPr>
                <w:rFonts w:ascii="Arial" w:cs="Arial" w:eastAsia="Arial" w:hAnsi="Arial"/>
                <w:sz w:val="16"/>
                <w:szCs w:val="16"/>
                <w:color w:val="auto"/>
              </w:rPr>
              <w:t>To provide competitive benefits promoting employee</w:t>
            </w:r>
          </w:p>
        </w:tc>
        <w:tc>
          <w:tcPr>
            <w:tcW w:w="3720" w:type="dxa"/>
            <w:vAlign w:val="bottom"/>
            <w:tcBorders>
              <w:right w:val="single" w:sz="8" w:color="47829E"/>
            </w:tcBorders>
            <w:shd w:val="clear" w:color="auto" w:fill="DAE6EB"/>
          </w:tcPr>
          <w:p>
            <w:pPr>
              <w:ind w:left="80"/>
              <w:spacing w:after="0" w:line="171" w:lineRule="exact"/>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209"/>
        </w:trPr>
        <w:tc>
          <w:tcPr>
            <w:tcW w:w="38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b w:val="1"/>
                <w:bCs w:val="1"/>
                <w:color w:val="auto"/>
              </w:rPr>
              <w:t>Retirement Benefits</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health and productivity and support financial</w:t>
            </w:r>
          </w:p>
        </w:tc>
        <w:tc>
          <w:tcPr>
            <w:tcW w:w="3720" w:type="dxa"/>
            <w:vAlign w:val="bottom"/>
            <w:tcBorders>
              <w:right w:val="single" w:sz="8" w:color="47829E"/>
            </w:tcBorders>
            <w:shd w:val="clear" w:color="auto" w:fill="DAE6EB"/>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security.</w:t>
            </w:r>
          </w:p>
        </w:tc>
        <w:tc>
          <w:tcPr>
            <w:tcW w:w="372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Perquisites and Other Benefits</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provide limited business-related benefits, where</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appropriate, and to assist in attracting and retaining</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executive officers.</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b w:val="1"/>
                <w:bCs w:val="1"/>
                <w:color w:val="auto"/>
              </w:rPr>
              <w:t>Change-in-Control Protection</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To provide continuity of management and bridge</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Fixed compensation component; only paid in</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future employment if terminated following a change-</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the event the executive’s employment is</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in-control.</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terminated following a change-in-control.</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Severance Protection</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bridge future employment if terminated other</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Fixed compensation component; only paid in</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than “for cause.”</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the event the executive’s employment is</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bottom w:val="single" w:sz="8" w:color="47829E"/>
              <w:right w:val="single" w:sz="8" w:color="47829E"/>
            </w:tcBorders>
          </w:tcPr>
          <w:p>
            <w:pPr>
              <w:spacing w:after="0"/>
              <w:rPr>
                <w:sz w:val="16"/>
                <w:szCs w:val="16"/>
                <w:color w:val="auto"/>
              </w:rPr>
            </w:pPr>
          </w:p>
        </w:tc>
        <w:tc>
          <w:tcPr>
            <w:tcW w:w="3860" w:type="dxa"/>
            <w:vAlign w:val="bottom"/>
            <w:tcBorders>
              <w:bottom w:val="single" w:sz="8" w:color="47829E"/>
              <w:right w:val="single" w:sz="8" w:color="47829E"/>
            </w:tcBorders>
          </w:tcPr>
          <w:p>
            <w:pPr>
              <w:spacing w:after="0"/>
              <w:rPr>
                <w:sz w:val="16"/>
                <w:szCs w:val="16"/>
                <w:color w:val="auto"/>
              </w:rPr>
            </w:pPr>
          </w:p>
        </w:tc>
        <w:tc>
          <w:tcPr>
            <w:tcW w:w="3720" w:type="dxa"/>
            <w:vAlign w:val="bottom"/>
            <w:tcBorders>
              <w:bottom w:val="single" w:sz="8" w:color="47829E"/>
              <w:right w:val="single" w:sz="8" w:color="47829E"/>
            </w:tcBorders>
          </w:tcPr>
          <w:p>
            <w:pPr>
              <w:ind w:left="80"/>
              <w:spacing w:after="0"/>
              <w:rPr>
                <w:sz w:val="20"/>
                <w:szCs w:val="20"/>
                <w:color w:val="auto"/>
              </w:rPr>
            </w:pPr>
            <w:r>
              <w:rPr>
                <w:rFonts w:ascii="Arial" w:cs="Arial" w:eastAsia="Arial" w:hAnsi="Arial"/>
                <w:sz w:val="16"/>
                <w:szCs w:val="16"/>
                <w:color w:val="auto"/>
              </w:rPr>
              <w:t>terminated other than “for cause.”</w:t>
            </w:r>
          </w:p>
        </w:tc>
        <w:tc>
          <w:tcPr>
            <w:tcW w:w="0" w:type="dxa"/>
            <w:vAlign w:val="bottom"/>
          </w:tcPr>
          <w:p>
            <w:pPr>
              <w:spacing w:after="0"/>
              <w:rPr>
                <w:sz w:val="1"/>
                <w:szCs w:val="1"/>
                <w:color w:val="auto"/>
              </w:rPr>
            </w:pPr>
          </w:p>
        </w:tc>
      </w:tr>
      <w:tr>
        <w:trPr>
          <w:trHeight w:val="341"/>
        </w:trPr>
        <w:tc>
          <w:tcPr>
            <w:tcW w:w="3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20" w:type="dxa"/>
            <w:vAlign w:val="bottom"/>
          </w:tcPr>
          <w:p>
            <w:pPr>
              <w:ind w:left="172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-125730</wp:posOffset>
            </wp:positionV>
            <wp:extent cx="34290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82" w:right="21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Performance-Related Compensation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substantial portion of our CEO’s and executive officers’ compensation is at risk and will vary depending upon our performance. All the opportunities to achieve long-term equity incentives granted to our CEO and other executive officers in 2015 were performance-related, other than the one-time transformation equity grants with 5-year cliff vesting that are discussed below. These consisted of three types of awards, which are discussed more fully: (1) options; (2) restricted stock units pursuant to our long-term incentive program (LTIP Awards); and (3) restricted stock units that consist of performance share units (PSU Awards). More than 82% of our CEO’s total pay opportunity is performance-based “at 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151130</wp:posOffset>
            </wp:positionV>
            <wp:extent cx="4579620" cy="1672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79620" cy="167259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740" w:hanging="300"/>
        <w:spacing w:after="0" w:line="236"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of these awards has a target amount based on enumerated performance measures, and meeting the performance criteria is required to achieve a threshold award and the opportunity to earn a multiple of the target.</w:t>
      </w:r>
    </w:p>
    <w:p>
      <w:pPr>
        <w:spacing w:after="0" w:line="108"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Company does not meet performance expectations, the CEO and other executive officers can receive zero awards.</w:t>
      </w:r>
    </w:p>
    <w:p>
      <w:pPr>
        <w:spacing w:after="0" w:line="103" w:lineRule="exact"/>
        <w:rPr>
          <w:rFonts w:ascii="Arial" w:cs="Arial" w:eastAsia="Arial" w:hAnsi="Arial"/>
          <w:sz w:val="17"/>
          <w:szCs w:val="17"/>
          <w:color w:val="auto"/>
        </w:rPr>
      </w:pPr>
    </w:p>
    <w:p>
      <w:pPr>
        <w:jc w:val="both"/>
        <w:ind w:left="740" w:hanging="300"/>
        <w:spacing w:after="0" w:line="23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entire long-term incentive program (100%) is subject to performance adjustment, whereby the grant-date value of the options and LTIP Awards may be reduced based on prior-year performance and the amount of the PSU Awards that vest may be reduced based on the prior three-year performance. According to data from our independent compensation consultant, we believe this contrasts with our peer group and broader United States market practice, where such adjustments to target awards are not typically observed or, when observed, impact a minority portion of the overall long term award.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Ongoing Corporate Governance Policies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endeavor to maintain good corporate governance standards, including those which impact the oversight of our executive compensation policies and practices. The following policies and practices were in effect during 2015:</w:t>
      </w:r>
    </w:p>
    <w:p>
      <w:pPr>
        <w:spacing w:after="0" w:line="109" w:lineRule="exact"/>
        <w:rPr>
          <w:sz w:val="20"/>
          <w:szCs w:val="20"/>
          <w:color w:val="auto"/>
        </w:rPr>
      </w:pPr>
    </w:p>
    <w:p>
      <w:pPr>
        <w:jc w:val="both"/>
        <w:ind w:left="740" w:hanging="300"/>
        <w:spacing w:after="0" w:line="238"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maintain a majority vote for the election of directors in uncontested elections and plurality voting in any election that is contested.</w:t>
      </w:r>
    </w:p>
    <w:p>
      <w:pPr>
        <w:spacing w:after="0" w:line="107" w:lineRule="exact"/>
        <w:rPr>
          <w:rFonts w:ascii="Arial" w:cs="Arial" w:eastAsia="Arial" w:hAnsi="Arial"/>
          <w:sz w:val="17"/>
          <w:szCs w:val="17"/>
          <w:color w:val="auto"/>
        </w:rPr>
      </w:pPr>
    </w:p>
    <w:p>
      <w:pPr>
        <w:jc w:val="both"/>
        <w:ind w:left="740" w:hanging="300"/>
        <w:spacing w:after="0" w:line="23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leadership structure of our Board consists of a Chairman (who is also our CEO), a Lead Independent Director, who is elected by the independent Directors, and strong Board committee chair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740" w:right="120" w:hanging="300"/>
        <w:spacing w:after="0" w:line="238"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Committee is composed solely of independent Directors who regularly schedule and meet in executive sessions without management present.</w:t>
      </w:r>
    </w:p>
    <w:p>
      <w:pPr>
        <w:spacing w:after="0" w:line="107"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Committee’s independent compensation consultant is retained directly by the Committee.</w:t>
      </w:r>
    </w:p>
    <w:p>
      <w:pPr>
        <w:spacing w:after="0" w:line="103" w:lineRule="exact"/>
        <w:rPr>
          <w:rFonts w:ascii="Arial" w:cs="Arial" w:eastAsia="Arial" w:hAnsi="Arial"/>
          <w:sz w:val="17"/>
          <w:szCs w:val="17"/>
          <w:color w:val="auto"/>
        </w:rPr>
      </w:pPr>
    </w:p>
    <w:p>
      <w:pPr>
        <w:jc w:val="both"/>
        <w:ind w:left="740" w:right="120" w:hanging="300"/>
        <w:spacing w:after="0" w:line="235"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109"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set maximum payout caps on our annual and long-term incentives.</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pay for performance, with 82% of our CEO’s total pay opportunity being performance-based “at risk” compensation.</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cap PSU payments at target if three-year TSR is negative, regardless of our ranking.</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limit perquisites and other benefits.</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perform an annual compensation risk assessment.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Compensation Decision Process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Management and the Committee</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w:t>
      </w:r>
    </w:p>
    <w:p>
      <w:pPr>
        <w:spacing w:after="0" w:line="200" w:lineRule="exact"/>
        <w:rPr>
          <w:sz w:val="20"/>
          <w:szCs w:val="20"/>
          <w:color w:val="auto"/>
        </w:rPr>
      </w:pPr>
    </w:p>
    <w:p>
      <w:pPr>
        <w:sectPr>
          <w:pgSz w:w="11900" w:h="16838" w:orient="portrait"/>
          <w:cols w:equalWidth="0" w:num="2">
            <w:col w:w="5480" w:space="340"/>
            <w:col w:w="5600"/>
          </w:cols>
          <w:pgMar w:left="240" w:top="262" w:right="2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  </w:t>
      </w:r>
      <w:r>
        <w:rPr>
          <w:sz w:val="1"/>
          <w:szCs w:val="1"/>
          <w:color w:val="auto"/>
        </w:rPr>
        <w:drawing>
          <wp:inline distT="0" distB="0" distL="0" distR="0">
            <wp:extent cx="342900" cy="20574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type w:val="continuous"/>
        </w:sectPr>
      </w:pPr>
    </w:p>
    <w:bookmarkStart w:id="34" w:name="page35"/>
    <w:bookmarkEnd w:id="34"/>
    <w:p>
      <w:pPr>
        <w:jc w:val="both"/>
        <w:spacing w:after="0" w:line="238" w:lineRule="auto"/>
        <w:rPr>
          <w:sz w:val="20"/>
          <w:szCs w:val="20"/>
          <w:color w:val="auto"/>
        </w:rPr>
      </w:pPr>
      <w:r>
        <w:rPr>
          <w:rFonts w:ascii="Arial" w:cs="Arial" w:eastAsia="Arial" w:hAnsi="Arial"/>
          <w:sz w:val="17"/>
          <w:szCs w:val="17"/>
          <w:color w:val="auto"/>
        </w:rPr>
        <w:t xml:space="preserve">York Stock Exchange rules, and the Committee operates pursuant to a written charter, a copy of which can be viewed on Martin Marietta’s website at </w:t>
      </w:r>
      <w:r>
        <w:rPr>
          <w:rFonts w:ascii="Arial" w:cs="Arial" w:eastAsia="Arial" w:hAnsi="Arial"/>
          <w:sz w:val="17"/>
          <w:szCs w:val="17"/>
          <w:i w:val="1"/>
          <w:iCs w:val="1"/>
          <w:color w:val="auto"/>
        </w:rPr>
        <w:t>www.martinmarietta.com.</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President—Human Resources,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There are no employment agreements between Martin Marietta and any executive officer of Martin Marietta, including the CEO.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retained an independent compensation consultant in accordance with the Committee’s charter. The consultant reports directly to the Committee. The Committee retains sole authority to hire or terminate the consultant, approve its compensation, determine the nature and scope of services, and evaluate performance. A representative of the compensation consultant attends Committee meetings, either in person or by telephone, as requested, and communicates with the Committee Chair between meetings. The Committee makes all final decisions.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compensation consultant’s specific compensation consultation roles include, but are not limited to, the following:</w:t>
      </w:r>
    </w:p>
    <w:p>
      <w:pPr>
        <w:spacing w:after="0" w:line="104" w:lineRule="exact"/>
        <w:rPr>
          <w:sz w:val="20"/>
          <w:szCs w:val="20"/>
          <w:color w:val="auto"/>
        </w:rPr>
      </w:pPr>
    </w:p>
    <w:p>
      <w:pPr>
        <w:ind w:left="740" w:right="20" w:hanging="300"/>
        <w:spacing w:after="0" w:line="243"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Advise the Committee on executive compensation trends and regulatory developments.</w:t>
      </w:r>
    </w:p>
    <w:p>
      <w:pPr>
        <w:spacing w:after="0" w:line="103" w:lineRule="exact"/>
        <w:rPr>
          <w:rFonts w:ascii="Arial" w:cs="Arial" w:eastAsia="Arial" w:hAnsi="Arial"/>
          <w:sz w:val="17"/>
          <w:szCs w:val="17"/>
          <w:color w:val="auto"/>
        </w:rPr>
      </w:pPr>
    </w:p>
    <w:p>
      <w:pPr>
        <w:jc w:val="both"/>
        <w:ind w:left="740" w:right="20" w:hanging="300"/>
        <w:spacing w:after="0" w:line="238"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a total compensation study for executives compared to the companies in our peer group and recommendations for executive pay.</w:t>
      </w:r>
    </w:p>
    <w:p>
      <w:pPr>
        <w:spacing w:after="0" w:line="107"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advice to the Committee on governance best practices, as well as any other areas of concern or risk.</w:t>
      </w:r>
    </w:p>
    <w:p>
      <w:pPr>
        <w:spacing w:after="0" w:line="103" w:lineRule="exact"/>
        <w:rPr>
          <w:rFonts w:ascii="Arial" w:cs="Arial" w:eastAsia="Arial" w:hAnsi="Arial"/>
          <w:sz w:val="17"/>
          <w:szCs w:val="17"/>
          <w:color w:val="auto"/>
        </w:rPr>
      </w:pPr>
    </w:p>
    <w:p>
      <w:pPr>
        <w:jc w:val="both"/>
        <w:ind w:left="740" w:hanging="300"/>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Serve as a resource to the Committee Chair for meeting agendas and supporting materials in advance of each meeting.</w:t>
      </w:r>
    </w:p>
    <w:p>
      <w:pPr>
        <w:spacing w:after="0" w:line="297"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 and comment on proxy disclosure items, including this CD&amp;A.</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Advise the Committee on management’s pay recommendations.</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w:t>
      </w:r>
    </w:p>
    <w:p>
      <w:pPr>
        <w:spacing w:after="0" w:line="20" w:lineRule="exact"/>
        <w:rPr>
          <w:sz w:val="20"/>
          <w:szCs w:val="20"/>
          <w:color w:val="auto"/>
        </w:rPr>
      </w:pPr>
      <w:r>
        <w:rPr>
          <w:sz w:val="20"/>
          <w:szCs w:val="20"/>
          <w:color w:val="auto"/>
        </w:rPr>
        <w:br w:type="column"/>
      </w:r>
    </w:p>
    <w:p>
      <w:pPr>
        <w:jc w:val="both"/>
        <w:ind w:right="120"/>
        <w:spacing w:after="0" w:line="238" w:lineRule="auto"/>
        <w:rPr>
          <w:sz w:val="20"/>
          <w:szCs w:val="20"/>
          <w:color w:val="auto"/>
        </w:rPr>
      </w:pPr>
      <w:r>
        <w:rPr>
          <w:rFonts w:ascii="Arial" w:cs="Arial" w:eastAsia="Arial" w:hAnsi="Arial"/>
          <w:sz w:val="17"/>
          <w:szCs w:val="17"/>
          <w:color w:val="auto"/>
        </w:rPr>
        <w:t>and is retained by the Committee on all executive compensation matters, and speaks to the Committee and the Chair of the Committee on a regular basis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2"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During 2015, the Committee reviewed its engagement with its independent compensation consultant. Based on this review and a variety of factors, the Committee decided to change consultants from Aon Hewitt to Willis Towers Watson. Thereafter, subsequently in 2015, the consultant working with the Committee moved to Mercer, and the Committee decided to engage Mercer instead of Willis Towers Watson in order to retain the continuity and familiarity with the Corporation’s compensation plans and the work being conducted to redesign the plans. The fees for executive compensation consulting services provided to the Committee for fiscal 2015 from Aon Hewitt, Willis Towers Watson and Mercer, respectively, were $50,197, $139,677 and $4,964.</w:t>
      </w:r>
    </w:p>
    <w:p>
      <w:pPr>
        <w:spacing w:after="0" w:line="208"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The Committee’s independent consultant reviews and evaluates our executive compensation strategy and program to provide guidance to help us accomplish our compensation objectives, consider industry best practices, and remain competitive with the market. More specifically, at the request of the Committee, the consultant (1) assesses the pay competitiveness of our executive officer positions, (2) conducts a business performance analysis to gauge the relative alignment between our performance and executive officer compensation relative to our peer group, (3) reviews our bonus program design, incentive award opportunities, and long-term incentive grant practices, and</w:t>
      </w:r>
    </w:p>
    <w:p>
      <w:pPr>
        <w:spacing w:after="0" w:line="1" w:lineRule="exact"/>
        <w:rPr>
          <w:sz w:val="20"/>
          <w:szCs w:val="20"/>
          <w:color w:val="auto"/>
        </w:rPr>
      </w:pPr>
    </w:p>
    <w:p>
      <w:pPr>
        <w:jc w:val="both"/>
        <w:ind w:right="120" w:firstLine="8"/>
        <w:spacing w:after="0" w:line="234" w:lineRule="auto"/>
        <w:tabs>
          <w:tab w:leader="none" w:pos="303"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summarizes and reports to the Committee on trends, regulatory developments and other factors affecting executive officer compensation. Based on these activities, the consultant makes recommendations regarding, and proposes adjustments to, the design of our executive officer compensation program as it deems appropriate. While the consultant works closely with the appropriate members of our executive management team in performing these activities, he reports directly to and is retained by the Committee on all executive compensation matters. The Committee’s independent compensation consultant periodically attends committee meetings.</w:t>
      </w:r>
    </w:p>
    <w:p>
      <w:pPr>
        <w:spacing w:after="0" w:line="201"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During fiscal 2015, Mercer and its Marsh &amp; McLennan affiliates were also retained by management to provide services unrelated to executive compensation, including property/casualty insurance brokerage services and administration of a risk management information system. The aggregate fees paid for those other services for fiscal 2015 were $374,378. The Committee and the Board did not review or approve the other services provided to us by Mercer and its Marsh &amp; McLennan affiliates, as those services were approved by management in the normal course of business prior to the Committee’s engagement of Mercer to work on its behalf.</w:t>
      </w:r>
    </w:p>
    <w:p>
      <w:pPr>
        <w:spacing w:after="0" w:line="201"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We have been advised by Mercer that the reporting relationship and compensation of the Mercer consultants who perform executive compensation consulting services for our Committee is separate from, and is not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35" w:name="page36"/>
    <w:bookmarkEnd w:id="35"/>
    <w:p>
      <w:pPr>
        <w:jc w:val="both"/>
        <w:spacing w:after="0" w:line="233" w:lineRule="auto"/>
        <w:rPr>
          <w:sz w:val="20"/>
          <w:szCs w:val="20"/>
          <w:color w:val="auto"/>
        </w:rPr>
      </w:pPr>
      <w:r>
        <w:rPr>
          <w:rFonts w:ascii="Arial" w:cs="Arial" w:eastAsia="Arial" w:hAnsi="Arial"/>
          <w:sz w:val="17"/>
          <w:szCs w:val="17"/>
          <w:color w:val="auto"/>
        </w:rPr>
        <w:t>reference to, Mercer’s or Marsh &amp; McLennan’s other lines of business or their other work for us. The Committee considered these separate reporting relationships and compensation structures, the provision of other services to the company by Mercer and Marsh &amp; McLennan, the absence of any business or personal relationship between our officers and directors and the specific Mercer consultants advising the company (other than the consulting relationship with the Committee), Mercer’s Global Business Standards intended to address potential conflict of interests with respect to their executive compensation consulting services, and the other factors required to be considered by applicable SEC and stock exchange rules, in approving the committee’s engagement of Mercer for fiscal 2015. Based on this review, the Committee did not identify that Mercer had any conflicts of interest that would prevent Mercer from independently advising the Committee.</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During fiscal 2015, Willis Towers Watson was also retained by management to provide services unrelated to executive compensation, including services related to annual pension, health and welfare and retiree medical consulting work. The aggregate fees paid for those other services for fiscal 2015 were $765,539. The Committee and the Board did not review or approve the other services provided to us by Willis Towers Watson, as those services were approved by management in the normal course of business prior to the Compensation Committee’s engagement of Willis Towers Watson to work on its behalf. We were advised by Willis Towers Watson that the reporting relationship and compensation of the consultants who perform executive compensation consulting services for our Committee is separate from, and is not determined by reference to, Willis Tower Watson’s other lines of business or their other work for us. The Committee considered these separate reporting relationships and compensation structures, the provision of other services to the company by Willis Towers Watson the absence of any business or personal relationship between our officers and directors and the specific consultants advising the company (other than the consulting relationship with the Committee), Willis Towers Watson’s policies and standards intended to address potential conflict of interests with respect to their executive compensation consulting services, and the other factors required to be considered by applicable SEC and stock exchange rules, in approving the committee’s engagement of Willis Towers Watson in 2015. The Committee discussed the independence of Willis Towers Watson and believed that Willis Tower Watson’s ability to provide competent and independent advice relating to executive or director compensation matters was not affected by the fact that Willis Towers Watson also provide certain non-executive compensation consulting services to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sz w:val="1"/>
          <w:szCs w:val="1"/>
          <w:color w:val="auto"/>
        </w:rPr>
        <w:drawing>
          <wp:inline distT="0" distB="0" distL="0" distR="0">
            <wp:extent cx="342900" cy="20574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7"/>
          <w:szCs w:val="17"/>
          <w:color w:val="auto"/>
        </w:rPr>
        <w:t>Aon Hewitt provided no services to the company other than independent compensation consulting in connection with 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Committee has considered and assessed all relevant factors, including but not limited to those set forth in Rule 10C-1(b)(4)(i) through</w:t>
      </w:r>
    </w:p>
    <w:p>
      <w:pPr>
        <w:jc w:val="both"/>
        <w:ind w:firstLine="8"/>
        <w:spacing w:after="0" w:line="235" w:lineRule="auto"/>
        <w:tabs>
          <w:tab w:leader="none" w:pos="2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under the Exchange Act, that could give rise to a potential conflict of interest with respect to the independent compensation consultants that provided services in 2015. Based on this review, there are no conflicts of interest raised by the work performed by any of Aon Hewitt, Willis Towers Watson or Mercer.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Peer Companies and Competitive Market Data</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The Committee considered peer groups for three elements of the executive compensation program in 2015: (1) the </w:t>
      </w:r>
      <w:r>
        <w:rPr>
          <w:rFonts w:ascii="Arial" w:cs="Arial" w:eastAsia="Arial" w:hAnsi="Arial"/>
          <w:sz w:val="17"/>
          <w:szCs w:val="17"/>
          <w:i w:val="1"/>
          <w:iCs w:val="1"/>
          <w:color w:val="auto"/>
        </w:rPr>
        <w:t>Compensation Peer</w:t>
      </w:r>
      <w:r>
        <w:rPr>
          <w:rFonts w:ascii="Arial" w:cs="Arial" w:eastAsia="Arial" w:hAnsi="Arial"/>
          <w:sz w:val="17"/>
          <w:szCs w:val="17"/>
          <w:color w:val="auto"/>
        </w:rPr>
        <w:t xml:space="preserve"> </w:t>
      </w:r>
      <w:r>
        <w:rPr>
          <w:rFonts w:ascii="Arial" w:cs="Arial" w:eastAsia="Arial" w:hAnsi="Arial"/>
          <w:sz w:val="17"/>
          <w:szCs w:val="17"/>
          <w:i w:val="1"/>
          <w:iCs w:val="1"/>
          <w:color w:val="auto"/>
        </w:rPr>
        <w:t>Group</w:t>
      </w:r>
      <w:r>
        <w:rPr>
          <w:rFonts w:ascii="Arial" w:cs="Arial" w:eastAsia="Arial" w:hAnsi="Arial"/>
          <w:sz w:val="17"/>
          <w:szCs w:val="17"/>
          <w:color w:val="auto"/>
        </w:rPr>
        <w:t>, consisting of 16 companies that compete with us for talent;</w:t>
      </w:r>
    </w:p>
    <w:p>
      <w:pPr>
        <w:jc w:val="both"/>
        <w:ind w:firstLine="8"/>
        <w:spacing w:after="0" w:line="234" w:lineRule="auto"/>
        <w:tabs>
          <w:tab w:leader="none" w:pos="28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Performance Peer Group</w:t>
      </w:r>
      <w:r>
        <w:rPr>
          <w:rFonts w:ascii="Arial" w:cs="Arial" w:eastAsia="Arial" w:hAnsi="Arial"/>
          <w:sz w:val="17"/>
          <w:szCs w:val="17"/>
          <w:color w:val="auto"/>
        </w:rPr>
        <w:t xml:space="preserve">, consisting of seven companies that compete with us in producing and selling construction materials and is used to assess the comparative financial performance of the Company; and (3) the </w:t>
      </w:r>
      <w:r>
        <w:rPr>
          <w:rFonts w:ascii="Arial" w:cs="Arial" w:eastAsia="Arial" w:hAnsi="Arial"/>
          <w:sz w:val="17"/>
          <w:szCs w:val="17"/>
          <w:i w:val="1"/>
          <w:iCs w:val="1"/>
          <w:color w:val="auto"/>
        </w:rPr>
        <w:t>TSR Peer Group</w:t>
      </w:r>
      <w:r>
        <w:rPr>
          <w:rFonts w:ascii="Arial" w:cs="Arial" w:eastAsia="Arial" w:hAnsi="Arial"/>
          <w:sz w:val="17"/>
          <w:szCs w:val="17"/>
          <w:color w:val="auto"/>
        </w:rPr>
        <w:t>, consisting of 23 companies that the Committee believes compete with us for investors and is used to assess the achievement of total shareholder return measured for the PSU Awards.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section only describes the Compensation Peer Group. The other two peer groups are discussed below in the descriptions of the other elements of our compensation program.</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110" w:lineRule="exact"/>
        <w:rPr>
          <w:sz w:val="20"/>
          <w:szCs w:val="20"/>
          <w:color w:val="auto"/>
        </w:rPr>
      </w:pPr>
    </w:p>
    <w:p>
      <w:pPr>
        <w:ind w:left="1080" w:right="20" w:hanging="383"/>
        <w:spacing w:after="0" w:line="243"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Company size (approximately 0.4x to 2.5x Martin Marietta’s annual revenues);</w:t>
      </w:r>
    </w:p>
    <w:p>
      <w:pPr>
        <w:spacing w:after="0" w:line="103" w:lineRule="exact"/>
        <w:rPr>
          <w:rFonts w:ascii="Arial" w:cs="Arial" w:eastAsia="Arial" w:hAnsi="Arial"/>
          <w:sz w:val="17"/>
          <w:szCs w:val="17"/>
          <w:color w:val="auto"/>
        </w:rPr>
      </w:pPr>
    </w:p>
    <w:p>
      <w:pPr>
        <w:ind w:left="1080" w:right="20" w:hanging="383"/>
        <w:spacing w:after="0" w:line="243"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Companies in similar industries based on GICS code classifications;</w:t>
      </w:r>
    </w:p>
    <w:p>
      <w:pPr>
        <w:spacing w:after="0" w:line="103" w:lineRule="exact"/>
        <w:rPr>
          <w:rFonts w:ascii="Arial" w:cs="Arial" w:eastAsia="Arial" w:hAnsi="Arial"/>
          <w:sz w:val="17"/>
          <w:szCs w:val="17"/>
          <w:color w:val="auto"/>
        </w:rPr>
      </w:pPr>
    </w:p>
    <w:p>
      <w:pPr>
        <w:ind w:left="1080" w:hanging="383"/>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Direct competitors for business and management talent;</w:t>
      </w:r>
    </w:p>
    <w:p>
      <w:pPr>
        <w:spacing w:after="0" w:line="115" w:lineRule="exact"/>
        <w:rPr>
          <w:rFonts w:ascii="Arial" w:cs="Arial" w:eastAsia="Arial" w:hAnsi="Arial"/>
          <w:sz w:val="17"/>
          <w:szCs w:val="17"/>
          <w:color w:val="auto"/>
        </w:rPr>
      </w:pPr>
    </w:p>
    <w:p>
      <w:pPr>
        <w:ind w:left="1080" w:hanging="383"/>
        <w:spacing w:after="0" w:line="243"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Companies covered by the investment analysts that track Martin Marietta; and</w:t>
      </w:r>
    </w:p>
    <w:p>
      <w:pPr>
        <w:spacing w:after="0" w:line="103" w:lineRule="exact"/>
        <w:rPr>
          <w:rFonts w:ascii="Arial" w:cs="Arial" w:eastAsia="Arial" w:hAnsi="Arial"/>
          <w:sz w:val="17"/>
          <w:szCs w:val="17"/>
          <w:color w:val="auto"/>
        </w:rPr>
      </w:pPr>
    </w:p>
    <w:p>
      <w:pPr>
        <w:ind w:left="1080" w:hanging="383"/>
        <w:spacing w:after="0" w:line="243"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Companies that include Martin Marietta in their compensation peer group.</w:t>
      </w:r>
    </w:p>
    <w:p>
      <w:pPr>
        <w:sectPr>
          <w:pgSz w:w="11900" w:h="16838" w:orient="portrait"/>
          <w:cols w:equalWidth="0" w:num="2">
            <w:col w:w="5480" w:space="340"/>
            <w:col w:w="5480"/>
          </w:cols>
          <w:pgMar w:left="240" w:top="336"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companies comprised our Compensation Peer Group for 2015 base salary, bonus, and long-term incentive pay decisions:</w:t>
      </w:r>
    </w:p>
    <w:p>
      <w:pPr>
        <w:sectPr>
          <w:pgSz w:w="11900" w:h="16838" w:orient="portrait"/>
          <w:cols w:equalWidth="0" w:num="1">
            <w:col w:w="11420"/>
          </w:cols>
          <w:pgMar w:left="240" w:top="282" w:right="239" w:bottom="1440" w:gutter="0" w:footer="0" w:header="0"/>
        </w:sect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Albermarle Corporation</w:t>
      </w:r>
    </w:p>
    <w:p>
      <w:pPr>
        <w:ind w:left="700"/>
        <w:spacing w:after="0" w:line="232" w:lineRule="auto"/>
        <w:rPr>
          <w:sz w:val="20"/>
          <w:szCs w:val="20"/>
          <w:color w:val="auto"/>
        </w:rPr>
      </w:pPr>
      <w:r>
        <w:rPr>
          <w:rFonts w:ascii="Arial" w:cs="Arial" w:eastAsia="Arial" w:hAnsi="Arial"/>
          <w:sz w:val="17"/>
          <w:szCs w:val="17"/>
          <w:color w:val="auto"/>
        </w:rPr>
        <w:t>Armstrong World Industries</w:t>
      </w:r>
    </w:p>
    <w:p>
      <w:pPr>
        <w:ind w:left="700"/>
        <w:spacing w:after="0" w:line="232" w:lineRule="auto"/>
        <w:rPr>
          <w:sz w:val="20"/>
          <w:szCs w:val="20"/>
          <w:color w:val="auto"/>
        </w:rPr>
      </w:pPr>
      <w:r>
        <w:rPr>
          <w:rFonts w:ascii="Arial" w:cs="Arial" w:eastAsia="Arial" w:hAnsi="Arial"/>
          <w:sz w:val="17"/>
          <w:szCs w:val="17"/>
          <w:color w:val="auto"/>
        </w:rPr>
        <w:t>Compass Minerals International</w:t>
      </w:r>
    </w:p>
    <w:p>
      <w:pPr>
        <w:ind w:left="700"/>
        <w:spacing w:after="0" w:line="232" w:lineRule="auto"/>
        <w:rPr>
          <w:sz w:val="20"/>
          <w:szCs w:val="20"/>
          <w:color w:val="auto"/>
        </w:rPr>
      </w:pPr>
      <w:r>
        <w:rPr>
          <w:rFonts w:ascii="Arial" w:cs="Arial" w:eastAsia="Arial" w:hAnsi="Arial"/>
          <w:sz w:val="17"/>
          <w:szCs w:val="17"/>
          <w:color w:val="auto"/>
        </w:rPr>
        <w:t>CONSOL Energy, Inc.</w:t>
      </w:r>
    </w:p>
    <w:p>
      <w:pPr>
        <w:ind w:left="700"/>
        <w:spacing w:after="0" w:line="232" w:lineRule="auto"/>
        <w:rPr>
          <w:sz w:val="20"/>
          <w:szCs w:val="20"/>
          <w:color w:val="auto"/>
        </w:rPr>
      </w:pPr>
      <w:r>
        <w:rPr>
          <w:rFonts w:ascii="Arial" w:cs="Arial" w:eastAsia="Arial" w:hAnsi="Arial"/>
          <w:sz w:val="17"/>
          <w:szCs w:val="17"/>
          <w:color w:val="auto"/>
        </w:rPr>
        <w:t>FMC Corporation</w:t>
      </w:r>
    </w:p>
    <w:p>
      <w:pPr>
        <w:ind w:left="700"/>
        <w:spacing w:after="0" w:line="232" w:lineRule="auto"/>
        <w:rPr>
          <w:sz w:val="20"/>
          <w:szCs w:val="20"/>
          <w:color w:val="auto"/>
        </w:rPr>
      </w:pPr>
      <w:r>
        <w:rPr>
          <w:rFonts w:ascii="Arial" w:cs="Arial" w:eastAsia="Arial" w:hAnsi="Arial"/>
          <w:sz w:val="17"/>
          <w:szCs w:val="17"/>
          <w:color w:val="auto"/>
        </w:rPr>
        <w:t>Granite Construction Inc.</w:t>
      </w:r>
    </w:p>
    <w:p>
      <w:pPr>
        <w:ind w:left="700"/>
        <w:spacing w:after="0" w:line="232" w:lineRule="auto"/>
        <w:rPr>
          <w:sz w:val="20"/>
          <w:szCs w:val="20"/>
          <w:color w:val="auto"/>
        </w:rPr>
      </w:pPr>
      <w:r>
        <w:rPr>
          <w:rFonts w:ascii="Arial" w:cs="Arial" w:eastAsia="Arial" w:hAnsi="Arial"/>
          <w:sz w:val="17"/>
          <w:szCs w:val="17"/>
          <w:color w:val="auto"/>
        </w:rPr>
        <w:t>Louisiana- Pacific Corporation</w:t>
      </w:r>
    </w:p>
    <w:p>
      <w:pPr>
        <w:ind w:left="700"/>
        <w:spacing w:after="0" w:line="232" w:lineRule="auto"/>
        <w:rPr>
          <w:sz w:val="20"/>
          <w:szCs w:val="20"/>
          <w:color w:val="auto"/>
        </w:rPr>
      </w:pPr>
      <w:r>
        <w:rPr>
          <w:rFonts w:ascii="Arial" w:cs="Arial" w:eastAsia="Arial" w:hAnsi="Arial"/>
          <w:sz w:val="17"/>
          <w:szCs w:val="17"/>
          <w:color w:val="auto"/>
        </w:rPr>
        <w:t>Masco Corporation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Nucor Corporation</w:t>
      </w:r>
    </w:p>
    <w:p>
      <w:pPr>
        <w:spacing w:after="0" w:line="29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Committee studies competitive total compensation data from various sources, including proxy statements of the peer group. Since proxy statements do not provide precise comparisons by position to our executive officers, the Committee also in 2015 took into consideration published independent compensation surveys of companies with revenue in the range of $2.0 billion to $3.0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w:t>
      </w:r>
      <w:r>
        <w:rPr>
          <w:rFonts w:ascii="Arial" w:cs="Arial" w:eastAsia="Arial" w:hAnsi="Arial"/>
          <w:sz w:val="14"/>
          <w:szCs w:val="14"/>
          <w:color w:val="auto"/>
        </w:rPr>
        <w:t>th</w:t>
      </w:r>
      <w:r>
        <w:rPr>
          <w:rFonts w:ascii="Arial" w:cs="Arial" w:eastAsia="Arial" w:hAnsi="Arial"/>
          <w:sz w:val="17"/>
          <w:szCs w:val="17"/>
          <w:color w:val="auto"/>
        </w:rPr>
        <w:t xml:space="preserve"> percentile for total compensation is a key reference point for the Committee. On average, the target for our NEO total compensation opportunities is competitively positioned within a reasonable range of the size-adjusted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CEO Compensation</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the January Committee meeting, without the CEO present, the Committee reviews and evaluates CEO performance, and determines achievement level for the prior year. The Committee also reviews competitive compensation data. At this meeting, the Committee discusses salary and annual incentive pay recommendations for the CEO, as well as an evaluation of the CEO’s performance, with the independent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Owens Corning</w:t>
      </w:r>
    </w:p>
    <w:p>
      <w:pPr>
        <w:ind w:left="920"/>
        <w:spacing w:after="0" w:line="232" w:lineRule="auto"/>
        <w:rPr>
          <w:sz w:val="20"/>
          <w:szCs w:val="20"/>
          <w:color w:val="auto"/>
        </w:rPr>
      </w:pPr>
      <w:r>
        <w:rPr>
          <w:rFonts w:ascii="Arial" w:cs="Arial" w:eastAsia="Arial" w:hAnsi="Arial"/>
          <w:sz w:val="17"/>
          <w:szCs w:val="17"/>
          <w:color w:val="auto"/>
        </w:rPr>
        <w:t>Peabody Energy Corp.</w:t>
      </w:r>
    </w:p>
    <w:p>
      <w:pPr>
        <w:ind w:left="920"/>
        <w:spacing w:after="0" w:line="232" w:lineRule="auto"/>
        <w:rPr>
          <w:sz w:val="20"/>
          <w:szCs w:val="20"/>
          <w:color w:val="auto"/>
        </w:rPr>
      </w:pPr>
      <w:r>
        <w:rPr>
          <w:rFonts w:ascii="Arial" w:cs="Arial" w:eastAsia="Arial" w:hAnsi="Arial"/>
          <w:sz w:val="17"/>
          <w:szCs w:val="17"/>
          <w:color w:val="auto"/>
        </w:rPr>
        <w:t>USG Corp.</w:t>
      </w:r>
    </w:p>
    <w:p>
      <w:pPr>
        <w:ind w:left="920"/>
        <w:spacing w:after="0" w:line="232" w:lineRule="auto"/>
        <w:rPr>
          <w:sz w:val="20"/>
          <w:szCs w:val="20"/>
          <w:color w:val="auto"/>
        </w:rPr>
      </w:pPr>
      <w:r>
        <w:rPr>
          <w:rFonts w:ascii="Arial" w:cs="Arial" w:eastAsia="Arial" w:hAnsi="Arial"/>
          <w:sz w:val="17"/>
          <w:szCs w:val="17"/>
          <w:color w:val="auto"/>
        </w:rPr>
        <w:t>The Valspar Corporation</w:t>
      </w:r>
    </w:p>
    <w:p>
      <w:pPr>
        <w:ind w:left="920"/>
        <w:spacing w:after="0" w:line="232" w:lineRule="auto"/>
        <w:rPr>
          <w:sz w:val="20"/>
          <w:szCs w:val="20"/>
          <w:color w:val="auto"/>
        </w:rPr>
      </w:pPr>
      <w:r>
        <w:rPr>
          <w:rFonts w:ascii="Arial" w:cs="Arial" w:eastAsia="Arial" w:hAnsi="Arial"/>
          <w:sz w:val="17"/>
          <w:szCs w:val="17"/>
          <w:color w:val="auto"/>
        </w:rPr>
        <w:t>Vulcan Materials Company</w:t>
      </w:r>
    </w:p>
    <w:p>
      <w:pPr>
        <w:ind w:left="920"/>
        <w:spacing w:after="0" w:line="232" w:lineRule="auto"/>
        <w:rPr>
          <w:sz w:val="20"/>
          <w:szCs w:val="20"/>
          <w:color w:val="auto"/>
        </w:rPr>
      </w:pPr>
      <w:r>
        <w:rPr>
          <w:rFonts w:ascii="Arial" w:cs="Arial" w:eastAsia="Arial" w:hAnsi="Arial"/>
          <w:sz w:val="17"/>
          <w:szCs w:val="17"/>
          <w:color w:val="auto"/>
        </w:rPr>
        <w:t>W. R. Grace &amp; Co.</w:t>
      </w:r>
    </w:p>
    <w:p>
      <w:pPr>
        <w:ind w:left="920"/>
        <w:spacing w:after="0" w:line="232" w:lineRule="auto"/>
        <w:rPr>
          <w:sz w:val="20"/>
          <w:szCs w:val="20"/>
          <w:color w:val="auto"/>
        </w:rPr>
      </w:pPr>
      <w:r>
        <w:rPr>
          <w:rFonts w:ascii="Arial" w:cs="Arial" w:eastAsia="Arial" w:hAnsi="Arial"/>
          <w:sz w:val="17"/>
          <w:szCs w:val="17"/>
          <w:color w:val="auto"/>
        </w:rPr>
        <w:t>Westlake Chemical Corporation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Weyerhaeuser Company</w:t>
      </w:r>
    </w:p>
    <w:p>
      <w:pPr>
        <w:spacing w:after="0" w:line="200" w:lineRule="exact"/>
        <w:rPr>
          <w:sz w:val="20"/>
          <w:szCs w:val="20"/>
          <w:color w:val="auto"/>
        </w:rPr>
      </w:pPr>
    </w:p>
    <w:p>
      <w:pPr>
        <w:spacing w:after="0" w:line="28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members of the Board. In 2015, the Committee reviewed and discussed the target PSU grant size for the CEO at its January meeting, which was also discussed with the full Board. At the May Committee meeting, the Committee approves LTIP stock options and RSUs, based on a thorough review of financial performance versus the Performance Peer Group consisting of seven global competitors and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Risk Assessment</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We perform a thorough annual review of our compensation program structure, which is reviewed in detail with the Committee. We believe our executive pay is reasonable and provides appropriate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108" w:lineRule="exact"/>
        <w:rPr>
          <w:sz w:val="20"/>
          <w:szCs w:val="20"/>
          <w:color w:val="auto"/>
        </w:rPr>
      </w:pPr>
    </w:p>
    <w:p>
      <w:pPr>
        <w:jc w:val="both"/>
        <w:ind w:left="740" w:right="120" w:hanging="300"/>
        <w:spacing w:after="0" w:line="23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annual bonus plan does not provide payment for poor individual or corporate performance, regardless of whether the failure to achieve target was outside management’s control.</w:t>
      </w:r>
    </w:p>
    <w:p>
      <w:pPr>
        <w:spacing w:after="0" w:line="107" w:lineRule="exact"/>
        <w:rPr>
          <w:rFonts w:ascii="Arial" w:cs="Arial" w:eastAsia="Arial" w:hAnsi="Arial"/>
          <w:sz w:val="17"/>
          <w:szCs w:val="17"/>
          <w:color w:val="auto"/>
        </w:rPr>
      </w:pPr>
    </w:p>
    <w:p>
      <w:pPr>
        <w:ind w:left="740" w:right="140" w:hanging="300"/>
        <w:spacing w:after="0" w:line="243"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is a cap on the annual bonus, even for spectacular performance.</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are caps on the long-term equity awards, even if the required performance-related criteria are exceeded.</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majority of the named executive officers’ compensation is long-term, with equity grants vesting over three to five years, depending on the plan.</w:t>
      </w:r>
    </w:p>
    <w:p>
      <w:pPr>
        <w:spacing w:after="0" w:line="107" w:lineRule="exact"/>
        <w:rPr>
          <w:rFonts w:ascii="Arial" w:cs="Arial" w:eastAsia="Arial" w:hAnsi="Arial"/>
          <w:sz w:val="17"/>
          <w:szCs w:val="17"/>
          <w:color w:val="auto"/>
        </w:rPr>
      </w:pPr>
    </w:p>
    <w:p>
      <w:pPr>
        <w:jc w:val="both"/>
        <w:ind w:left="740" w:right="140" w:hanging="300"/>
        <w:spacing w:after="0" w:line="23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compensation is not based on highly-leveraged short-term incentives that encourage high risk investments at the expense of long-term value.</w:t>
      </w:r>
    </w:p>
    <w:p>
      <w:pPr>
        <w:spacing w:after="0" w:line="107"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Long-term compensation to executive officers is based on specific performance measures that balance long-term growth and returns.</w:t>
      </w:r>
    </w:p>
    <w:p>
      <w:pPr>
        <w:spacing w:after="0" w:line="107" w:lineRule="exact"/>
        <w:rPr>
          <w:rFonts w:ascii="Arial" w:cs="Arial" w:eastAsia="Arial" w:hAnsi="Arial"/>
          <w:sz w:val="17"/>
          <w:szCs w:val="17"/>
          <w:color w:val="auto"/>
        </w:rPr>
      </w:pPr>
    </w:p>
    <w:p>
      <w:pPr>
        <w:jc w:val="both"/>
        <w:ind w:left="740" w:right="120" w:hanging="300"/>
        <w:spacing w:after="0" w:line="236"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Committee uses benchmarking data and the advice of its independent compensation consultant to keep compensation in line with typical market practices and appropriate to Martin Marietta’s needs.</w:t>
      </w:r>
    </w:p>
    <w:p>
      <w:pPr>
        <w:spacing w:after="0" w:line="108" w:lineRule="exact"/>
        <w:rPr>
          <w:rFonts w:ascii="Arial" w:cs="Arial" w:eastAsia="Arial" w:hAnsi="Arial"/>
          <w:sz w:val="17"/>
          <w:szCs w:val="17"/>
          <w:color w:val="auto"/>
        </w:rPr>
      </w:pPr>
    </w:p>
    <w:p>
      <w:pPr>
        <w:ind w:left="740" w:hanging="300"/>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use a balanced portfolio of long-term incentive programs.</w:t>
      </w:r>
    </w:p>
    <w:p>
      <w:pPr>
        <w:spacing w:after="0" w:line="200" w:lineRule="exact"/>
        <w:rPr>
          <w:sz w:val="20"/>
          <w:szCs w:val="20"/>
          <w:color w:val="auto"/>
        </w:rPr>
      </w:pPr>
    </w:p>
    <w:p>
      <w:pPr>
        <w:sectPr>
          <w:pgSz w:w="11900" w:h="16838" w:orient="portrait"/>
          <w:cols w:equalWidth="0" w:num="2">
            <w:col w:w="5480" w:space="340"/>
            <w:col w:w="5600"/>
          </w:cols>
          <w:pgMar w:left="240" w:top="282" w:right="239" w:bottom="1440" w:gutter="0" w:footer="0" w:header="0"/>
          <w:type w:val="continuous"/>
        </w:sectPr>
      </w:pPr>
    </w:p>
    <w:p>
      <w:pPr>
        <w:spacing w:after="0" w:line="73"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Considerations Regarding 2015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chart summarizes the </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compensation in our 2015 executive compensation program:</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shd w:val="clear" w:color="auto" w:fill="47829E"/>
          </w:tcPr>
          <w:p>
            <w:pPr>
              <w:ind w:left="160"/>
              <w:spacing w:after="0"/>
              <w:rPr>
                <w:sz w:val="20"/>
                <w:szCs w:val="20"/>
                <w:color w:val="auto"/>
              </w:rPr>
            </w:pPr>
            <w:r>
              <w:rPr>
                <w:rFonts w:ascii="Arial" w:cs="Arial" w:eastAsia="Arial" w:hAnsi="Arial"/>
                <w:sz w:val="17"/>
                <w:szCs w:val="17"/>
                <w:b w:val="1"/>
                <w:bCs w:val="1"/>
                <w:color w:val="FFFFFF"/>
              </w:rPr>
              <w:t>Pay Component</w:t>
            </w:r>
          </w:p>
        </w:tc>
        <w:tc>
          <w:tcPr>
            <w:tcW w:w="9540" w:type="dxa"/>
            <w:vAlign w:val="bottom"/>
            <w:gridSpan w:val="2"/>
            <w:shd w:val="clear" w:color="auto" w:fill="47829E"/>
          </w:tcPr>
          <w:p>
            <w:pPr>
              <w:ind w:left="420"/>
              <w:spacing w:after="0"/>
              <w:rPr>
                <w:sz w:val="20"/>
                <w:szCs w:val="20"/>
                <w:color w:val="auto"/>
              </w:rPr>
            </w:pPr>
            <w:r>
              <w:rPr>
                <w:rFonts w:ascii="Arial" w:cs="Arial" w:eastAsia="Arial" w:hAnsi="Arial"/>
                <w:sz w:val="17"/>
                <w:szCs w:val="17"/>
                <w:b w:val="1"/>
                <w:bCs w:val="1"/>
                <w:color w:val="FFFFFF"/>
              </w:rPr>
              <w:t>Summary</w:t>
            </w:r>
          </w:p>
        </w:tc>
      </w:tr>
      <w:tr>
        <w:trPr>
          <w:trHeight w:val="183"/>
        </w:trPr>
        <w:tc>
          <w:tcPr>
            <w:tcW w:w="190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Base Salary</w:t>
            </w:r>
          </w:p>
        </w:tc>
        <w:tc>
          <w:tcPr>
            <w:tcW w:w="660" w:type="dxa"/>
            <w:vAlign w:val="bottom"/>
          </w:tcPr>
          <w:p>
            <w:pPr>
              <w:ind w:left="500"/>
              <w:spacing w:after="0" w:line="183" w:lineRule="exact"/>
              <w:rPr>
                <w:sz w:val="20"/>
                <w:szCs w:val="20"/>
                <w:color w:val="auto"/>
              </w:rPr>
            </w:pPr>
            <w:r>
              <w:rPr>
                <w:rFonts w:ascii="Arial" w:cs="Arial" w:eastAsia="Arial" w:hAnsi="Arial"/>
                <w:sz w:val="17"/>
                <w:szCs w:val="17"/>
                <w:color w:val="auto"/>
              </w:rPr>
              <w:t>•</w:t>
            </w:r>
          </w:p>
        </w:tc>
        <w:tc>
          <w:tcPr>
            <w:tcW w:w="8880" w:type="dxa"/>
            <w:vAlign w:val="bottom"/>
          </w:tcPr>
          <w:p>
            <w:pPr>
              <w:ind w:left="260"/>
              <w:spacing w:after="0" w:line="183" w:lineRule="exact"/>
              <w:rPr>
                <w:sz w:val="20"/>
                <w:szCs w:val="20"/>
                <w:color w:val="auto"/>
              </w:rPr>
            </w:pPr>
            <w:r>
              <w:rPr>
                <w:rFonts w:ascii="Arial" w:cs="Arial" w:eastAsia="Arial" w:hAnsi="Arial"/>
                <w:sz w:val="17"/>
                <w:szCs w:val="17"/>
                <w:color w:val="auto"/>
              </w:rPr>
              <w:t>At the January 2015 meeting, the Committee reviewed competitive market data and individual performance</w:t>
            </w:r>
          </w:p>
        </w:tc>
      </w:tr>
      <w:tr>
        <w:trPr>
          <w:trHeight w:val="189"/>
        </w:trPr>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80" w:type="dxa"/>
            <w:vAlign w:val="bottom"/>
          </w:tcPr>
          <w:p>
            <w:pPr>
              <w:ind w:left="100"/>
              <w:spacing w:after="0" w:line="189" w:lineRule="exact"/>
              <w:rPr>
                <w:sz w:val="20"/>
                <w:szCs w:val="20"/>
                <w:color w:val="auto"/>
              </w:rPr>
            </w:pPr>
            <w:r>
              <w:rPr>
                <w:rFonts w:ascii="Arial" w:cs="Arial" w:eastAsia="Arial" w:hAnsi="Arial"/>
                <w:sz w:val="17"/>
                <w:szCs w:val="17"/>
                <w:color w:val="auto"/>
              </w:rPr>
              <w:t>evaluations.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54875" cy="3155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3155950"/>
                    </a:xfrm>
                    <a:prstGeom prst="rect">
                      <a:avLst/>
                    </a:prstGeom>
                    <a:noFill/>
                  </pic:spPr>
                </pic:pic>
              </a:graphicData>
            </a:graphic>
          </wp:anchor>
        </w:drawing>
      </w:r>
    </w:p>
    <w:p>
      <w:pPr>
        <w:ind w:left="2700" w:hanging="297"/>
        <w:spacing w:after="0" w:line="232" w:lineRule="auto"/>
        <w:tabs>
          <w:tab w:leader="none" w:pos="2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Committee approved base salary increases as follows:</w:t>
      </w:r>
    </w:p>
    <w:p>
      <w:pPr>
        <w:ind w:left="3000" w:right="160" w:hanging="255"/>
        <w:spacing w:after="0" w:line="232" w:lineRule="auto"/>
        <w:tabs>
          <w:tab w:leader="none" w:pos="3050" w:val="left"/>
        </w:tabs>
        <w:numPr>
          <w:ilvl w:val="1"/>
          <w:numId w:val="47"/>
        </w:numPr>
        <w:rPr>
          <w:rFonts w:ascii="Arial" w:cs="Arial" w:eastAsia="Arial" w:hAnsi="Arial"/>
          <w:sz w:val="17"/>
          <w:szCs w:val="17"/>
          <w:color w:val="auto"/>
        </w:rPr>
      </w:pPr>
      <w:r>
        <w:rPr>
          <w:rFonts w:ascii="Arial" w:cs="Arial" w:eastAsia="Arial" w:hAnsi="Arial"/>
          <w:sz w:val="17"/>
          <w:szCs w:val="17"/>
          <w:color w:val="auto"/>
        </w:rPr>
        <w:t>Mr. Nye: 3.2% increase, based on his excellent achievements as CEO since 2010 in a challenging economic environment, and specifically his performance in 2015.</w:t>
      </w:r>
    </w:p>
    <w:p>
      <w:pPr>
        <w:ind w:left="3000" w:right="160" w:hanging="255"/>
        <w:spacing w:after="0"/>
        <w:tabs>
          <w:tab w:leader="none" w:pos="3236" w:val="left"/>
        </w:tabs>
        <w:numPr>
          <w:ilvl w:val="1"/>
          <w:numId w:val="47"/>
        </w:numPr>
        <w:rPr>
          <w:rFonts w:ascii="Arial" w:cs="Arial" w:eastAsia="Arial" w:hAnsi="Arial"/>
          <w:sz w:val="17"/>
          <w:szCs w:val="17"/>
          <w:color w:val="auto"/>
        </w:rPr>
      </w:pPr>
      <w:r>
        <w:rPr>
          <w:rFonts w:ascii="Arial" w:cs="Arial" w:eastAsia="Arial" w:hAnsi="Arial"/>
          <w:sz w:val="17"/>
          <w:szCs w:val="17"/>
          <w:color w:val="auto"/>
        </w:rPr>
        <w:t>Other NEOs: 3.0% to 3.3% increases, based on a review of competitive market data and individual performance evaluations.</w:t>
      </w:r>
    </w:p>
    <w:tbl>
      <w:tblPr>
        <w:tblLayout w:type="fixed"/>
        <w:tblInd w:w="0" w:type="dxa"/>
        <w:tblCellMar>
          <w:top w:w="0" w:type="dxa"/>
          <w:left w:w="0" w:type="dxa"/>
          <w:bottom w:w="0" w:type="dxa"/>
          <w:right w:w="0" w:type="dxa"/>
        </w:tblCellMar>
      </w:tblPr>
      <w:tr>
        <w:trPr>
          <w:trHeight w:val="170"/>
        </w:trPr>
        <w:tc>
          <w:tcPr>
            <w:tcW w:w="2120" w:type="dxa"/>
            <w:vAlign w:val="bottom"/>
            <w:shd w:val="clear" w:color="auto" w:fill="DAE6EB"/>
          </w:tcPr>
          <w:p>
            <w:pPr>
              <w:ind w:left="160"/>
              <w:spacing w:after="0" w:line="170" w:lineRule="exact"/>
              <w:rPr>
                <w:sz w:val="20"/>
                <w:szCs w:val="20"/>
                <w:color w:val="auto"/>
              </w:rPr>
            </w:pPr>
            <w:r>
              <w:rPr>
                <w:rFonts w:ascii="Arial" w:cs="Arial" w:eastAsia="Arial" w:hAnsi="Arial"/>
                <w:sz w:val="17"/>
                <w:szCs w:val="17"/>
                <w:b w:val="1"/>
                <w:bCs w:val="1"/>
                <w:color w:val="auto"/>
              </w:rPr>
              <w:t>Target Annual Cash</w:t>
            </w:r>
          </w:p>
        </w:tc>
        <w:tc>
          <w:tcPr>
            <w:tcW w:w="440" w:type="dxa"/>
            <w:vAlign w:val="bottom"/>
            <w:shd w:val="clear" w:color="auto" w:fill="DAE6EB"/>
          </w:tcPr>
          <w:p>
            <w:pPr>
              <w:ind w:left="280"/>
              <w:spacing w:after="0" w:line="170" w:lineRule="exact"/>
              <w:rPr>
                <w:sz w:val="20"/>
                <w:szCs w:val="20"/>
                <w:color w:val="auto"/>
              </w:rPr>
            </w:pPr>
            <w:r>
              <w:rPr>
                <w:rFonts w:ascii="Arial" w:cs="Arial" w:eastAsia="Arial" w:hAnsi="Arial"/>
                <w:sz w:val="17"/>
                <w:szCs w:val="17"/>
                <w:color w:val="auto"/>
              </w:rPr>
              <w:t>•</w:t>
            </w:r>
          </w:p>
        </w:tc>
        <w:tc>
          <w:tcPr>
            <w:tcW w:w="8860" w:type="dxa"/>
            <w:vAlign w:val="bottom"/>
            <w:shd w:val="clear" w:color="auto" w:fill="DAE6EB"/>
          </w:tcPr>
          <w:p>
            <w:pPr>
              <w:jc w:val="right"/>
              <w:ind w:right="56"/>
              <w:spacing w:after="0" w:line="170" w:lineRule="exact"/>
              <w:rPr>
                <w:sz w:val="20"/>
                <w:szCs w:val="20"/>
                <w:color w:val="auto"/>
              </w:rPr>
            </w:pPr>
            <w:r>
              <w:rPr>
                <w:rFonts w:ascii="Arial" w:cs="Arial" w:eastAsia="Arial" w:hAnsi="Arial"/>
                <w:sz w:val="17"/>
                <w:szCs w:val="17"/>
                <w:color w:val="auto"/>
              </w:rPr>
              <w:t>NEO target bonuses (as a % of base earnings) did not change in 2015, other than for Ms. Bar, who was</w:t>
            </w:r>
          </w:p>
        </w:tc>
        <w:tc>
          <w:tcPr>
            <w:tcW w:w="0" w:type="dxa"/>
            <w:vAlign w:val="bottom"/>
          </w:tcPr>
          <w:p>
            <w:pPr>
              <w:spacing w:after="0"/>
              <w:rPr>
                <w:sz w:val="1"/>
                <w:szCs w:val="1"/>
                <w:color w:val="auto"/>
              </w:rPr>
            </w:pPr>
          </w:p>
        </w:tc>
      </w:tr>
      <w:tr>
        <w:trPr>
          <w:trHeight w:val="209"/>
        </w:trPr>
        <w:tc>
          <w:tcPr>
            <w:tcW w:w="2120" w:type="dxa"/>
            <w:vAlign w:val="bottom"/>
            <w:shd w:val="clear" w:color="auto" w:fill="DAE6EB"/>
          </w:tcPr>
          <w:p>
            <w:pPr>
              <w:ind w:left="160"/>
              <w:spacing w:after="0"/>
              <w:rPr>
                <w:sz w:val="20"/>
                <w:szCs w:val="20"/>
                <w:color w:val="auto"/>
              </w:rPr>
            </w:pPr>
            <w:r>
              <w:rPr>
                <w:rFonts w:ascii="Arial" w:cs="Arial" w:eastAsia="Arial" w:hAnsi="Arial"/>
                <w:sz w:val="17"/>
                <w:szCs w:val="17"/>
                <w:b w:val="1"/>
                <w:bCs w:val="1"/>
                <w:color w:val="auto"/>
              </w:rPr>
              <w:t>Incentives</w:t>
            </w:r>
          </w:p>
        </w:tc>
        <w:tc>
          <w:tcPr>
            <w:tcW w:w="440" w:type="dxa"/>
            <w:vAlign w:val="bottom"/>
            <w:shd w:val="clear" w:color="auto" w:fill="DAE6EB"/>
          </w:tcPr>
          <w:p>
            <w:pPr>
              <w:spacing w:after="0"/>
              <w:rPr>
                <w:sz w:val="18"/>
                <w:szCs w:val="18"/>
                <w:color w:val="auto"/>
              </w:rPr>
            </w:pPr>
          </w:p>
        </w:tc>
        <w:tc>
          <w:tcPr>
            <w:tcW w:w="8860" w:type="dxa"/>
            <w:vAlign w:val="bottom"/>
            <w:shd w:val="clear" w:color="auto" w:fill="DAE6EB"/>
          </w:tcPr>
          <w:p>
            <w:pPr>
              <w:ind w:left="100"/>
              <w:spacing w:after="0"/>
              <w:rPr>
                <w:sz w:val="20"/>
                <w:szCs w:val="20"/>
                <w:color w:val="auto"/>
              </w:rPr>
            </w:pPr>
            <w:r>
              <w:rPr>
                <w:rFonts w:ascii="Arial" w:cs="Arial" w:eastAsia="Arial" w:hAnsi="Arial"/>
                <w:sz w:val="17"/>
                <w:szCs w:val="17"/>
                <w:color w:val="auto"/>
              </w:rPr>
              <w:t>promoted in November 2015.</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80"/>
              <w:spacing w:after="0" w:line="189" w:lineRule="exact"/>
              <w:rPr>
                <w:sz w:val="20"/>
                <w:szCs w:val="20"/>
                <w:color w:val="auto"/>
              </w:rPr>
            </w:pPr>
            <w:r>
              <w:rPr>
                <w:rFonts w:ascii="Arial" w:cs="Arial" w:eastAsia="Arial" w:hAnsi="Arial"/>
                <w:sz w:val="17"/>
                <w:szCs w:val="17"/>
                <w:color w:val="auto"/>
              </w:rPr>
              <w:t>•   Our 2015 Executive Incentive Plan design did not change.</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80"/>
              <w:spacing w:after="0" w:line="189" w:lineRule="exact"/>
              <w:rPr>
                <w:sz w:val="20"/>
                <w:szCs w:val="20"/>
                <w:color w:val="auto"/>
              </w:rPr>
            </w:pPr>
            <w:r>
              <w:rPr>
                <w:rFonts w:ascii="Arial" w:cs="Arial" w:eastAsia="Arial" w:hAnsi="Arial"/>
                <w:sz w:val="17"/>
                <w:szCs w:val="17"/>
                <w:color w:val="auto"/>
              </w:rPr>
              <w:t>•   Our CEO is required to invest a minimum of 35% of his annual bonus into stock units, which are held generally</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440" w:type="dxa"/>
            <w:vAlign w:val="bottom"/>
            <w:shd w:val="clear" w:color="auto" w:fill="DAE6EB"/>
          </w:tcPr>
          <w:p>
            <w:pPr>
              <w:spacing w:after="0"/>
              <w:rPr>
                <w:sz w:val="16"/>
                <w:szCs w:val="16"/>
                <w:color w:val="auto"/>
              </w:rPr>
            </w:pPr>
          </w:p>
        </w:tc>
        <w:tc>
          <w:tcPr>
            <w:tcW w:w="8860" w:type="dxa"/>
            <w:vAlign w:val="bottom"/>
            <w:shd w:val="clear" w:color="auto" w:fill="DAE6EB"/>
          </w:tcPr>
          <w:p>
            <w:pPr>
              <w:ind w:left="100"/>
              <w:spacing w:after="0" w:line="189" w:lineRule="exact"/>
              <w:rPr>
                <w:sz w:val="20"/>
                <w:szCs w:val="20"/>
                <w:color w:val="auto"/>
              </w:rPr>
            </w:pPr>
            <w:r>
              <w:rPr>
                <w:rFonts w:ascii="Arial" w:cs="Arial" w:eastAsia="Arial" w:hAnsi="Arial"/>
                <w:sz w:val="17"/>
                <w:szCs w:val="17"/>
                <w:color w:val="auto"/>
              </w:rPr>
              <w:t>for a period of three years.</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80"/>
              <w:spacing w:after="0" w:line="189" w:lineRule="exact"/>
              <w:rPr>
                <w:sz w:val="20"/>
                <w:szCs w:val="20"/>
                <w:color w:val="auto"/>
              </w:rPr>
            </w:pPr>
            <w:r>
              <w:rPr>
                <w:rFonts w:ascii="Arial" w:cs="Arial" w:eastAsia="Arial" w:hAnsi="Arial"/>
                <w:sz w:val="17"/>
                <w:szCs w:val="17"/>
                <w:color w:val="auto"/>
              </w:rPr>
              <w:t>•   Other NEOs are required to invest a minimum of 20% of their annual cash bonus into stock units, which are held</w:t>
            </w:r>
          </w:p>
        </w:tc>
        <w:tc>
          <w:tcPr>
            <w:tcW w:w="0" w:type="dxa"/>
            <w:vAlign w:val="bottom"/>
          </w:tcPr>
          <w:p>
            <w:pPr>
              <w:spacing w:after="0"/>
              <w:rPr>
                <w:sz w:val="1"/>
                <w:szCs w:val="1"/>
                <w:color w:val="auto"/>
              </w:rPr>
            </w:pPr>
          </w:p>
        </w:tc>
      </w:tr>
      <w:tr>
        <w:trPr>
          <w:trHeight w:val="209"/>
        </w:trPr>
        <w:tc>
          <w:tcPr>
            <w:tcW w:w="2120" w:type="dxa"/>
            <w:vAlign w:val="bottom"/>
            <w:shd w:val="clear" w:color="auto" w:fill="DAE6EB"/>
          </w:tcPr>
          <w:p>
            <w:pPr>
              <w:spacing w:after="0"/>
              <w:rPr>
                <w:sz w:val="18"/>
                <w:szCs w:val="18"/>
                <w:color w:val="auto"/>
              </w:rPr>
            </w:pPr>
          </w:p>
        </w:tc>
        <w:tc>
          <w:tcPr>
            <w:tcW w:w="440" w:type="dxa"/>
            <w:vAlign w:val="bottom"/>
            <w:shd w:val="clear" w:color="auto" w:fill="DAE6EB"/>
          </w:tcPr>
          <w:p>
            <w:pPr>
              <w:spacing w:after="0"/>
              <w:rPr>
                <w:sz w:val="18"/>
                <w:szCs w:val="18"/>
                <w:color w:val="auto"/>
              </w:rPr>
            </w:pPr>
          </w:p>
        </w:tc>
        <w:tc>
          <w:tcPr>
            <w:tcW w:w="8860" w:type="dxa"/>
            <w:vAlign w:val="bottom"/>
            <w:shd w:val="clear" w:color="auto" w:fill="DAE6EB"/>
          </w:tcPr>
          <w:p>
            <w:pPr>
              <w:ind w:left="100"/>
              <w:spacing w:after="0"/>
              <w:rPr>
                <w:sz w:val="20"/>
                <w:szCs w:val="20"/>
                <w:color w:val="auto"/>
              </w:rPr>
            </w:pPr>
            <w:r>
              <w:rPr>
                <w:rFonts w:ascii="Arial" w:cs="Arial" w:eastAsia="Arial" w:hAnsi="Arial"/>
                <w:sz w:val="17"/>
                <w:szCs w:val="17"/>
                <w:color w:val="auto"/>
              </w:rPr>
              <w:t>generally for a period of three years.</w:t>
            </w:r>
          </w:p>
        </w:tc>
        <w:tc>
          <w:tcPr>
            <w:tcW w:w="0" w:type="dxa"/>
            <w:vAlign w:val="bottom"/>
          </w:tcPr>
          <w:p>
            <w:pPr>
              <w:spacing w:after="0"/>
              <w:rPr>
                <w:sz w:val="1"/>
                <w:szCs w:val="1"/>
                <w:color w:val="auto"/>
              </w:rPr>
            </w:pPr>
          </w:p>
        </w:tc>
      </w:tr>
      <w:tr>
        <w:trPr>
          <w:trHeight w:val="183"/>
        </w:trPr>
        <w:tc>
          <w:tcPr>
            <w:tcW w:w="212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Long-Term Incentives</w:t>
            </w:r>
          </w:p>
        </w:tc>
        <w:tc>
          <w:tcPr>
            <w:tcW w:w="9300" w:type="dxa"/>
            <w:vAlign w:val="bottom"/>
            <w:gridSpan w:val="2"/>
          </w:tcPr>
          <w:p>
            <w:pPr>
              <w:ind w:left="280"/>
              <w:spacing w:after="0" w:line="183" w:lineRule="exact"/>
              <w:rPr>
                <w:sz w:val="20"/>
                <w:szCs w:val="20"/>
                <w:color w:val="auto"/>
              </w:rPr>
            </w:pPr>
            <w:r>
              <w:rPr>
                <w:rFonts w:ascii="Arial" w:cs="Arial" w:eastAsia="Arial" w:hAnsi="Arial"/>
                <w:sz w:val="17"/>
                <w:szCs w:val="17"/>
                <w:color w:val="auto"/>
              </w:rPr>
              <w:t>•   NEO target award sizes (as a % of base earnings) did not change in 2015.</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930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   Our structure includes an LTIP (stock options and RSUs) and a new performance share unit (PSU) plan.</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ind w:left="280"/>
              <w:spacing w:after="0" w:line="189" w:lineRule="exact"/>
              <w:rPr>
                <w:sz w:val="20"/>
                <w:szCs w:val="20"/>
                <w:color w:val="auto"/>
              </w:rPr>
            </w:pPr>
            <w:r>
              <w:rPr>
                <w:rFonts w:ascii="Arial" w:cs="Arial" w:eastAsia="Arial" w:hAnsi="Arial"/>
                <w:sz w:val="17"/>
                <w:szCs w:val="17"/>
                <w:color w:val="auto"/>
              </w:rPr>
              <w:t>•</w:t>
            </w:r>
          </w:p>
        </w:tc>
        <w:tc>
          <w:tcPr>
            <w:tcW w:w="8860" w:type="dxa"/>
            <w:vAlign w:val="bottom"/>
          </w:tcPr>
          <w:p>
            <w:pPr>
              <w:jc w:val="right"/>
              <w:ind w:right="56"/>
              <w:spacing w:after="0" w:line="189" w:lineRule="exact"/>
              <w:rPr>
                <w:sz w:val="20"/>
                <w:szCs w:val="20"/>
                <w:color w:val="auto"/>
              </w:rPr>
            </w:pPr>
            <w:r>
              <w:rPr>
                <w:rFonts w:ascii="Arial" w:cs="Arial" w:eastAsia="Arial" w:hAnsi="Arial"/>
                <w:sz w:val="17"/>
                <w:szCs w:val="17"/>
                <w:color w:val="auto"/>
              </w:rPr>
              <w:t>The LTIP is weighted 1/3 stock options and 2/3 RSUs. The LTIP grant size is based on Martin Marietta’s 2014</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financial performance. Targeted values are determined for each NEO based on competitive market data. The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options are subject to four-year ratable vesting and the RSUs are subject to three-year cliff vesting from date of</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grant.</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930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  PSUs amounts are earned based on achievement of performance levels, with 75% based on three-year return on</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sales and cumulative EBITDA performance, and 25% based on total shareholder return ranking compared to</w:t>
            </w:r>
          </w:p>
        </w:tc>
        <w:tc>
          <w:tcPr>
            <w:tcW w:w="0" w:type="dxa"/>
            <w:vAlign w:val="bottom"/>
          </w:tcPr>
          <w:p>
            <w:pPr>
              <w:spacing w:after="0"/>
              <w:rPr>
                <w:sz w:val="1"/>
                <w:szCs w:val="1"/>
                <w:color w:val="auto"/>
              </w:rPr>
            </w:pPr>
          </w:p>
        </w:tc>
      </w:tr>
      <w:tr>
        <w:trPr>
          <w:trHeight w:val="207"/>
        </w:trPr>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60" w:type="dxa"/>
            <w:vAlign w:val="bottom"/>
          </w:tcPr>
          <w:p>
            <w:pPr>
              <w:ind w:left="100"/>
              <w:spacing w:after="0"/>
              <w:rPr>
                <w:sz w:val="20"/>
                <w:szCs w:val="20"/>
                <w:color w:val="auto"/>
              </w:rPr>
            </w:pPr>
            <w:r>
              <w:rPr>
                <w:rFonts w:ascii="Arial" w:cs="Arial" w:eastAsia="Arial" w:hAnsi="Arial"/>
                <w:sz w:val="17"/>
                <w:szCs w:val="17"/>
                <w:color w:val="auto"/>
              </w:rPr>
              <w:t>major U.S. companies in similar industries. The target award value is 40% of base salary for each NEO.</w:t>
            </w:r>
          </w:p>
        </w:tc>
        <w:tc>
          <w:tcPr>
            <w:tcW w:w="0" w:type="dxa"/>
            <w:vAlign w:val="bottom"/>
          </w:tcPr>
          <w:p>
            <w:pPr>
              <w:spacing w:after="0"/>
              <w:rPr>
                <w:sz w:val="1"/>
                <w:szCs w:val="1"/>
                <w:color w:val="auto"/>
              </w:rPr>
            </w:pPr>
          </w:p>
        </w:tc>
      </w:tr>
      <w:tr>
        <w:trPr>
          <w:trHeight w:val="137"/>
        </w:trPr>
        <w:tc>
          <w:tcPr>
            <w:tcW w:w="2120" w:type="dxa"/>
            <w:vAlign w:val="bottom"/>
            <w:vMerge w:val="restart"/>
            <w:shd w:val="clear" w:color="auto" w:fill="DAE6EB"/>
          </w:tcPr>
          <w:p>
            <w:pPr>
              <w:ind w:left="160"/>
              <w:spacing w:after="0" w:line="185" w:lineRule="exact"/>
              <w:rPr>
                <w:sz w:val="20"/>
                <w:szCs w:val="20"/>
                <w:color w:val="auto"/>
              </w:rPr>
            </w:pPr>
            <w:r>
              <w:rPr>
                <w:rFonts w:ascii="Arial" w:cs="Arial" w:eastAsia="Arial" w:hAnsi="Arial"/>
                <w:sz w:val="17"/>
                <w:szCs w:val="17"/>
                <w:b w:val="1"/>
                <w:bCs w:val="1"/>
                <w:color w:val="auto"/>
              </w:rPr>
              <w:t>Total Compensation</w:t>
            </w:r>
          </w:p>
        </w:tc>
        <w:tc>
          <w:tcPr>
            <w:tcW w:w="440" w:type="dxa"/>
            <w:vAlign w:val="bottom"/>
            <w:shd w:val="clear" w:color="auto" w:fill="DAE6EB"/>
          </w:tcPr>
          <w:p>
            <w:pPr>
              <w:spacing w:after="0"/>
              <w:rPr>
                <w:sz w:val="11"/>
                <w:szCs w:val="11"/>
                <w:color w:val="auto"/>
              </w:rPr>
            </w:pPr>
          </w:p>
        </w:tc>
        <w:tc>
          <w:tcPr>
            <w:tcW w:w="8860" w:type="dxa"/>
            <w:vAlign w:val="bottom"/>
            <w:shd w:val="clear" w:color="auto" w:fill="DAE6EB"/>
          </w:tcPr>
          <w:p>
            <w:pPr>
              <w:ind w:left="4580"/>
              <w:spacing w:after="0" w:line="137" w:lineRule="exact"/>
              <w:rPr>
                <w:sz w:val="20"/>
                <w:szCs w:val="20"/>
                <w:color w:val="auto"/>
              </w:rPr>
            </w:pP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48"/>
        </w:trPr>
        <w:tc>
          <w:tcPr>
            <w:tcW w:w="2120" w:type="dxa"/>
            <w:vAlign w:val="bottom"/>
            <w:vMerge w:val="continue"/>
            <w:shd w:val="clear" w:color="auto" w:fill="DAE6EB"/>
          </w:tcPr>
          <w:p>
            <w:pPr>
              <w:spacing w:after="0"/>
              <w:rPr>
                <w:sz w:val="4"/>
                <w:szCs w:val="4"/>
                <w:color w:val="auto"/>
              </w:rPr>
            </w:pPr>
          </w:p>
        </w:tc>
        <w:tc>
          <w:tcPr>
            <w:tcW w:w="9300" w:type="dxa"/>
            <w:vAlign w:val="bottom"/>
            <w:gridSpan w:val="2"/>
            <w:shd w:val="clear" w:color="auto" w:fill="DAE6EB"/>
          </w:tcPr>
          <w:p>
            <w:pPr>
              <w:ind w:left="200"/>
              <w:spacing w:after="0" w:line="48" w:lineRule="exact"/>
              <w:rPr>
                <w:sz w:val="20"/>
                <w:szCs w:val="20"/>
                <w:color w:val="auto"/>
              </w:rPr>
            </w:pPr>
            <w:r>
              <w:rPr>
                <w:rFonts w:ascii="Arial" w:cs="Arial" w:eastAsia="Arial" w:hAnsi="Arial"/>
                <w:sz w:val="5"/>
                <w:szCs w:val="5"/>
                <w:color w:val="auto"/>
              </w:rPr>
              <w:t>Targeted total compensation opportunity is the size-adjusted 50  percentile of our compensation peer group. Overall,</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00"/>
              <w:spacing w:after="0" w:line="189" w:lineRule="exact"/>
              <w:rPr>
                <w:sz w:val="20"/>
                <w:szCs w:val="20"/>
                <w:color w:val="auto"/>
              </w:rPr>
            </w:pPr>
            <w:r>
              <w:rPr>
                <w:rFonts w:ascii="Arial" w:cs="Arial" w:eastAsia="Arial" w:hAnsi="Arial"/>
                <w:sz w:val="17"/>
                <w:szCs w:val="17"/>
                <w:color w:val="auto"/>
              </w:rPr>
              <w:t>the Committee believes targeted compensation should be more heavily weighted on variable “at-risk” compensation</w:t>
            </w:r>
          </w:p>
        </w:tc>
        <w:tc>
          <w:tcPr>
            <w:tcW w:w="0" w:type="dxa"/>
            <w:vAlign w:val="bottom"/>
          </w:tcPr>
          <w:p>
            <w:pPr>
              <w:spacing w:after="0"/>
              <w:rPr>
                <w:sz w:val="1"/>
                <w:szCs w:val="1"/>
                <w:color w:val="auto"/>
              </w:rPr>
            </w:pPr>
          </w:p>
        </w:tc>
      </w:tr>
      <w:tr>
        <w:trPr>
          <w:trHeight w:val="195"/>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00"/>
              <w:spacing w:after="0"/>
              <w:rPr>
                <w:sz w:val="20"/>
                <w:szCs w:val="20"/>
                <w:color w:val="auto"/>
              </w:rPr>
            </w:pPr>
            <w:r>
              <w:rPr>
                <w:rFonts w:ascii="Arial" w:cs="Arial" w:eastAsia="Arial" w:hAnsi="Arial"/>
                <w:sz w:val="17"/>
                <w:szCs w:val="17"/>
                <w:color w:val="auto"/>
              </w:rPr>
              <w:t>and longer -term components.</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Committee approved the following </w:t>
      </w:r>
      <w:r>
        <w:rPr>
          <w:rFonts w:ascii="Arial" w:cs="Arial" w:eastAsia="Arial" w:hAnsi="Arial"/>
          <w:sz w:val="17"/>
          <w:szCs w:val="17"/>
          <w:u w:val="single" w:color="auto"/>
          <w:color w:val="auto"/>
        </w:rPr>
        <w:t>actual</w:t>
      </w:r>
      <w:r>
        <w:rPr>
          <w:rFonts w:ascii="Arial" w:cs="Arial" w:eastAsia="Arial" w:hAnsi="Arial"/>
          <w:sz w:val="17"/>
          <w:szCs w:val="17"/>
          <w:color w:val="auto"/>
        </w:rPr>
        <w:t xml:space="preserve"> compensation items in 2015.</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3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Committee determines base salaries for the NEOs and other executives based on a number of factors, including but not limited to, market data, individual performance, the Company’s performance, and management recommendations (except for the CEO). At the January 2015 meeting, based on a review of competitive market data and management’s recommendations based on individual performance (except for the CEO) and the Committee’s assessment of Mr. Nye’s performance, the Committee approved the following increases.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80" w:type="dxa"/>
            <w:vAlign w:val="bottom"/>
            <w:tcBorders>
              <w:left w:val="single" w:sz="8" w:color="47829E"/>
            </w:tcBorders>
            <w:shd w:val="clear" w:color="auto" w:fill="47829E"/>
          </w:tcPr>
          <w:p>
            <w:pPr>
              <w:spacing w:after="0"/>
              <w:rPr>
                <w:sz w:val="16"/>
                <w:szCs w:val="16"/>
                <w:color w:val="auto"/>
              </w:rPr>
            </w:pPr>
          </w:p>
        </w:tc>
        <w:tc>
          <w:tcPr>
            <w:tcW w:w="4100" w:type="dxa"/>
            <w:vAlign w:val="bottom"/>
            <w:tcBorders>
              <w:right w:val="single" w:sz="8" w:color="47829E"/>
            </w:tcBorders>
            <w:shd w:val="clear" w:color="auto" w:fill="47829E"/>
          </w:tcPr>
          <w:p>
            <w:pPr>
              <w:spacing w:after="0"/>
              <w:rPr>
                <w:sz w:val="16"/>
                <w:szCs w:val="16"/>
                <w:color w:val="auto"/>
              </w:rPr>
            </w:pPr>
          </w:p>
        </w:tc>
        <w:tc>
          <w:tcPr>
            <w:tcW w:w="360" w:type="dxa"/>
            <w:vAlign w:val="bottom"/>
            <w:shd w:val="clear" w:color="auto" w:fill="47829E"/>
          </w:tcPr>
          <w:p>
            <w:pPr>
              <w:spacing w:after="0"/>
              <w:rPr>
                <w:sz w:val="16"/>
                <w:szCs w:val="16"/>
                <w:color w:val="auto"/>
              </w:rPr>
            </w:pPr>
          </w:p>
        </w:tc>
        <w:tc>
          <w:tcPr>
            <w:tcW w:w="1000" w:type="dxa"/>
            <w:vAlign w:val="bottom"/>
            <w:tcBorders>
              <w:right w:val="single" w:sz="8" w:color="47829E"/>
            </w:tcBorders>
            <w:shd w:val="clear" w:color="auto" w:fill="47829E"/>
          </w:tcPr>
          <w:p>
            <w:pPr>
              <w:jc w:val="right"/>
              <w:ind w:right="435"/>
              <w:spacing w:after="0"/>
              <w:rPr>
                <w:sz w:val="20"/>
                <w:szCs w:val="20"/>
                <w:color w:val="auto"/>
              </w:rPr>
            </w:pPr>
            <w:r>
              <w:rPr>
                <w:rFonts w:ascii="Arial" w:cs="Arial" w:eastAsia="Arial" w:hAnsi="Arial"/>
                <w:sz w:val="17"/>
                <w:szCs w:val="17"/>
                <w:b w:val="1"/>
                <w:bCs w:val="1"/>
                <w:color w:val="FFFFFF"/>
              </w:rPr>
              <w:t>2014</w:t>
            </w:r>
          </w:p>
        </w:tc>
        <w:tc>
          <w:tcPr>
            <w:tcW w:w="1360" w:type="dxa"/>
            <w:vAlign w:val="bottom"/>
            <w:tcBorders>
              <w:right w:val="single" w:sz="8" w:color="47829E"/>
            </w:tcBorders>
            <w:shd w:val="clear" w:color="auto" w:fill="47829E"/>
          </w:tcPr>
          <w:p>
            <w:pPr>
              <w:jc w:val="right"/>
              <w:ind w:right="175"/>
              <w:spacing w:after="0"/>
              <w:rPr>
                <w:sz w:val="20"/>
                <w:szCs w:val="20"/>
                <w:color w:val="auto"/>
              </w:rPr>
            </w:pPr>
            <w:r>
              <w:rPr>
                <w:rFonts w:ascii="Arial" w:cs="Arial" w:eastAsia="Arial" w:hAnsi="Arial"/>
                <w:sz w:val="17"/>
                <w:szCs w:val="17"/>
                <w:b w:val="1"/>
                <w:bCs w:val="1"/>
                <w:color w:val="FFFFFF"/>
              </w:rPr>
              <w:t>Percentage</w:t>
            </w:r>
          </w:p>
        </w:tc>
        <w:tc>
          <w:tcPr>
            <w:tcW w:w="1280" w:type="dxa"/>
            <w:vAlign w:val="bottom"/>
            <w:tcBorders>
              <w:right w:val="single" w:sz="8" w:color="47829E"/>
            </w:tcBorders>
            <w:shd w:val="clear" w:color="auto" w:fill="47829E"/>
          </w:tcPr>
          <w:p>
            <w:pPr>
              <w:spacing w:after="0"/>
              <w:rPr>
                <w:sz w:val="16"/>
                <w:szCs w:val="16"/>
                <w:color w:val="auto"/>
              </w:rPr>
            </w:pPr>
          </w:p>
        </w:tc>
        <w:tc>
          <w:tcPr>
            <w:tcW w:w="1140" w:type="dxa"/>
            <w:vAlign w:val="bottom"/>
            <w:tcBorders>
              <w:right w:val="single" w:sz="8" w:color="47829E"/>
            </w:tcBorders>
            <w:shd w:val="clear" w:color="auto" w:fill="47829E"/>
          </w:tcPr>
          <w:p>
            <w:pPr>
              <w:jc w:val="right"/>
              <w:ind w:right="135"/>
              <w:spacing w:after="0"/>
              <w:rPr>
                <w:sz w:val="20"/>
                <w:szCs w:val="20"/>
                <w:color w:val="auto"/>
              </w:rPr>
            </w:pPr>
            <w:r>
              <w:rPr>
                <w:rFonts w:ascii="Arial" w:cs="Arial" w:eastAsia="Arial" w:hAnsi="Arial"/>
                <w:sz w:val="17"/>
                <w:szCs w:val="17"/>
                <w:b w:val="1"/>
                <w:bCs w:val="1"/>
                <w:color w:val="FFFFFF"/>
              </w:rPr>
              <w:t>Effective</w:t>
            </w:r>
          </w:p>
        </w:tc>
        <w:tc>
          <w:tcPr>
            <w:tcW w:w="380" w:type="dxa"/>
            <w:vAlign w:val="bottom"/>
            <w:shd w:val="clear" w:color="auto" w:fill="47829E"/>
          </w:tcPr>
          <w:p>
            <w:pPr>
              <w:spacing w:after="0"/>
              <w:rPr>
                <w:sz w:val="16"/>
                <w:szCs w:val="16"/>
                <w:color w:val="auto"/>
              </w:rPr>
            </w:pPr>
          </w:p>
        </w:tc>
        <w:tc>
          <w:tcPr>
            <w:tcW w:w="1040" w:type="dxa"/>
            <w:vAlign w:val="bottom"/>
            <w:tcBorders>
              <w:right w:val="single" w:sz="8" w:color="47829E"/>
            </w:tcBorders>
            <w:shd w:val="clear" w:color="auto" w:fill="47829E"/>
          </w:tcPr>
          <w:p>
            <w:pPr>
              <w:jc w:val="right"/>
              <w:ind w:right="475"/>
              <w:spacing w:after="0"/>
              <w:rPr>
                <w:sz w:val="20"/>
                <w:szCs w:val="20"/>
                <w:color w:val="auto"/>
              </w:rPr>
            </w:pPr>
            <w:r>
              <w:rPr>
                <w:rFonts w:ascii="Arial" w:cs="Arial" w:eastAsia="Arial" w:hAnsi="Arial"/>
                <w:sz w:val="17"/>
                <w:szCs w:val="17"/>
                <w:b w:val="1"/>
                <w:bCs w:val="1"/>
                <w:color w:val="FFFFFF"/>
              </w:rPr>
              <w:t>2015</w:t>
            </w:r>
          </w:p>
        </w:tc>
      </w:tr>
      <w:tr>
        <w:trPr>
          <w:trHeight w:val="229"/>
        </w:trPr>
        <w:tc>
          <w:tcPr>
            <w:tcW w:w="780" w:type="dxa"/>
            <w:vAlign w:val="bottom"/>
            <w:tcBorders>
              <w:lef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4100" w:type="dxa"/>
            <w:vAlign w:val="bottom"/>
            <w:tcBorders>
              <w:right w:val="single" w:sz="8" w:color="47829E"/>
            </w:tcBorders>
            <w:shd w:val="clear" w:color="auto" w:fill="47829E"/>
          </w:tcPr>
          <w:p>
            <w:pPr>
              <w:spacing w:after="0"/>
              <w:rPr>
                <w:sz w:val="19"/>
                <w:szCs w:val="19"/>
                <w:color w:val="auto"/>
              </w:rPr>
            </w:pPr>
          </w:p>
        </w:tc>
        <w:tc>
          <w:tcPr>
            <w:tcW w:w="1360" w:type="dxa"/>
            <w:vAlign w:val="bottom"/>
            <w:tcBorders>
              <w:right w:val="single" w:sz="8" w:color="47829E"/>
            </w:tcBorders>
            <w:gridSpan w:val="2"/>
            <w:shd w:val="clear" w:color="auto" w:fill="47829E"/>
          </w:tcPr>
          <w:p>
            <w:pPr>
              <w:ind w:left="160"/>
              <w:spacing w:after="0"/>
              <w:rPr>
                <w:sz w:val="20"/>
                <w:szCs w:val="20"/>
                <w:color w:val="auto"/>
              </w:rPr>
            </w:pPr>
            <w:r>
              <w:rPr>
                <w:rFonts w:ascii="Arial" w:cs="Arial" w:eastAsia="Arial" w:hAnsi="Arial"/>
                <w:sz w:val="17"/>
                <w:szCs w:val="17"/>
                <w:b w:val="1"/>
                <w:bCs w:val="1"/>
                <w:color w:val="FFFFFF"/>
              </w:rPr>
              <w:t>Base Salary</w:t>
            </w:r>
          </w:p>
        </w:tc>
        <w:tc>
          <w:tcPr>
            <w:tcW w:w="1360" w:type="dxa"/>
            <w:vAlign w:val="bottom"/>
            <w:tcBorders>
              <w:right w:val="single" w:sz="8" w:color="47829E"/>
            </w:tcBorders>
            <w:shd w:val="clear" w:color="auto" w:fill="47829E"/>
          </w:tcPr>
          <w:p>
            <w:pPr>
              <w:jc w:val="right"/>
              <w:ind w:right="255"/>
              <w:spacing w:after="0"/>
              <w:rPr>
                <w:sz w:val="20"/>
                <w:szCs w:val="20"/>
                <w:color w:val="auto"/>
              </w:rPr>
            </w:pPr>
            <w:r>
              <w:rPr>
                <w:rFonts w:ascii="Arial" w:cs="Arial" w:eastAsia="Arial" w:hAnsi="Arial"/>
                <w:sz w:val="17"/>
                <w:szCs w:val="17"/>
                <w:b w:val="1"/>
                <w:bCs w:val="1"/>
                <w:color w:val="FFFFFF"/>
              </w:rPr>
              <w:t>Increase*</w:t>
            </w:r>
          </w:p>
        </w:tc>
        <w:tc>
          <w:tcPr>
            <w:tcW w:w="1280" w:type="dxa"/>
            <w:vAlign w:val="bottom"/>
            <w:tcBorders>
              <w:right w:val="single" w:sz="8" w:color="47829E"/>
            </w:tcBorders>
            <w:shd w:val="clear" w:color="auto" w:fill="47829E"/>
          </w:tcPr>
          <w:p>
            <w:pPr>
              <w:jc w:val="center"/>
              <w:ind w:left="75"/>
              <w:spacing w:after="0"/>
              <w:rPr>
                <w:sz w:val="20"/>
                <w:szCs w:val="20"/>
                <w:color w:val="auto"/>
              </w:rPr>
            </w:pPr>
            <w:r>
              <w:rPr>
                <w:rFonts w:ascii="Arial" w:cs="Arial" w:eastAsia="Arial" w:hAnsi="Arial"/>
                <w:sz w:val="17"/>
                <w:szCs w:val="17"/>
                <w:b w:val="1"/>
                <w:bCs w:val="1"/>
                <w:color w:val="FFFFFF"/>
                <w:w w:val="97"/>
              </w:rPr>
              <w:t>Reason</w:t>
            </w:r>
          </w:p>
        </w:tc>
        <w:tc>
          <w:tcPr>
            <w:tcW w:w="1140" w:type="dxa"/>
            <w:vAlign w:val="bottom"/>
            <w:tcBorders>
              <w:right w:val="single" w:sz="8" w:color="47829E"/>
            </w:tcBorders>
            <w:shd w:val="clear" w:color="auto" w:fill="47829E"/>
          </w:tcPr>
          <w:p>
            <w:pPr>
              <w:jc w:val="right"/>
              <w:ind w:right="315"/>
              <w:spacing w:after="0"/>
              <w:rPr>
                <w:sz w:val="20"/>
                <w:szCs w:val="20"/>
                <w:color w:val="auto"/>
              </w:rPr>
            </w:pPr>
            <w:r>
              <w:rPr>
                <w:rFonts w:ascii="Arial" w:cs="Arial" w:eastAsia="Arial" w:hAnsi="Arial"/>
                <w:sz w:val="17"/>
                <w:szCs w:val="17"/>
                <w:b w:val="1"/>
                <w:bCs w:val="1"/>
                <w:color w:val="FFFFFF"/>
              </w:rPr>
              <w:t>Date</w:t>
            </w:r>
          </w:p>
        </w:tc>
        <w:tc>
          <w:tcPr>
            <w:tcW w:w="1420" w:type="dxa"/>
            <w:vAlign w:val="bottom"/>
            <w:tcBorders>
              <w:right w:val="single" w:sz="8" w:color="47829E"/>
            </w:tcBorders>
            <w:gridSpan w:val="2"/>
            <w:shd w:val="clear" w:color="auto" w:fill="47829E"/>
          </w:tcPr>
          <w:p>
            <w:pPr>
              <w:ind w:left="180"/>
              <w:spacing w:after="0"/>
              <w:rPr>
                <w:sz w:val="20"/>
                <w:szCs w:val="20"/>
                <w:color w:val="auto"/>
              </w:rPr>
            </w:pPr>
            <w:r>
              <w:rPr>
                <w:rFonts w:ascii="Arial" w:cs="Arial" w:eastAsia="Arial" w:hAnsi="Arial"/>
                <w:sz w:val="17"/>
                <w:szCs w:val="17"/>
                <w:b w:val="1"/>
                <w:bCs w:val="1"/>
                <w:color w:val="FFFFFF"/>
              </w:rPr>
              <w:t>Base Salary</w:t>
            </w:r>
          </w:p>
        </w:tc>
      </w:tr>
      <w:tr>
        <w:trPr>
          <w:trHeight w:val="189"/>
        </w:trPr>
        <w:tc>
          <w:tcPr>
            <w:tcW w:w="48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C. Howard Nye</w:t>
            </w:r>
          </w:p>
        </w:tc>
        <w:tc>
          <w:tcPr>
            <w:tcW w:w="36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950,000</w:t>
            </w:r>
          </w:p>
        </w:tc>
        <w:tc>
          <w:tcPr>
            <w:tcW w:w="1360" w:type="dxa"/>
            <w:vAlign w:val="bottom"/>
            <w:tcBorders>
              <w:right w:val="single" w:sz="8" w:color="47829E"/>
            </w:tcBorders>
          </w:tcPr>
          <w:p>
            <w:pPr>
              <w:jc w:val="right"/>
              <w:ind w:right="15"/>
              <w:spacing w:after="0" w:line="189" w:lineRule="exact"/>
              <w:rPr>
                <w:sz w:val="20"/>
                <w:szCs w:val="20"/>
                <w:color w:val="auto"/>
              </w:rPr>
            </w:pPr>
            <w:r>
              <w:rPr>
                <w:rFonts w:ascii="Arial" w:cs="Arial" w:eastAsia="Arial" w:hAnsi="Arial"/>
                <w:sz w:val="17"/>
                <w:szCs w:val="17"/>
                <w:color w:val="auto"/>
              </w:rPr>
              <w:t>3.2%</w:t>
            </w:r>
          </w:p>
        </w:tc>
        <w:tc>
          <w:tcPr>
            <w:tcW w:w="1280" w:type="dxa"/>
            <w:vAlign w:val="bottom"/>
            <w:tcBorders>
              <w:right w:val="single" w:sz="8" w:color="47829E"/>
            </w:tcBorders>
          </w:tcPr>
          <w:p>
            <w:pPr>
              <w:jc w:val="center"/>
              <w:ind w:left="75"/>
              <w:spacing w:after="0" w:line="189"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2/1/15</w:t>
            </w:r>
          </w:p>
        </w:tc>
        <w:tc>
          <w:tcPr>
            <w:tcW w:w="380" w:type="dxa"/>
            <w:vAlign w:val="bottom"/>
          </w:tcPr>
          <w:p>
            <w:pPr>
              <w:ind w:left="180"/>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tcPr>
          <w:p>
            <w:pPr>
              <w:jc w:val="right"/>
              <w:ind w:right="175"/>
              <w:spacing w:after="0" w:line="189" w:lineRule="exact"/>
              <w:rPr>
                <w:sz w:val="20"/>
                <w:szCs w:val="20"/>
                <w:color w:val="auto"/>
              </w:rPr>
            </w:pPr>
            <w:r>
              <w:rPr>
                <w:rFonts w:ascii="Arial" w:cs="Arial" w:eastAsia="Arial" w:hAnsi="Arial"/>
                <w:sz w:val="17"/>
                <w:szCs w:val="17"/>
                <w:color w:val="auto"/>
              </w:rPr>
              <w:t>980,000</w:t>
            </w:r>
          </w:p>
        </w:tc>
      </w:tr>
      <w:tr>
        <w:trPr>
          <w:trHeight w:val="189"/>
        </w:trPr>
        <w:tc>
          <w:tcPr>
            <w:tcW w:w="4880" w:type="dxa"/>
            <w:vAlign w:val="bottom"/>
            <w:tcBorders>
              <w:left w:val="single" w:sz="8" w:color="47829E"/>
              <w:right w:val="single" w:sz="8" w:color="47829E"/>
            </w:tcBorders>
            <w:gridSpan w:val="2"/>
            <w:shd w:val="clear" w:color="auto" w:fill="E3ECF0"/>
          </w:tcPr>
          <w:p>
            <w:pPr>
              <w:ind w:left="160"/>
              <w:spacing w:after="0" w:line="189" w:lineRule="exact"/>
              <w:rPr>
                <w:sz w:val="20"/>
                <w:szCs w:val="20"/>
                <w:color w:val="auto"/>
              </w:rPr>
            </w:pPr>
            <w:r>
              <w:rPr>
                <w:rFonts w:ascii="Arial" w:cs="Arial" w:eastAsia="Arial" w:hAnsi="Arial"/>
                <w:sz w:val="17"/>
                <w:szCs w:val="17"/>
                <w:color w:val="auto"/>
              </w:rPr>
              <w:t>Anne H. Lloyd</w:t>
            </w:r>
          </w:p>
        </w:tc>
        <w:tc>
          <w:tcPr>
            <w:tcW w:w="360" w:type="dxa"/>
            <w:vAlign w:val="bottom"/>
            <w:shd w:val="clear" w:color="auto" w:fill="E3ECF0"/>
          </w:tcPr>
          <w:p>
            <w:pPr>
              <w:ind w:left="160"/>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shd w:val="clear" w:color="auto" w:fill="E3ECF0"/>
          </w:tcPr>
          <w:p>
            <w:pPr>
              <w:jc w:val="right"/>
              <w:ind w:right="135"/>
              <w:spacing w:after="0" w:line="189" w:lineRule="exact"/>
              <w:rPr>
                <w:sz w:val="20"/>
                <w:szCs w:val="20"/>
                <w:color w:val="auto"/>
              </w:rPr>
            </w:pPr>
            <w:r>
              <w:rPr>
                <w:rFonts w:ascii="Arial" w:cs="Arial" w:eastAsia="Arial" w:hAnsi="Arial"/>
                <w:sz w:val="17"/>
                <w:szCs w:val="17"/>
                <w:color w:val="auto"/>
              </w:rPr>
              <w:t>511,300</w:t>
            </w:r>
          </w:p>
        </w:tc>
        <w:tc>
          <w:tcPr>
            <w:tcW w:w="1360" w:type="dxa"/>
            <w:vAlign w:val="bottom"/>
            <w:tcBorders>
              <w:right w:val="single" w:sz="8" w:color="47829E"/>
            </w:tcBorders>
            <w:shd w:val="clear" w:color="auto" w:fill="E3ECF0"/>
          </w:tcPr>
          <w:p>
            <w:pPr>
              <w:jc w:val="right"/>
              <w:ind w:right="15"/>
              <w:spacing w:after="0" w:line="189" w:lineRule="exact"/>
              <w:rPr>
                <w:sz w:val="20"/>
                <w:szCs w:val="20"/>
                <w:color w:val="auto"/>
              </w:rPr>
            </w:pPr>
            <w:r>
              <w:rPr>
                <w:rFonts w:ascii="Arial" w:cs="Arial" w:eastAsia="Arial" w:hAnsi="Arial"/>
                <w:sz w:val="17"/>
                <w:szCs w:val="17"/>
                <w:color w:val="auto"/>
              </w:rPr>
              <w:t>3.0%</w:t>
            </w:r>
          </w:p>
        </w:tc>
        <w:tc>
          <w:tcPr>
            <w:tcW w:w="1280" w:type="dxa"/>
            <w:vAlign w:val="bottom"/>
            <w:tcBorders>
              <w:right w:val="single" w:sz="8" w:color="47829E"/>
            </w:tcBorders>
            <w:shd w:val="clear" w:color="auto" w:fill="E3ECF0"/>
          </w:tcPr>
          <w:p>
            <w:pPr>
              <w:jc w:val="center"/>
              <w:ind w:left="75"/>
              <w:spacing w:after="0" w:line="189"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shd w:val="clear" w:color="auto" w:fill="E3ECF0"/>
          </w:tcPr>
          <w:p>
            <w:pPr>
              <w:jc w:val="right"/>
              <w:ind w:right="135"/>
              <w:spacing w:after="0" w:line="189" w:lineRule="exact"/>
              <w:rPr>
                <w:sz w:val="20"/>
                <w:szCs w:val="20"/>
                <w:color w:val="auto"/>
              </w:rPr>
            </w:pPr>
            <w:r>
              <w:rPr>
                <w:rFonts w:ascii="Arial" w:cs="Arial" w:eastAsia="Arial" w:hAnsi="Arial"/>
                <w:sz w:val="17"/>
                <w:szCs w:val="17"/>
                <w:color w:val="auto"/>
              </w:rPr>
              <w:t>2/1/15</w:t>
            </w:r>
          </w:p>
        </w:tc>
        <w:tc>
          <w:tcPr>
            <w:tcW w:w="380" w:type="dxa"/>
            <w:vAlign w:val="bottom"/>
            <w:shd w:val="clear" w:color="auto" w:fill="E3ECF0"/>
          </w:tcPr>
          <w:p>
            <w:pPr>
              <w:ind w:left="180"/>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shd w:val="clear" w:color="auto" w:fill="E3ECF0"/>
          </w:tcPr>
          <w:p>
            <w:pPr>
              <w:jc w:val="right"/>
              <w:ind w:right="175"/>
              <w:spacing w:after="0" w:line="189" w:lineRule="exact"/>
              <w:rPr>
                <w:sz w:val="20"/>
                <w:szCs w:val="20"/>
                <w:color w:val="auto"/>
              </w:rPr>
            </w:pPr>
            <w:r>
              <w:rPr>
                <w:rFonts w:ascii="Arial" w:cs="Arial" w:eastAsia="Arial" w:hAnsi="Arial"/>
                <w:sz w:val="17"/>
                <w:szCs w:val="17"/>
                <w:color w:val="auto"/>
              </w:rPr>
              <w:t>526,600</w:t>
            </w:r>
          </w:p>
        </w:tc>
      </w:tr>
      <w:tr>
        <w:trPr>
          <w:trHeight w:val="183"/>
        </w:trPr>
        <w:tc>
          <w:tcPr>
            <w:tcW w:w="4880" w:type="dxa"/>
            <w:vAlign w:val="bottom"/>
            <w:tcBorders>
              <w:left w:val="single" w:sz="8" w:color="47829E"/>
              <w:right w:val="single" w:sz="8" w:color="47829E"/>
            </w:tcBorders>
            <w:gridSpan w:val="2"/>
          </w:tcPr>
          <w:p>
            <w:pPr>
              <w:ind w:left="160"/>
              <w:spacing w:after="0" w:line="183" w:lineRule="exact"/>
              <w:rPr>
                <w:sz w:val="20"/>
                <w:szCs w:val="20"/>
                <w:color w:val="auto"/>
              </w:rPr>
            </w:pPr>
            <w:r>
              <w:rPr>
                <w:rFonts w:ascii="Arial" w:cs="Arial" w:eastAsia="Arial" w:hAnsi="Arial"/>
                <w:sz w:val="17"/>
                <w:szCs w:val="17"/>
                <w:color w:val="auto"/>
              </w:rPr>
              <w:t>Roselyn R. Bar</w:t>
            </w:r>
          </w:p>
        </w:tc>
        <w:tc>
          <w:tcPr>
            <w:tcW w:w="3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tcPr>
          <w:p>
            <w:pPr>
              <w:jc w:val="right"/>
              <w:ind w:right="135"/>
              <w:spacing w:after="0" w:line="183" w:lineRule="exact"/>
              <w:rPr>
                <w:sz w:val="20"/>
                <w:szCs w:val="20"/>
                <w:color w:val="auto"/>
              </w:rPr>
            </w:pPr>
            <w:r>
              <w:rPr>
                <w:rFonts w:ascii="Arial" w:cs="Arial" w:eastAsia="Arial" w:hAnsi="Arial"/>
                <w:sz w:val="17"/>
                <w:szCs w:val="17"/>
                <w:color w:val="auto"/>
              </w:rPr>
              <w:t>426,700</w:t>
            </w:r>
          </w:p>
        </w:tc>
        <w:tc>
          <w:tcPr>
            <w:tcW w:w="1360" w:type="dxa"/>
            <w:vAlign w:val="bottom"/>
            <w:tcBorders>
              <w:right w:val="single" w:sz="8" w:color="47829E"/>
            </w:tcBorders>
          </w:tcPr>
          <w:p>
            <w:pPr>
              <w:jc w:val="right"/>
              <w:ind w:right="15"/>
              <w:spacing w:after="0" w:line="183" w:lineRule="exact"/>
              <w:rPr>
                <w:sz w:val="20"/>
                <w:szCs w:val="20"/>
                <w:color w:val="auto"/>
              </w:rPr>
            </w:pPr>
            <w:r>
              <w:rPr>
                <w:rFonts w:ascii="Arial" w:cs="Arial" w:eastAsia="Arial" w:hAnsi="Arial"/>
                <w:sz w:val="17"/>
                <w:szCs w:val="17"/>
                <w:color w:val="auto"/>
              </w:rPr>
              <w:t>3.0%</w:t>
            </w:r>
          </w:p>
        </w:tc>
        <w:tc>
          <w:tcPr>
            <w:tcW w:w="1280" w:type="dxa"/>
            <w:vAlign w:val="bottom"/>
            <w:tcBorders>
              <w:right w:val="single" w:sz="8" w:color="47829E"/>
            </w:tcBorders>
          </w:tcPr>
          <w:p>
            <w:pPr>
              <w:jc w:val="center"/>
              <w:ind w:left="75"/>
              <w:spacing w:after="0" w:line="183"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tcPr>
          <w:p>
            <w:pPr>
              <w:jc w:val="right"/>
              <w:ind w:right="135"/>
              <w:spacing w:after="0" w:line="183" w:lineRule="exact"/>
              <w:rPr>
                <w:sz w:val="20"/>
                <w:szCs w:val="20"/>
                <w:color w:val="auto"/>
              </w:rPr>
            </w:pPr>
            <w:r>
              <w:rPr>
                <w:rFonts w:ascii="Arial" w:cs="Arial" w:eastAsia="Arial" w:hAnsi="Arial"/>
                <w:sz w:val="17"/>
                <w:szCs w:val="17"/>
                <w:color w:val="auto"/>
              </w:rPr>
              <w:t>2/1/15</w:t>
            </w:r>
          </w:p>
        </w:tc>
        <w:tc>
          <w:tcPr>
            <w:tcW w:w="380" w:type="dxa"/>
            <w:vAlign w:val="bottom"/>
          </w:tcPr>
          <w:p>
            <w:pPr>
              <w:ind w:left="180"/>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tcPr>
          <w:p>
            <w:pPr>
              <w:jc w:val="right"/>
              <w:ind w:right="175"/>
              <w:spacing w:after="0" w:line="183" w:lineRule="exact"/>
              <w:rPr>
                <w:sz w:val="20"/>
                <w:szCs w:val="20"/>
                <w:color w:val="auto"/>
              </w:rPr>
            </w:pPr>
            <w:r>
              <w:rPr>
                <w:rFonts w:ascii="Arial" w:cs="Arial" w:eastAsia="Arial" w:hAnsi="Arial"/>
                <w:sz w:val="17"/>
                <w:szCs w:val="17"/>
                <w:color w:val="auto"/>
              </w:rPr>
              <w:t>439,500</w:t>
            </w:r>
          </w:p>
        </w:tc>
      </w:tr>
      <w:tr>
        <w:trPr>
          <w:trHeight w:val="207"/>
        </w:trPr>
        <w:tc>
          <w:tcPr>
            <w:tcW w:w="780" w:type="dxa"/>
            <w:vAlign w:val="bottom"/>
            <w:tcBorders>
              <w:left w:val="single" w:sz="8" w:color="47829E"/>
            </w:tcBorders>
          </w:tcPr>
          <w:p>
            <w:pPr>
              <w:spacing w:after="0"/>
              <w:rPr>
                <w:sz w:val="17"/>
                <w:szCs w:val="17"/>
                <w:color w:val="auto"/>
              </w:rPr>
            </w:pPr>
          </w:p>
        </w:tc>
        <w:tc>
          <w:tcPr>
            <w:tcW w:w="4100" w:type="dxa"/>
            <w:vAlign w:val="bottom"/>
            <w:tcBorders>
              <w:right w:val="single" w:sz="8" w:color="47829E"/>
            </w:tcBorders>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right w:val="single" w:sz="8" w:color="47829E"/>
            </w:tcBorders>
          </w:tcPr>
          <w:p>
            <w:pPr>
              <w:spacing w:after="0"/>
              <w:rPr>
                <w:sz w:val="17"/>
                <w:szCs w:val="17"/>
                <w:color w:val="auto"/>
              </w:rPr>
            </w:pPr>
          </w:p>
        </w:tc>
        <w:tc>
          <w:tcPr>
            <w:tcW w:w="1360" w:type="dxa"/>
            <w:vAlign w:val="bottom"/>
            <w:tcBorders>
              <w:right w:val="single" w:sz="8" w:color="47829E"/>
            </w:tcBorders>
          </w:tcPr>
          <w:p>
            <w:pPr>
              <w:jc w:val="right"/>
              <w:ind w:right="15"/>
              <w:spacing w:after="0"/>
              <w:rPr>
                <w:sz w:val="20"/>
                <w:szCs w:val="20"/>
                <w:color w:val="auto"/>
              </w:rPr>
            </w:pPr>
            <w:r>
              <w:rPr>
                <w:rFonts w:ascii="Arial" w:cs="Arial" w:eastAsia="Arial" w:hAnsi="Arial"/>
                <w:sz w:val="17"/>
                <w:szCs w:val="17"/>
                <w:color w:val="auto"/>
              </w:rPr>
              <w:t>12.0%</w:t>
            </w:r>
          </w:p>
        </w:tc>
        <w:tc>
          <w:tcPr>
            <w:tcW w:w="1280" w:type="dxa"/>
            <w:vAlign w:val="bottom"/>
            <w:tcBorders>
              <w:right w:val="single" w:sz="8" w:color="47829E"/>
            </w:tcBorders>
          </w:tcPr>
          <w:p>
            <w:pPr>
              <w:jc w:val="center"/>
              <w:ind w:left="95"/>
              <w:spacing w:after="0"/>
              <w:rPr>
                <w:sz w:val="20"/>
                <w:szCs w:val="20"/>
                <w:color w:val="auto"/>
              </w:rPr>
            </w:pPr>
            <w:r>
              <w:rPr>
                <w:rFonts w:ascii="Arial" w:cs="Arial" w:eastAsia="Arial" w:hAnsi="Arial"/>
                <w:sz w:val="17"/>
                <w:szCs w:val="17"/>
                <w:color w:val="auto"/>
              </w:rPr>
              <w:t>Promotion</w:t>
            </w:r>
          </w:p>
        </w:tc>
        <w:tc>
          <w:tcPr>
            <w:tcW w:w="1140" w:type="dxa"/>
            <w:vAlign w:val="bottom"/>
            <w:tcBorders>
              <w:right w:val="single" w:sz="8" w:color="47829E"/>
            </w:tcBorders>
          </w:tcPr>
          <w:p>
            <w:pPr>
              <w:jc w:val="right"/>
              <w:ind w:right="135"/>
              <w:spacing w:after="0"/>
              <w:rPr>
                <w:sz w:val="20"/>
                <w:szCs w:val="20"/>
                <w:color w:val="auto"/>
              </w:rPr>
            </w:pPr>
            <w:r>
              <w:rPr>
                <w:rFonts w:ascii="Arial" w:cs="Arial" w:eastAsia="Arial" w:hAnsi="Arial"/>
                <w:sz w:val="17"/>
                <w:szCs w:val="17"/>
                <w:color w:val="auto"/>
              </w:rPr>
              <w:t>11/15/15</w:t>
            </w:r>
          </w:p>
        </w:tc>
        <w:tc>
          <w:tcPr>
            <w:tcW w:w="380" w:type="dxa"/>
            <w:vAlign w:val="bottom"/>
          </w:tcPr>
          <w:p>
            <w:pPr>
              <w:ind w:left="180"/>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tcPr>
          <w:p>
            <w:pPr>
              <w:jc w:val="right"/>
              <w:ind w:right="175"/>
              <w:spacing w:after="0"/>
              <w:rPr>
                <w:sz w:val="20"/>
                <w:szCs w:val="20"/>
                <w:color w:val="auto"/>
              </w:rPr>
            </w:pPr>
            <w:r>
              <w:rPr>
                <w:rFonts w:ascii="Arial" w:cs="Arial" w:eastAsia="Arial" w:hAnsi="Arial"/>
                <w:sz w:val="17"/>
                <w:szCs w:val="17"/>
                <w:color w:val="auto"/>
              </w:rPr>
              <w:t>493,000</w:t>
            </w:r>
          </w:p>
        </w:tc>
      </w:tr>
      <w:tr>
        <w:trPr>
          <w:trHeight w:val="191"/>
        </w:trPr>
        <w:tc>
          <w:tcPr>
            <w:tcW w:w="4880" w:type="dxa"/>
            <w:vAlign w:val="bottom"/>
            <w:tcBorders>
              <w:left w:val="single" w:sz="8" w:color="47829E"/>
              <w:right w:val="single" w:sz="8" w:color="47829E"/>
            </w:tcBorders>
            <w:gridSpan w:val="2"/>
            <w:shd w:val="clear" w:color="auto" w:fill="E3ECF0"/>
          </w:tcPr>
          <w:p>
            <w:pPr>
              <w:ind w:left="160"/>
              <w:spacing w:after="0" w:line="191" w:lineRule="exact"/>
              <w:rPr>
                <w:sz w:val="20"/>
                <w:szCs w:val="20"/>
                <w:color w:val="auto"/>
              </w:rPr>
            </w:pPr>
            <w:r>
              <w:rPr>
                <w:rFonts w:ascii="Arial" w:cs="Arial" w:eastAsia="Arial" w:hAnsi="Arial"/>
                <w:sz w:val="17"/>
                <w:szCs w:val="17"/>
                <w:color w:val="auto"/>
              </w:rPr>
              <w:t>Donald A. McCunniff</w:t>
            </w:r>
          </w:p>
        </w:tc>
        <w:tc>
          <w:tcPr>
            <w:tcW w:w="360" w:type="dxa"/>
            <w:vAlign w:val="bottom"/>
            <w:shd w:val="clear" w:color="auto" w:fill="E3ECF0"/>
          </w:tcPr>
          <w:p>
            <w:pPr>
              <w:ind w:left="160"/>
              <w:spacing w:after="0" w:line="191"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shd w:val="clear" w:color="auto" w:fill="E3ECF0"/>
          </w:tcPr>
          <w:p>
            <w:pPr>
              <w:jc w:val="right"/>
              <w:ind w:right="135"/>
              <w:spacing w:after="0" w:line="191" w:lineRule="exact"/>
              <w:rPr>
                <w:sz w:val="20"/>
                <w:szCs w:val="20"/>
                <w:color w:val="auto"/>
              </w:rPr>
            </w:pPr>
            <w:r>
              <w:rPr>
                <w:rFonts w:ascii="Arial" w:cs="Arial" w:eastAsia="Arial" w:hAnsi="Arial"/>
                <w:sz w:val="17"/>
                <w:szCs w:val="17"/>
                <w:color w:val="auto"/>
              </w:rPr>
              <w:t>349,800</w:t>
            </w:r>
          </w:p>
        </w:tc>
        <w:tc>
          <w:tcPr>
            <w:tcW w:w="1360" w:type="dxa"/>
            <w:vAlign w:val="bottom"/>
            <w:tcBorders>
              <w:right w:val="single" w:sz="8" w:color="47829E"/>
            </w:tcBorders>
            <w:shd w:val="clear" w:color="auto" w:fill="E3ECF0"/>
          </w:tcPr>
          <w:p>
            <w:pPr>
              <w:jc w:val="right"/>
              <w:ind w:right="15"/>
              <w:spacing w:after="0" w:line="191" w:lineRule="exact"/>
              <w:rPr>
                <w:sz w:val="20"/>
                <w:szCs w:val="20"/>
                <w:color w:val="auto"/>
              </w:rPr>
            </w:pPr>
            <w:r>
              <w:rPr>
                <w:rFonts w:ascii="Arial" w:cs="Arial" w:eastAsia="Arial" w:hAnsi="Arial"/>
                <w:sz w:val="17"/>
                <w:szCs w:val="17"/>
                <w:color w:val="auto"/>
              </w:rPr>
              <w:t>3.0%</w:t>
            </w:r>
          </w:p>
        </w:tc>
        <w:tc>
          <w:tcPr>
            <w:tcW w:w="1280" w:type="dxa"/>
            <w:vAlign w:val="bottom"/>
            <w:tcBorders>
              <w:right w:val="single" w:sz="8" w:color="47829E"/>
            </w:tcBorders>
            <w:shd w:val="clear" w:color="auto" w:fill="E3ECF0"/>
          </w:tcPr>
          <w:p>
            <w:pPr>
              <w:jc w:val="center"/>
              <w:ind w:left="75"/>
              <w:spacing w:after="0" w:line="191"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shd w:val="clear" w:color="auto" w:fill="E3ECF0"/>
          </w:tcPr>
          <w:p>
            <w:pPr>
              <w:jc w:val="right"/>
              <w:ind w:right="135"/>
              <w:spacing w:after="0" w:line="191" w:lineRule="exact"/>
              <w:rPr>
                <w:sz w:val="20"/>
                <w:szCs w:val="20"/>
                <w:color w:val="auto"/>
              </w:rPr>
            </w:pPr>
            <w:r>
              <w:rPr>
                <w:rFonts w:ascii="Arial" w:cs="Arial" w:eastAsia="Arial" w:hAnsi="Arial"/>
                <w:sz w:val="17"/>
                <w:szCs w:val="17"/>
                <w:color w:val="auto"/>
              </w:rPr>
              <w:t>2/1/15</w:t>
            </w:r>
          </w:p>
        </w:tc>
        <w:tc>
          <w:tcPr>
            <w:tcW w:w="380" w:type="dxa"/>
            <w:vAlign w:val="bottom"/>
            <w:shd w:val="clear" w:color="auto" w:fill="E3ECF0"/>
          </w:tcPr>
          <w:p>
            <w:pPr>
              <w:ind w:left="180"/>
              <w:spacing w:after="0" w:line="191"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shd w:val="clear" w:color="auto" w:fill="E3ECF0"/>
          </w:tcPr>
          <w:p>
            <w:pPr>
              <w:jc w:val="right"/>
              <w:ind w:right="175"/>
              <w:spacing w:after="0" w:line="191" w:lineRule="exact"/>
              <w:rPr>
                <w:sz w:val="20"/>
                <w:szCs w:val="20"/>
                <w:color w:val="auto"/>
              </w:rPr>
            </w:pPr>
            <w:r>
              <w:rPr>
                <w:rFonts w:ascii="Arial" w:cs="Arial" w:eastAsia="Arial" w:hAnsi="Arial"/>
                <w:sz w:val="17"/>
                <w:szCs w:val="17"/>
                <w:color w:val="auto"/>
              </w:rPr>
              <w:t>360,300</w:t>
            </w:r>
          </w:p>
        </w:tc>
      </w:tr>
      <w:tr>
        <w:trPr>
          <w:trHeight w:val="189"/>
        </w:trPr>
        <w:tc>
          <w:tcPr>
            <w:tcW w:w="4880" w:type="dxa"/>
            <w:vAlign w:val="bottom"/>
            <w:tcBorders>
              <w:left w:val="single" w:sz="8" w:color="47829E"/>
              <w:bottom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Daniel L. Grant</w:t>
            </w:r>
          </w:p>
        </w:tc>
        <w:tc>
          <w:tcPr>
            <w:tcW w:w="360" w:type="dxa"/>
            <w:vAlign w:val="bottom"/>
            <w:tcBorders>
              <w:bottom w:val="single" w:sz="8" w:color="47829E"/>
            </w:tcBorders>
          </w:tcPr>
          <w:p>
            <w:pPr>
              <w:ind w:left="160"/>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47829E"/>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329,000</w:t>
            </w:r>
          </w:p>
        </w:tc>
        <w:tc>
          <w:tcPr>
            <w:tcW w:w="1360" w:type="dxa"/>
            <w:vAlign w:val="bottom"/>
            <w:tcBorders>
              <w:bottom w:val="single" w:sz="8" w:color="47829E"/>
              <w:right w:val="single" w:sz="8" w:color="47829E"/>
            </w:tcBorders>
          </w:tcPr>
          <w:p>
            <w:pPr>
              <w:jc w:val="right"/>
              <w:ind w:right="15"/>
              <w:spacing w:after="0" w:line="189" w:lineRule="exact"/>
              <w:rPr>
                <w:sz w:val="20"/>
                <w:szCs w:val="20"/>
                <w:color w:val="auto"/>
              </w:rPr>
            </w:pPr>
            <w:r>
              <w:rPr>
                <w:rFonts w:ascii="Arial" w:cs="Arial" w:eastAsia="Arial" w:hAnsi="Arial"/>
                <w:sz w:val="17"/>
                <w:szCs w:val="17"/>
                <w:color w:val="auto"/>
              </w:rPr>
              <w:t>3.3%</w:t>
            </w:r>
          </w:p>
        </w:tc>
        <w:tc>
          <w:tcPr>
            <w:tcW w:w="1280" w:type="dxa"/>
            <w:vAlign w:val="bottom"/>
            <w:tcBorders>
              <w:bottom w:val="single" w:sz="8" w:color="47829E"/>
              <w:right w:val="single" w:sz="8" w:color="47829E"/>
            </w:tcBorders>
          </w:tcPr>
          <w:p>
            <w:pPr>
              <w:jc w:val="center"/>
              <w:ind w:left="75"/>
              <w:spacing w:after="0" w:line="189" w:lineRule="exact"/>
              <w:rPr>
                <w:sz w:val="20"/>
                <w:szCs w:val="20"/>
                <w:color w:val="auto"/>
              </w:rPr>
            </w:pPr>
            <w:r>
              <w:rPr>
                <w:rFonts w:ascii="Arial" w:cs="Arial" w:eastAsia="Arial" w:hAnsi="Arial"/>
                <w:sz w:val="17"/>
                <w:szCs w:val="17"/>
                <w:color w:val="auto"/>
              </w:rPr>
              <w:t>Merit Increase</w:t>
            </w:r>
          </w:p>
        </w:tc>
        <w:tc>
          <w:tcPr>
            <w:tcW w:w="1140" w:type="dxa"/>
            <w:vAlign w:val="bottom"/>
            <w:tcBorders>
              <w:bottom w:val="single" w:sz="8" w:color="47829E"/>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2/1/15</w:t>
            </w:r>
          </w:p>
        </w:tc>
        <w:tc>
          <w:tcPr>
            <w:tcW w:w="380" w:type="dxa"/>
            <w:vAlign w:val="bottom"/>
            <w:tcBorders>
              <w:bottom w:val="single" w:sz="8" w:color="47829E"/>
            </w:tcBorders>
          </w:tcPr>
          <w:p>
            <w:pPr>
              <w:ind w:left="180"/>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47829E"/>
              <w:right w:val="single" w:sz="8" w:color="47829E"/>
            </w:tcBorders>
          </w:tcPr>
          <w:p>
            <w:pPr>
              <w:jc w:val="right"/>
              <w:ind w:right="175"/>
              <w:spacing w:after="0" w:line="189" w:lineRule="exact"/>
              <w:rPr>
                <w:sz w:val="20"/>
                <w:szCs w:val="20"/>
                <w:color w:val="auto"/>
              </w:rPr>
            </w:pPr>
            <w:r>
              <w:rPr>
                <w:rFonts w:ascii="Arial" w:cs="Arial" w:eastAsia="Arial" w:hAnsi="Arial"/>
                <w:sz w:val="17"/>
                <w:szCs w:val="17"/>
                <w:color w:val="auto"/>
              </w:rPr>
              <w:t>340,000</w:t>
            </w:r>
          </w:p>
        </w:tc>
      </w:tr>
      <w:tr>
        <w:trPr>
          <w:trHeight w:val="292"/>
        </w:trPr>
        <w:tc>
          <w:tcPr>
            <w:tcW w:w="8880" w:type="dxa"/>
            <w:vAlign w:val="bottom"/>
            <w:gridSpan w:val="6"/>
          </w:tcPr>
          <w:p>
            <w:pPr>
              <w:spacing w:after="0"/>
              <w:rPr>
                <w:sz w:val="20"/>
                <w:szCs w:val="20"/>
                <w:color w:val="auto"/>
              </w:rPr>
            </w:pPr>
            <w:r>
              <w:rPr>
                <w:rFonts w:ascii="Arial" w:cs="Arial" w:eastAsia="Arial" w:hAnsi="Arial"/>
                <w:sz w:val="14"/>
                <w:szCs w:val="14"/>
                <w:color w:val="auto"/>
              </w:rPr>
              <w:t>* NEO base salaries were increased on February 1, 2015. The increases reflect the pro rated increase from the last increase date.</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2"/>
        </w:trPr>
        <w:tc>
          <w:tcPr>
            <w:tcW w:w="780" w:type="dxa"/>
            <w:vAlign w:val="bottom"/>
          </w:tcPr>
          <w:p>
            <w:pPr>
              <w:spacing w:after="0"/>
              <w:rPr>
                <w:sz w:val="20"/>
                <w:szCs w:val="20"/>
                <w:color w:val="auto"/>
              </w:rPr>
            </w:pPr>
            <w:r>
              <w:rPr>
                <w:rFonts w:ascii="Arial" w:cs="Arial" w:eastAsia="Arial" w:hAnsi="Arial"/>
                <w:sz w:val="17"/>
                <w:szCs w:val="17"/>
                <w:color w:val="auto"/>
              </w:rPr>
              <w:t>34</w:t>
            </w:r>
          </w:p>
        </w:tc>
        <w:tc>
          <w:tcPr>
            <w:tcW w:w="4100" w:type="dxa"/>
            <w:vAlign w:val="bottom"/>
          </w:tcPr>
          <w:p>
            <w:pPr>
              <w:ind w:left="260"/>
              <w:spacing w:after="0"/>
              <w:rPr>
                <w:sz w:val="20"/>
                <w:szCs w:val="20"/>
                <w:color w:val="auto"/>
              </w:rPr>
            </w:pPr>
            <w:r>
              <w:rPr>
                <w:rFonts w:ascii="Arial" w:cs="Arial" w:eastAsia="Arial" w:hAnsi="Arial"/>
                <w:sz w:val="17"/>
                <w:szCs w:val="17"/>
                <w:i w:val="1"/>
                <w:iCs w:val="1"/>
                <w:color w:val="auto"/>
              </w:rPr>
              <w:t>2016 Proxy Statement</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34290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Annual Cash Incentive: Executive Incentive Plan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NEOs and other executives are eligible to earn annual bonuses under our Executive Incentive Plan based on the achievement of various performance metrics. Individual NEO targets (as a percent of base salary) are approved by the Committee at the beginning of the year based on a review of competitive market data.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Actual cash bonuses may range from 0% to 150% of each individual’s target, which is determined based on compensation peer data and internal pay equity. The Committee awards annual cash bonuses based on corporate performance objectives and the achievement of individualized targeted goals. This furthers Martin Marietta’s compensation philosophy in that it encourages superior performance and rewards the achievement of Martin Marietta’s annual goals. In 2015, all of the executive officers participated in the plan, except for Mr. Nye, for whom bonus compensation was awarded outside of the plan. The annual bonus level for 2015 for the NEOs was 95% of target.</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Arial" w:cs="Arial" w:eastAsia="Arial" w:hAnsi="Arial"/>
          <w:sz w:val="17"/>
          <w:szCs w:val="17"/>
          <w:color w:val="auto"/>
        </w:rPr>
        <w:t xml:space="preserve">In determining the incentive payments, the Committee first reviews the achievements of Martin Marietta for the past year as compared to its targeted goals set at the end of the previous year. The factors that the Committee took into account in determining Martin Marietta’s performance in 2015 include those listed above under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w:t>
      </w:r>
      <w:r>
        <w:rPr>
          <w:rFonts w:ascii="Arial" w:cs="Arial" w:eastAsia="Arial" w:hAnsi="Arial"/>
          <w:sz w:val="17"/>
          <w:szCs w:val="17"/>
          <w:color w:val="auto"/>
        </w:rPr>
        <w:t>on pages 27 to 28. The Committee also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9" w:lineRule="exact"/>
        <w:rPr>
          <w:sz w:val="20"/>
          <w:szCs w:val="20"/>
          <w:color w:val="auto"/>
        </w:rPr>
      </w:pPr>
    </w:p>
    <w:p>
      <w:pPr>
        <w:ind w:left="740" w:right="120" w:hanging="300"/>
        <w:spacing w:after="0" w:line="243"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detailed assessment of Martin Marietta’s overall financial performance and each segment’s financial performance</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Martin Marietta’s continuing successful cost management and automation initiatives in a challenging economic environment</w:t>
      </w:r>
    </w:p>
    <w:p>
      <w:pPr>
        <w:spacing w:after="0" w:line="83"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Our safety performance improvement in </w:t>
      </w:r>
      <w:r>
        <w:rPr>
          <w:rFonts w:ascii="Arial" w:cs="Arial" w:eastAsia="Arial" w:hAnsi="Arial"/>
          <w:sz w:val="17"/>
          <w:szCs w:val="17"/>
          <w:b w:val="1"/>
          <w:bCs w:val="1"/>
          <w:color w:val="auto"/>
        </w:rPr>
        <w:t>Total Incident Injury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Rate </w:t>
      </w:r>
      <w:r>
        <w:rPr>
          <w:rFonts w:ascii="Arial" w:cs="Arial" w:eastAsia="Arial" w:hAnsi="Arial"/>
          <w:sz w:val="17"/>
          <w:szCs w:val="17"/>
          <w:color w:val="auto"/>
        </w:rPr>
        <w:t>over the prior year’s record low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828675</wp:posOffset>
            </wp:positionV>
            <wp:extent cx="4827905" cy="2495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27905" cy="2495550"/>
                    </a:xfrm>
                    <a:prstGeom prst="rect">
                      <a:avLst/>
                    </a:prstGeom>
                    <a:noFill/>
                  </pic:spPr>
                </pic:pic>
              </a:graphicData>
            </a:graphic>
          </wp:anchor>
        </w:drawing>
      </w:r>
    </w:p>
    <w:p>
      <w:pPr>
        <w:spacing w:after="0" w:line="878" w:lineRule="exact"/>
        <w:rPr>
          <w:sz w:val="20"/>
          <w:szCs w:val="20"/>
          <w:color w:val="auto"/>
        </w:rPr>
      </w:pPr>
    </w:p>
    <w:p>
      <w:pPr>
        <w:sectPr>
          <w:pgSz w:w="11900" w:h="16838" w:orient="portrait"/>
          <w:cols w:equalWidth="0" w:num="2">
            <w:col w:w="5480" w:space="340"/>
            <w:col w:w="5600"/>
          </w:cols>
          <w:pgMar w:left="240" w:top="3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5240" w:type="dxa"/>
            <w:vAlign w:val="bottom"/>
          </w:tcPr>
          <w:p>
            <w:pPr>
              <w:ind w:left="120"/>
              <w:spacing w:after="0"/>
              <w:rPr>
                <w:sz w:val="20"/>
                <w:szCs w:val="20"/>
                <w:color w:val="auto"/>
              </w:rPr>
            </w:pPr>
            <w:r>
              <w:rPr>
                <w:rFonts w:ascii="Arial" w:cs="Arial" w:eastAsia="Arial" w:hAnsi="Arial"/>
                <w:sz w:val="17"/>
                <w:szCs w:val="17"/>
                <w:color w:val="auto"/>
              </w:rPr>
              <w:t>Outstanding environmental and regulatory compliance results</w:t>
            </w:r>
          </w:p>
        </w:tc>
        <w:tc>
          <w:tcPr>
            <w:tcW w:w="5560" w:type="dxa"/>
            <w:vAlign w:val="bottom"/>
          </w:tcPr>
          <w:p>
            <w:pPr>
              <w:ind w:left="400"/>
              <w:spacing w:after="0"/>
              <w:rPr>
                <w:sz w:val="20"/>
                <w:szCs w:val="20"/>
                <w:color w:val="auto"/>
              </w:rPr>
            </w:pPr>
            <w:r>
              <w:rPr>
                <w:rFonts w:ascii="Arial" w:cs="Arial" w:eastAsia="Arial" w:hAnsi="Arial"/>
                <w:sz w:val="17"/>
                <w:szCs w:val="17"/>
                <w:color w:val="auto"/>
              </w:rPr>
              <w:t>•   The  successful  organic  and  inorganic  growth  of  Martin</w:t>
            </w:r>
          </w:p>
        </w:tc>
        <w:tc>
          <w:tcPr>
            <w:tcW w:w="0" w:type="dxa"/>
            <w:vAlign w:val="bottom"/>
          </w:tcPr>
          <w:p>
            <w:pPr>
              <w:spacing w:after="0"/>
              <w:rPr>
                <w:sz w:val="1"/>
                <w:szCs w:val="1"/>
                <w:color w:val="auto"/>
              </w:rPr>
            </w:pPr>
          </w:p>
        </w:tc>
      </w:tr>
      <w:tr>
        <w:trPr>
          <w:trHeight w:val="205"/>
        </w:trPr>
        <w:tc>
          <w:tcPr>
            <w:tcW w:w="180" w:type="dxa"/>
            <w:vAlign w:val="bottom"/>
            <w:vMerge w:val="restart"/>
          </w:tcPr>
          <w:p>
            <w:pPr>
              <w:spacing w:after="0"/>
              <w:rPr>
                <w:sz w:val="20"/>
                <w:szCs w:val="20"/>
                <w:color w:val="auto"/>
              </w:rPr>
            </w:pPr>
            <w:r>
              <w:rPr>
                <w:rFonts w:ascii="Arial" w:cs="Arial" w:eastAsia="Arial" w:hAnsi="Arial"/>
                <w:sz w:val="17"/>
                <w:szCs w:val="17"/>
                <w:color w:val="auto"/>
              </w:rPr>
              <w:t>•</w:t>
            </w:r>
          </w:p>
        </w:tc>
        <w:tc>
          <w:tcPr>
            <w:tcW w:w="5240" w:type="dxa"/>
            <w:vAlign w:val="bottom"/>
            <w:vMerge w:val="restart"/>
          </w:tcPr>
          <w:p>
            <w:pPr>
              <w:ind w:left="120"/>
              <w:spacing w:after="0"/>
              <w:rPr>
                <w:sz w:val="20"/>
                <w:szCs w:val="20"/>
                <w:color w:val="auto"/>
              </w:rPr>
            </w:pPr>
            <w:r>
              <w:rPr>
                <w:rFonts w:ascii="Arial" w:cs="Arial" w:eastAsia="Arial" w:hAnsi="Arial"/>
                <w:sz w:val="17"/>
                <w:szCs w:val="17"/>
                <w:color w:val="auto"/>
              </w:rPr>
              <w:t>Continuing achievement of excellent management of working</w:t>
            </w:r>
          </w:p>
        </w:tc>
        <w:tc>
          <w:tcPr>
            <w:tcW w:w="5560" w:type="dxa"/>
            <w:vAlign w:val="bottom"/>
          </w:tcPr>
          <w:p>
            <w:pPr>
              <w:ind w:left="700"/>
              <w:spacing w:after="0"/>
              <w:rPr>
                <w:sz w:val="20"/>
                <w:szCs w:val="20"/>
                <w:color w:val="auto"/>
              </w:rPr>
            </w:pPr>
            <w:r>
              <w:rPr>
                <w:rFonts w:ascii="Arial" w:cs="Arial" w:eastAsia="Arial" w:hAnsi="Arial"/>
                <w:sz w:val="17"/>
                <w:szCs w:val="17"/>
                <w:color w:val="auto"/>
              </w:rPr>
              <w:t>Marietta</w:t>
            </w:r>
          </w:p>
        </w:tc>
        <w:tc>
          <w:tcPr>
            <w:tcW w:w="0" w:type="dxa"/>
            <w:vAlign w:val="bottom"/>
          </w:tcPr>
          <w:p>
            <w:pPr>
              <w:spacing w:after="0"/>
              <w:rPr>
                <w:sz w:val="1"/>
                <w:szCs w:val="1"/>
                <w:color w:val="auto"/>
              </w:rPr>
            </w:pPr>
          </w:p>
        </w:tc>
      </w:tr>
      <w:tr>
        <w:trPr>
          <w:trHeight w:val="106"/>
        </w:trPr>
        <w:tc>
          <w:tcPr>
            <w:tcW w:w="180" w:type="dxa"/>
            <w:vAlign w:val="bottom"/>
            <w:vMerge w:val="continue"/>
          </w:tcPr>
          <w:p>
            <w:pPr>
              <w:spacing w:after="0"/>
              <w:rPr>
                <w:sz w:val="9"/>
                <w:szCs w:val="9"/>
                <w:color w:val="auto"/>
              </w:rPr>
            </w:pPr>
          </w:p>
        </w:tc>
        <w:tc>
          <w:tcPr>
            <w:tcW w:w="5240" w:type="dxa"/>
            <w:vAlign w:val="bottom"/>
            <w:vMerge w:val="continue"/>
          </w:tcPr>
          <w:p>
            <w:pPr>
              <w:spacing w:after="0"/>
              <w:rPr>
                <w:sz w:val="9"/>
                <w:szCs w:val="9"/>
                <w:color w:val="auto"/>
              </w:rPr>
            </w:pPr>
          </w:p>
        </w:tc>
        <w:tc>
          <w:tcPr>
            <w:tcW w:w="5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5240" w:type="dxa"/>
            <w:vAlign w:val="bottom"/>
          </w:tcPr>
          <w:p>
            <w:pPr>
              <w:ind w:left="120"/>
              <w:spacing w:after="0"/>
              <w:rPr>
                <w:sz w:val="20"/>
                <w:szCs w:val="20"/>
                <w:color w:val="auto"/>
              </w:rPr>
            </w:pPr>
            <w:r>
              <w:rPr>
                <w:rFonts w:ascii="Arial" w:cs="Arial" w:eastAsia="Arial" w:hAnsi="Arial"/>
                <w:sz w:val="17"/>
                <w:szCs w:val="17"/>
                <w:color w:val="auto"/>
              </w:rPr>
              <w:t>capital</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560" w:type="dxa"/>
            <w:vAlign w:val="bottom"/>
          </w:tcPr>
          <w:p>
            <w:pPr>
              <w:ind w:left="358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-125730</wp:posOffset>
            </wp:positionV>
            <wp:extent cx="34290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type w:val="continuous"/>
        </w:sectPr>
      </w:pPr>
    </w:p>
    <w:bookmarkStart w:id="39" w:name="page40"/>
    <w:bookmarkEnd w:id="39"/>
    <w:p>
      <w:pPr>
        <w:jc w:val="both"/>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considered shareholder returns. In this regard, another indication of the executive officers’ performance is the consistent delivery of value to Martin Marietta’s shareholders, despite the Great Recession that severely impacted the Company and the construction materials industry,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149225</wp:posOffset>
            </wp:positionV>
            <wp:extent cx="2581275" cy="1946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812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of December 31, 2015</w:t>
      </w:r>
    </w:p>
    <w:p>
      <w:pPr>
        <w:sectPr>
          <w:pgSz w:w="11900" w:h="16838" w:orient="portrait"/>
          <w:cols w:equalWidth="0" w:num="1">
            <w:col w:w="11420"/>
          </w:cols>
          <w:pgMar w:left="240" w:top="282" w:right="239" w:bottom="1440" w:gutter="0" w:footer="0" w:header="0"/>
        </w:sectPr>
      </w:pPr>
    </w:p>
    <w:p>
      <w:pPr>
        <w:spacing w:after="0" w:line="2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safety, customer satisfaction, and product quality.</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Key individual performance criteria are established for each NEO, which are intended to drive strategic and support operational results in the Company and the functional groups. These performance metrics are established at the beginning of each plan year and are based upon Martin Marietta’s Long-Range Operating Plan, which is set at the end of the previous year. For executives in corporate staff positions, 50% of the determination is made with respect to Martin Marietta’s performance and 50% is based on the individual’s performance against established objectives. Similar to the Committee’s assessment of financial goals, the Committee’s assessment of individual performance goals generally excludes certain non-recurring or extraordinary items. We do not disclose specific individual performance goals due to the potential for competitive harm. Our targeted individual goals are “stretch but reasonable.”</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individualized target goals are tailored for each executive, his or her specific areas of responsibility and the then-current and longer-term goals of Martin Marietta. In addition, achievement of the goals typically is in part dependent on conditions outside the control of each of the named executive officer. For example, we have a strong focus on safety in Martin Marietta. Regardless of the achievement of other targets, incentive awards are reduced for all employees in the event of any serious workplace safety incident at Martin Marietta. Similarly, our business may be adversely affected by hurricanes or other weather-related conditions, which could have the result of impeding the achievement of certain performance-based goals.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CEO Annual Incentive Award Earned</w:t>
      </w:r>
    </w:p>
    <w:p>
      <w:pPr>
        <w:spacing w:after="0" w:line="23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The CEO does not participate in Martin Marietta’s Executive Incentive Plan and his bonus, if any, is determined at the discretion of the Committee, based on the performance factors discussed above for 2015, including:</w:t>
      </w:r>
    </w:p>
    <w:p>
      <w:pPr>
        <w:spacing w:after="0" w:line="109" w:lineRule="exact"/>
        <w:rPr>
          <w:sz w:val="20"/>
          <w:szCs w:val="20"/>
          <w:color w:val="auto"/>
        </w:rPr>
      </w:pPr>
    </w:p>
    <w:p>
      <w:pPr>
        <w:ind w:left="740" w:right="120" w:hanging="300"/>
        <w:spacing w:after="0" w:line="243" w:lineRule="auto"/>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Revenue growth, including from heritage operations only (without regard to the TXI acquisition)</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Gross profit margin expansion</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EBITDA growth</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EPS growth</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SG&amp;A improvement</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Safety and regulatory compliance record</w:t>
      </w:r>
    </w:p>
    <w:p>
      <w:pPr>
        <w:spacing w:after="0" w:line="21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Generally, Mr. Nye’s bonus level is approximately 100% of his base salary although there is no specific target for the CEO’s bonus. The Committee did not attempt to set Mr. Nye’s 2015 bonus in any particular relationship to peer compensation survey data but did consider those factors. The Committee awarded him an annual incentive bonus of $928,625 for 2015, which was 95% of his base pay, after considering many diverse factors, including the advice of the Committee’s independent compensation consultant. Consistent with its compensation philosophy that focuses on long-term performance, the Committee considers whether there are factors in addition to quantitative ones that should be taken into account in establishing the overall level of Mr. Nye’s compensation. In this</w:t>
      </w:r>
    </w:p>
    <w:p>
      <w:pPr>
        <w:spacing w:after="0" w:line="200" w:lineRule="exact"/>
        <w:rPr>
          <w:sz w:val="20"/>
          <w:szCs w:val="20"/>
          <w:color w:val="auto"/>
        </w:rPr>
      </w:pPr>
    </w:p>
    <w:p>
      <w:pPr>
        <w:sectPr>
          <w:pgSz w:w="11900" w:h="16838" w:orient="portrait"/>
          <w:cols w:equalWidth="0" w:num="2">
            <w:col w:w="5480" w:space="340"/>
            <w:col w:w="5600"/>
          </w:cols>
          <w:pgMar w:left="240" w:top="282" w:right="2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sz w:val="1"/>
          <w:szCs w:val="1"/>
          <w:color w:val="auto"/>
        </w:rPr>
        <w:drawing>
          <wp:inline distT="0" distB="0" distL="0" distR="0">
            <wp:extent cx="342900" cy="2057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82" w:right="239" w:bottom="1440" w:gutter="0" w:footer="0" w:header="0"/>
          <w:type w:val="continuous"/>
        </w:sectPr>
      </w:pPr>
    </w:p>
    <w:bookmarkStart w:id="40" w:name="page41"/>
    <w:bookmarkEnd w:id="40"/>
    <w:p>
      <w:pPr>
        <w:jc w:val="both"/>
        <w:spacing w:after="0" w:line="236" w:lineRule="auto"/>
        <w:rPr>
          <w:sz w:val="20"/>
          <w:szCs w:val="20"/>
          <w:color w:val="auto"/>
        </w:rPr>
      </w:pPr>
      <w:r>
        <w:rPr>
          <w:rFonts w:ascii="Arial" w:cs="Arial" w:eastAsia="Arial" w:hAnsi="Arial"/>
          <w:sz w:val="17"/>
          <w:szCs w:val="17"/>
          <w:color w:val="auto"/>
        </w:rPr>
        <w:t>regard, the Committee considered accomplishments that benefit shareholders in the longer term. In subjectively determining the amount of Mr. Nye’s bonus for 2015, the Committee took into account the same type of objective</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Actual Incentive Cash Earned</w:t>
      </w:r>
    </w:p>
    <w:p>
      <w:pPr>
        <w:spacing w:after="0" w:line="20" w:lineRule="exact"/>
        <w:rPr>
          <w:sz w:val="20"/>
          <w:szCs w:val="20"/>
          <w:color w:val="auto"/>
        </w:rPr>
      </w:pPr>
      <w:r>
        <w:rPr>
          <w:sz w:val="20"/>
          <w:szCs w:val="20"/>
          <w:color w:val="auto"/>
        </w:rPr>
        <w:br w:type="column"/>
      </w:r>
    </w:p>
    <w:p>
      <w:pPr>
        <w:jc w:val="both"/>
        <w:ind w:right="140"/>
        <w:spacing w:after="0" w:line="238" w:lineRule="auto"/>
        <w:rPr>
          <w:sz w:val="20"/>
          <w:szCs w:val="20"/>
          <w:color w:val="auto"/>
        </w:rPr>
      </w:pPr>
      <w:r>
        <w:rPr>
          <w:rFonts w:ascii="Arial" w:cs="Arial" w:eastAsia="Arial" w:hAnsi="Arial"/>
          <w:sz w:val="17"/>
          <w:szCs w:val="17"/>
          <w:color w:val="auto"/>
        </w:rPr>
        <w:t>performance measures and qualitative measures, such as the effectiveness and quality of Mr. Nye’s leadership of Martin Marietta, as it considered for executive officers who receive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41" w:lineRule="exact"/>
        <w:rPr>
          <w:sz w:val="20"/>
          <w:szCs w:val="20"/>
          <w:color w:val="auto"/>
        </w:rPr>
      </w:pPr>
    </w:p>
    <w:p>
      <w:pPr>
        <w:sectPr>
          <w:pgSz w:w="11900" w:h="16838" w:orient="portrait"/>
          <w:cols w:equalWidth="0" w:num="2">
            <w:col w:w="5480" w:space="340"/>
            <w:col w:w="5620"/>
          </w:cols>
          <w:pgMar w:left="240" w:top="336" w:right="219" w:bottom="1440" w:gutter="0" w:footer="0" w:header="0"/>
        </w:sectPr>
      </w:pPr>
    </w:p>
    <w:p>
      <w:pPr>
        <w:spacing w:after="0" w:line="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Based on the previous table showing the approved performance achievement levels and the percentage of target earned, the table below summarizes the targets for 2015 and annual incentive award earned by each NEO: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shd w:val="clear" w:color="auto" w:fill="47829E"/>
          </w:tcPr>
          <w:p>
            <w:pPr>
              <w:spacing w:after="0"/>
              <w:rPr>
                <w:sz w:val="16"/>
                <w:szCs w:val="16"/>
                <w:color w:val="auto"/>
              </w:rPr>
            </w:pPr>
          </w:p>
        </w:tc>
        <w:tc>
          <w:tcPr>
            <w:tcW w:w="4000" w:type="dxa"/>
            <w:vAlign w:val="bottom"/>
            <w:shd w:val="clear" w:color="auto" w:fill="47829E"/>
          </w:tcPr>
          <w:p>
            <w:pPr>
              <w:jc w:val="center"/>
              <w:ind w:left="1395"/>
              <w:spacing w:after="0"/>
              <w:rPr>
                <w:sz w:val="20"/>
                <w:szCs w:val="20"/>
                <w:color w:val="auto"/>
              </w:rPr>
            </w:pPr>
            <w:r>
              <w:rPr>
                <w:rFonts w:ascii="Arial" w:cs="Arial" w:eastAsia="Arial" w:hAnsi="Arial"/>
                <w:sz w:val="17"/>
                <w:szCs w:val="17"/>
                <w:b w:val="1"/>
                <w:bCs w:val="1"/>
                <w:color w:val="FFFFFF"/>
                <w:w w:val="99"/>
              </w:rPr>
              <w:t>Target Annual Incentive</w:t>
            </w:r>
          </w:p>
        </w:tc>
        <w:tc>
          <w:tcPr>
            <w:tcW w:w="2100" w:type="dxa"/>
            <w:vAlign w:val="bottom"/>
            <w:shd w:val="clear" w:color="auto" w:fill="47829E"/>
          </w:tcPr>
          <w:p>
            <w:pPr>
              <w:jc w:val="center"/>
              <w:spacing w:after="0"/>
              <w:rPr>
                <w:sz w:val="20"/>
                <w:szCs w:val="20"/>
                <w:color w:val="auto"/>
              </w:rPr>
            </w:pPr>
            <w:r>
              <w:rPr>
                <w:rFonts w:ascii="Arial" w:cs="Arial" w:eastAsia="Arial" w:hAnsi="Arial"/>
                <w:sz w:val="17"/>
                <w:szCs w:val="17"/>
                <w:b w:val="1"/>
                <w:bCs w:val="1"/>
                <w:color w:val="FFFFFF"/>
                <w:w w:val="99"/>
              </w:rPr>
              <w:t>2015 Target</w:t>
            </w:r>
          </w:p>
        </w:tc>
        <w:tc>
          <w:tcPr>
            <w:tcW w:w="1800" w:type="dxa"/>
            <w:vAlign w:val="bottom"/>
            <w:shd w:val="clear" w:color="auto" w:fill="47829E"/>
          </w:tcPr>
          <w:p>
            <w:pPr>
              <w:jc w:val="right"/>
              <w:ind w:right="275"/>
              <w:spacing w:after="0"/>
              <w:rPr>
                <w:sz w:val="20"/>
                <w:szCs w:val="20"/>
                <w:color w:val="auto"/>
              </w:rPr>
            </w:pPr>
            <w:r>
              <w:rPr>
                <w:rFonts w:ascii="Arial" w:cs="Arial" w:eastAsia="Arial" w:hAnsi="Arial"/>
                <w:sz w:val="17"/>
                <w:szCs w:val="17"/>
                <w:b w:val="1"/>
                <w:bCs w:val="1"/>
                <w:color w:val="FFFFFF"/>
              </w:rPr>
              <w:t>2015 Actual</w:t>
            </w:r>
          </w:p>
        </w:tc>
        <w:tc>
          <w:tcPr>
            <w:tcW w:w="20" w:type="dxa"/>
            <w:vAlign w:val="bottom"/>
            <w:shd w:val="clear" w:color="auto" w:fill="47829E"/>
          </w:tcPr>
          <w:p>
            <w:pPr>
              <w:spacing w:after="0"/>
              <w:rPr>
                <w:sz w:val="16"/>
                <w:szCs w:val="16"/>
                <w:color w:val="auto"/>
              </w:rPr>
            </w:pPr>
          </w:p>
        </w:tc>
      </w:tr>
      <w:tr>
        <w:trPr>
          <w:trHeight w:val="229"/>
        </w:trPr>
        <w:tc>
          <w:tcPr>
            <w:tcW w:w="3520" w:type="dxa"/>
            <w:vAlign w:val="bottom"/>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4000" w:type="dxa"/>
            <w:vAlign w:val="bottom"/>
            <w:shd w:val="clear" w:color="auto" w:fill="47829E"/>
          </w:tcPr>
          <w:p>
            <w:pPr>
              <w:jc w:val="center"/>
              <w:ind w:left="1415"/>
              <w:spacing w:after="0"/>
              <w:rPr>
                <w:sz w:val="20"/>
                <w:szCs w:val="20"/>
                <w:color w:val="auto"/>
              </w:rPr>
            </w:pPr>
            <w:r>
              <w:rPr>
                <w:rFonts w:ascii="Arial" w:cs="Arial" w:eastAsia="Arial" w:hAnsi="Arial"/>
                <w:sz w:val="17"/>
                <w:szCs w:val="17"/>
                <w:b w:val="1"/>
                <w:bCs w:val="1"/>
                <w:color w:val="FFFFFF"/>
              </w:rPr>
              <w:t>Bonus (% of Salary)</w:t>
            </w:r>
          </w:p>
        </w:tc>
        <w:tc>
          <w:tcPr>
            <w:tcW w:w="2100" w:type="dxa"/>
            <w:vAlign w:val="bottom"/>
            <w:shd w:val="clear" w:color="auto" w:fill="47829E"/>
          </w:tcPr>
          <w:p>
            <w:pPr>
              <w:jc w:val="center"/>
              <w:spacing w:after="0"/>
              <w:rPr>
                <w:sz w:val="20"/>
                <w:szCs w:val="20"/>
                <w:color w:val="auto"/>
              </w:rPr>
            </w:pPr>
            <w:r>
              <w:rPr>
                <w:rFonts w:ascii="Arial" w:cs="Arial" w:eastAsia="Arial" w:hAnsi="Arial"/>
                <w:sz w:val="17"/>
                <w:szCs w:val="17"/>
                <w:b w:val="1"/>
                <w:bCs w:val="1"/>
                <w:color w:val="FFFFFF"/>
              </w:rPr>
              <w:t>Annual Incentive**</w:t>
            </w:r>
          </w:p>
        </w:tc>
        <w:tc>
          <w:tcPr>
            <w:tcW w:w="1800" w:type="dxa"/>
            <w:vAlign w:val="bottom"/>
            <w:shd w:val="clear" w:color="auto" w:fill="47829E"/>
          </w:tcPr>
          <w:p>
            <w:pPr>
              <w:jc w:val="right"/>
              <w:ind w:right="55"/>
              <w:spacing w:after="0"/>
              <w:rPr>
                <w:sz w:val="20"/>
                <w:szCs w:val="20"/>
                <w:color w:val="auto"/>
              </w:rPr>
            </w:pPr>
            <w:r>
              <w:rPr>
                <w:rFonts w:ascii="Arial" w:cs="Arial" w:eastAsia="Arial" w:hAnsi="Arial"/>
                <w:sz w:val="17"/>
                <w:szCs w:val="17"/>
                <w:b w:val="1"/>
                <w:bCs w:val="1"/>
                <w:color w:val="FFFFFF"/>
              </w:rPr>
              <w:t>Annual Incentive</w:t>
            </w:r>
          </w:p>
        </w:tc>
        <w:tc>
          <w:tcPr>
            <w:tcW w:w="20" w:type="dxa"/>
            <w:vAlign w:val="bottom"/>
            <w:shd w:val="clear" w:color="auto" w:fill="47829E"/>
          </w:tcPr>
          <w:p>
            <w:pPr>
              <w:spacing w:after="0"/>
              <w:rPr>
                <w:sz w:val="19"/>
                <w:szCs w:val="19"/>
                <w:color w:val="auto"/>
              </w:rPr>
            </w:pPr>
          </w:p>
        </w:tc>
      </w:tr>
      <w:tr>
        <w:trPr>
          <w:trHeight w:val="189"/>
        </w:trPr>
        <w:tc>
          <w:tcPr>
            <w:tcW w:w="3520" w:type="dxa"/>
            <w:vAlign w:val="bottom"/>
          </w:tcPr>
          <w:p>
            <w:pPr>
              <w:ind w:left="160"/>
              <w:spacing w:after="0" w:line="189" w:lineRule="exact"/>
              <w:rPr>
                <w:sz w:val="20"/>
                <w:szCs w:val="20"/>
                <w:color w:val="auto"/>
              </w:rPr>
            </w:pPr>
            <w:r>
              <w:rPr>
                <w:rFonts w:ascii="Arial" w:cs="Arial" w:eastAsia="Arial" w:hAnsi="Arial"/>
                <w:sz w:val="17"/>
                <w:szCs w:val="17"/>
                <w:color w:val="auto"/>
              </w:rPr>
              <w:t>C. Howard Nye*</w:t>
            </w:r>
          </w:p>
        </w:tc>
        <w:tc>
          <w:tcPr>
            <w:tcW w:w="4000" w:type="dxa"/>
            <w:vAlign w:val="bottom"/>
          </w:tcPr>
          <w:p>
            <w:pPr>
              <w:jc w:val="center"/>
              <w:ind w:left="1415"/>
              <w:spacing w:after="0" w:line="189" w:lineRule="exact"/>
              <w:rPr>
                <w:sz w:val="20"/>
                <w:szCs w:val="20"/>
                <w:color w:val="auto"/>
              </w:rPr>
            </w:pPr>
            <w:r>
              <w:rPr>
                <w:rFonts w:ascii="Arial" w:cs="Arial" w:eastAsia="Arial" w:hAnsi="Arial"/>
                <w:sz w:val="17"/>
                <w:szCs w:val="17"/>
                <w:color w:val="auto"/>
                <w:w w:val="99"/>
              </w:rPr>
              <w:t>100%*</w:t>
            </w:r>
          </w:p>
        </w:tc>
        <w:tc>
          <w:tcPr>
            <w:tcW w:w="2100" w:type="dxa"/>
            <w:vAlign w:val="bottom"/>
          </w:tcPr>
          <w:p>
            <w:pPr>
              <w:jc w:val="center"/>
              <w:spacing w:after="0" w:line="189" w:lineRule="exact"/>
              <w:rPr>
                <w:sz w:val="20"/>
                <w:szCs w:val="20"/>
                <w:color w:val="auto"/>
              </w:rPr>
            </w:pPr>
            <w:r>
              <w:rPr>
                <w:rFonts w:ascii="Arial" w:cs="Arial" w:eastAsia="Arial" w:hAnsi="Arial"/>
                <w:sz w:val="17"/>
                <w:szCs w:val="17"/>
                <w:color w:val="auto"/>
                <w:w w:val="98"/>
              </w:rPr>
              <w:t>$977,500</w:t>
            </w:r>
          </w:p>
        </w:tc>
        <w:tc>
          <w:tcPr>
            <w:tcW w:w="1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$928,625</w:t>
            </w:r>
          </w:p>
        </w:tc>
        <w:tc>
          <w:tcPr>
            <w:tcW w:w="20" w:type="dxa"/>
            <w:vAlign w:val="bottom"/>
          </w:tcPr>
          <w:p>
            <w:pPr>
              <w:spacing w:after="0"/>
              <w:rPr>
                <w:sz w:val="16"/>
                <w:szCs w:val="16"/>
                <w:color w:val="auto"/>
              </w:rPr>
            </w:pPr>
          </w:p>
        </w:tc>
      </w:tr>
      <w:tr>
        <w:trPr>
          <w:trHeight w:val="189"/>
        </w:trPr>
        <w:tc>
          <w:tcPr>
            <w:tcW w:w="352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color w:val="auto"/>
              </w:rPr>
              <w:t>Anne H. Lloyd</w:t>
            </w:r>
          </w:p>
        </w:tc>
        <w:tc>
          <w:tcPr>
            <w:tcW w:w="4000" w:type="dxa"/>
            <w:vAlign w:val="bottom"/>
            <w:shd w:val="clear" w:color="auto" w:fill="DAE6EB"/>
          </w:tcPr>
          <w:p>
            <w:pPr>
              <w:jc w:val="center"/>
              <w:ind w:left="1415"/>
              <w:spacing w:after="0" w:line="189" w:lineRule="exact"/>
              <w:rPr>
                <w:sz w:val="20"/>
                <w:szCs w:val="20"/>
                <w:color w:val="auto"/>
              </w:rPr>
            </w:pPr>
            <w:r>
              <w:rPr>
                <w:rFonts w:ascii="Arial" w:cs="Arial" w:eastAsia="Arial" w:hAnsi="Arial"/>
                <w:sz w:val="17"/>
                <w:szCs w:val="17"/>
                <w:color w:val="auto"/>
                <w:w w:val="99"/>
              </w:rPr>
              <w:t>80%</w:t>
            </w:r>
          </w:p>
        </w:tc>
        <w:tc>
          <w:tcPr>
            <w:tcW w:w="2100" w:type="dxa"/>
            <w:vAlign w:val="bottom"/>
            <w:shd w:val="clear" w:color="auto" w:fill="DAE6EB"/>
          </w:tcPr>
          <w:p>
            <w:pPr>
              <w:jc w:val="center"/>
              <w:spacing w:after="0" w:line="189" w:lineRule="exact"/>
              <w:rPr>
                <w:sz w:val="20"/>
                <w:szCs w:val="20"/>
                <w:color w:val="auto"/>
              </w:rPr>
            </w:pPr>
            <w:r>
              <w:rPr>
                <w:rFonts w:ascii="Arial" w:cs="Arial" w:eastAsia="Arial" w:hAnsi="Arial"/>
                <w:sz w:val="17"/>
                <w:szCs w:val="17"/>
                <w:color w:val="auto"/>
                <w:w w:val="98"/>
              </w:rPr>
              <w:t>$420,260</w:t>
            </w:r>
          </w:p>
        </w:tc>
        <w:tc>
          <w:tcPr>
            <w:tcW w:w="1800" w:type="dxa"/>
            <w:vAlign w:val="bottom"/>
            <w:shd w:val="clear" w:color="auto" w:fill="DAE6EB"/>
          </w:tcPr>
          <w:p>
            <w:pPr>
              <w:jc w:val="right"/>
              <w:ind w:right="315"/>
              <w:spacing w:after="0" w:line="189" w:lineRule="exact"/>
              <w:rPr>
                <w:sz w:val="20"/>
                <w:szCs w:val="20"/>
                <w:color w:val="auto"/>
              </w:rPr>
            </w:pPr>
            <w:r>
              <w:rPr>
                <w:rFonts w:ascii="Arial" w:cs="Arial" w:eastAsia="Arial" w:hAnsi="Arial"/>
                <w:sz w:val="17"/>
                <w:szCs w:val="17"/>
                <w:color w:val="auto"/>
              </w:rPr>
              <w:t>$399,247</w:t>
            </w:r>
          </w:p>
        </w:tc>
        <w:tc>
          <w:tcPr>
            <w:tcW w:w="20" w:type="dxa"/>
            <w:vAlign w:val="bottom"/>
          </w:tcPr>
          <w:p>
            <w:pPr>
              <w:spacing w:after="0"/>
              <w:rPr>
                <w:sz w:val="16"/>
                <w:szCs w:val="16"/>
                <w:color w:val="auto"/>
              </w:rPr>
            </w:pPr>
          </w:p>
        </w:tc>
      </w:tr>
      <w:tr>
        <w:trPr>
          <w:trHeight w:val="189"/>
        </w:trPr>
        <w:tc>
          <w:tcPr>
            <w:tcW w:w="3520" w:type="dxa"/>
            <w:vAlign w:val="bottom"/>
          </w:tcPr>
          <w:p>
            <w:pPr>
              <w:ind w:left="160"/>
              <w:spacing w:after="0" w:line="189" w:lineRule="exact"/>
              <w:rPr>
                <w:sz w:val="20"/>
                <w:szCs w:val="20"/>
                <w:color w:val="auto"/>
              </w:rPr>
            </w:pPr>
            <w:r>
              <w:rPr>
                <w:rFonts w:ascii="Arial" w:cs="Arial" w:eastAsia="Arial" w:hAnsi="Arial"/>
                <w:sz w:val="17"/>
                <w:szCs w:val="17"/>
                <w:color w:val="auto"/>
              </w:rPr>
              <w:t>Roselyn R. Bar</w:t>
            </w:r>
          </w:p>
        </w:tc>
        <w:tc>
          <w:tcPr>
            <w:tcW w:w="4000" w:type="dxa"/>
            <w:vAlign w:val="bottom"/>
          </w:tcPr>
          <w:p>
            <w:pPr>
              <w:jc w:val="center"/>
              <w:ind w:left="1415"/>
              <w:spacing w:after="0" w:line="189" w:lineRule="exact"/>
              <w:rPr>
                <w:sz w:val="20"/>
                <w:szCs w:val="20"/>
                <w:color w:val="auto"/>
              </w:rPr>
            </w:pPr>
            <w:r>
              <w:rPr>
                <w:rFonts w:ascii="Arial" w:cs="Arial" w:eastAsia="Arial" w:hAnsi="Arial"/>
                <w:sz w:val="17"/>
                <w:szCs w:val="17"/>
                <w:color w:val="auto"/>
                <w:w w:val="99"/>
              </w:rPr>
              <w:t>71%</w:t>
            </w:r>
          </w:p>
        </w:tc>
        <w:tc>
          <w:tcPr>
            <w:tcW w:w="2100" w:type="dxa"/>
            <w:vAlign w:val="bottom"/>
          </w:tcPr>
          <w:p>
            <w:pPr>
              <w:jc w:val="center"/>
              <w:spacing w:after="0" w:line="189" w:lineRule="exact"/>
              <w:rPr>
                <w:sz w:val="20"/>
                <w:szCs w:val="20"/>
                <w:color w:val="auto"/>
              </w:rPr>
            </w:pPr>
            <w:r>
              <w:rPr>
                <w:rFonts w:ascii="Arial" w:cs="Arial" w:eastAsia="Arial" w:hAnsi="Arial"/>
                <w:sz w:val="17"/>
                <w:szCs w:val="17"/>
                <w:color w:val="auto"/>
                <w:w w:val="98"/>
              </w:rPr>
              <w:t>$317,149</w:t>
            </w:r>
          </w:p>
        </w:tc>
        <w:tc>
          <w:tcPr>
            <w:tcW w:w="1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$301,291</w:t>
            </w:r>
          </w:p>
        </w:tc>
        <w:tc>
          <w:tcPr>
            <w:tcW w:w="20" w:type="dxa"/>
            <w:vAlign w:val="bottom"/>
          </w:tcPr>
          <w:p>
            <w:pPr>
              <w:spacing w:after="0"/>
              <w:rPr>
                <w:sz w:val="16"/>
                <w:szCs w:val="16"/>
                <w:color w:val="auto"/>
              </w:rPr>
            </w:pPr>
          </w:p>
        </w:tc>
      </w:tr>
      <w:tr>
        <w:trPr>
          <w:trHeight w:val="189"/>
        </w:trPr>
        <w:tc>
          <w:tcPr>
            <w:tcW w:w="352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color w:val="auto"/>
              </w:rPr>
              <w:t>Donald A. McCunniff</w:t>
            </w:r>
          </w:p>
        </w:tc>
        <w:tc>
          <w:tcPr>
            <w:tcW w:w="4000" w:type="dxa"/>
            <w:vAlign w:val="bottom"/>
            <w:shd w:val="clear" w:color="auto" w:fill="DAE6EB"/>
          </w:tcPr>
          <w:p>
            <w:pPr>
              <w:jc w:val="center"/>
              <w:ind w:left="1415"/>
              <w:spacing w:after="0" w:line="189" w:lineRule="exact"/>
              <w:rPr>
                <w:sz w:val="20"/>
                <w:szCs w:val="20"/>
                <w:color w:val="auto"/>
              </w:rPr>
            </w:pPr>
            <w:r>
              <w:rPr>
                <w:rFonts w:ascii="Arial" w:cs="Arial" w:eastAsia="Arial" w:hAnsi="Arial"/>
                <w:sz w:val="17"/>
                <w:szCs w:val="17"/>
                <w:color w:val="auto"/>
                <w:w w:val="99"/>
              </w:rPr>
              <w:t>70%</w:t>
            </w:r>
          </w:p>
        </w:tc>
        <w:tc>
          <w:tcPr>
            <w:tcW w:w="2100" w:type="dxa"/>
            <w:vAlign w:val="bottom"/>
            <w:shd w:val="clear" w:color="auto" w:fill="DAE6EB"/>
          </w:tcPr>
          <w:p>
            <w:pPr>
              <w:jc w:val="center"/>
              <w:spacing w:after="0" w:line="189" w:lineRule="exact"/>
              <w:rPr>
                <w:sz w:val="20"/>
                <w:szCs w:val="20"/>
                <w:color w:val="auto"/>
              </w:rPr>
            </w:pPr>
            <w:r>
              <w:rPr>
                <w:rFonts w:ascii="Arial" w:cs="Arial" w:eastAsia="Arial" w:hAnsi="Arial"/>
                <w:sz w:val="17"/>
                <w:szCs w:val="17"/>
                <w:color w:val="auto"/>
                <w:w w:val="98"/>
              </w:rPr>
              <w:t>$251,598</w:t>
            </w:r>
          </w:p>
        </w:tc>
        <w:tc>
          <w:tcPr>
            <w:tcW w:w="1800" w:type="dxa"/>
            <w:vAlign w:val="bottom"/>
            <w:shd w:val="clear" w:color="auto" w:fill="DAE6EB"/>
          </w:tcPr>
          <w:p>
            <w:pPr>
              <w:jc w:val="right"/>
              <w:ind w:right="315"/>
              <w:spacing w:after="0" w:line="189" w:lineRule="exact"/>
              <w:rPr>
                <w:sz w:val="20"/>
                <w:szCs w:val="20"/>
                <w:color w:val="auto"/>
              </w:rPr>
            </w:pPr>
            <w:r>
              <w:rPr>
                <w:rFonts w:ascii="Arial" w:cs="Arial" w:eastAsia="Arial" w:hAnsi="Arial"/>
                <w:sz w:val="17"/>
                <w:szCs w:val="17"/>
                <w:color w:val="auto"/>
              </w:rPr>
              <w:t>$239,018</w:t>
            </w:r>
          </w:p>
        </w:tc>
        <w:tc>
          <w:tcPr>
            <w:tcW w:w="20" w:type="dxa"/>
            <w:vAlign w:val="bottom"/>
          </w:tcPr>
          <w:p>
            <w:pPr>
              <w:spacing w:after="0"/>
              <w:rPr>
                <w:sz w:val="16"/>
                <w:szCs w:val="16"/>
                <w:color w:val="auto"/>
              </w:rPr>
            </w:pPr>
          </w:p>
        </w:tc>
      </w:tr>
      <w:tr>
        <w:trPr>
          <w:trHeight w:val="202"/>
        </w:trPr>
        <w:tc>
          <w:tcPr>
            <w:tcW w:w="3520" w:type="dxa"/>
            <w:vAlign w:val="bottom"/>
          </w:tcPr>
          <w:p>
            <w:pPr>
              <w:ind w:left="160"/>
              <w:spacing w:after="0"/>
              <w:rPr>
                <w:sz w:val="20"/>
                <w:szCs w:val="20"/>
                <w:color w:val="auto"/>
              </w:rPr>
            </w:pPr>
            <w:r>
              <w:rPr>
                <w:rFonts w:ascii="Arial" w:cs="Arial" w:eastAsia="Arial" w:hAnsi="Arial"/>
                <w:sz w:val="17"/>
                <w:szCs w:val="17"/>
                <w:color w:val="auto"/>
              </w:rPr>
              <w:t>Daniel L. Grant</w:t>
            </w:r>
          </w:p>
        </w:tc>
        <w:tc>
          <w:tcPr>
            <w:tcW w:w="4000" w:type="dxa"/>
            <w:vAlign w:val="bottom"/>
          </w:tcPr>
          <w:p>
            <w:pPr>
              <w:jc w:val="center"/>
              <w:ind w:left="1415"/>
              <w:spacing w:after="0"/>
              <w:rPr>
                <w:sz w:val="20"/>
                <w:szCs w:val="20"/>
                <w:color w:val="auto"/>
              </w:rPr>
            </w:pPr>
            <w:r>
              <w:rPr>
                <w:rFonts w:ascii="Arial" w:cs="Arial" w:eastAsia="Arial" w:hAnsi="Arial"/>
                <w:sz w:val="17"/>
                <w:szCs w:val="17"/>
                <w:color w:val="auto"/>
                <w:w w:val="99"/>
              </w:rPr>
              <w:t>70%</w:t>
            </w:r>
          </w:p>
        </w:tc>
        <w:tc>
          <w:tcPr>
            <w:tcW w:w="2100" w:type="dxa"/>
            <w:vAlign w:val="bottom"/>
          </w:tcPr>
          <w:p>
            <w:pPr>
              <w:jc w:val="center"/>
              <w:spacing w:after="0"/>
              <w:rPr>
                <w:sz w:val="20"/>
                <w:szCs w:val="20"/>
                <w:color w:val="auto"/>
              </w:rPr>
            </w:pPr>
            <w:r>
              <w:rPr>
                <w:rFonts w:ascii="Arial" w:cs="Arial" w:eastAsia="Arial" w:hAnsi="Arial"/>
                <w:sz w:val="17"/>
                <w:szCs w:val="17"/>
                <w:color w:val="auto"/>
                <w:w w:val="98"/>
              </w:rPr>
              <w:t>$237,358</w:t>
            </w:r>
          </w:p>
        </w:tc>
        <w:tc>
          <w:tcPr>
            <w:tcW w:w="1800" w:type="dxa"/>
            <w:vAlign w:val="bottom"/>
          </w:tcPr>
          <w:p>
            <w:pPr>
              <w:jc w:val="right"/>
              <w:ind w:right="315"/>
              <w:spacing w:after="0"/>
              <w:rPr>
                <w:sz w:val="20"/>
                <w:szCs w:val="20"/>
                <w:color w:val="auto"/>
              </w:rPr>
            </w:pPr>
            <w:r>
              <w:rPr>
                <w:rFonts w:ascii="Arial" w:cs="Arial" w:eastAsia="Arial" w:hAnsi="Arial"/>
                <w:sz w:val="17"/>
                <w:szCs w:val="17"/>
                <w:color w:val="auto"/>
              </w:rPr>
              <w:t>$225,490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54875" cy="6089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608965"/>
                    </a:xfrm>
                    <a:prstGeom prst="rect">
                      <a:avLst/>
                    </a:prstGeom>
                    <a:noFill/>
                  </pic:spPr>
                </pic:pic>
              </a:graphicData>
            </a:graphic>
          </wp:anchor>
        </w:drawing>
      </w:r>
    </w:p>
    <w:p>
      <w:pPr>
        <w:ind w:left="340" w:right="20" w:hanging="332"/>
        <w:spacing w:after="0" w:line="22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Nye has no target bonus under the Executive Incentive Plan, but the Committee in 2015 generally considered an appropriate target for Mr. Nye to be 100% of base salary earnings in evaluating his bonus level.</w:t>
      </w:r>
    </w:p>
    <w:p>
      <w:pPr>
        <w:spacing w:after="0" w:line="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actual earnings in 2015.</w:t>
      </w:r>
    </w:p>
    <w:p>
      <w:pPr>
        <w:sectPr>
          <w:pgSz w:w="11900" w:h="16838" w:orient="portrait"/>
          <w:cols w:equalWidth="0" w:num="1">
            <w:col w:w="11440"/>
          </w:cols>
          <w:pgMar w:left="240" w:top="336" w:right="219" w:bottom="1440" w:gutter="0" w:footer="0" w:header="0"/>
          <w:type w:val="continuous"/>
        </w:sectPr>
      </w:pPr>
    </w:p>
    <w:p>
      <w:pPr>
        <w:spacing w:after="0" w:line="259"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color w:val="auto"/>
        </w:rPr>
        <w:t>Annual Incentive Feature: Performance-Based Stock Purchase Plan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Incentive Stock Plan provides the opportunity to invest a portion of annual bonus in Martin Marietta stock. There are both voluntary and mandatory deferrals under the plan.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voluntary election allows executives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The discount is used to account for the risk of trading current cash compensation for “at-risk” shares which may decline in value.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mandatory portion requires executives to invest a minimum of 20% of their cash bonus towards the crediting of units under the plan. The CEO is required to invest a minimum of 35% of his cash bonus towards the crediting of such units.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compensation with shareholder return over the long term to reward these executive officers in line with our shareholders when our stock price increases.</w:t>
      </w:r>
    </w:p>
    <w:p>
      <w:pPr>
        <w:spacing w:after="0" w:line="202"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Compensation</w:t>
      </w:r>
    </w:p>
    <w:p>
      <w:pPr>
        <w:spacing w:after="0" w:line="230"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Our long-term incentive (LTI) compensation structure in 2015 consists of the following:</w:t>
      </w:r>
    </w:p>
    <w:p>
      <w:pPr>
        <w:spacing w:after="0" w:line="205" w:lineRule="exact"/>
        <w:rPr>
          <w:sz w:val="20"/>
          <w:szCs w:val="20"/>
          <w:color w:val="auto"/>
        </w:rPr>
      </w:pPr>
    </w:p>
    <w:p>
      <w:pPr>
        <w:jc w:val="both"/>
        <w:ind w:left="740" w:right="160" w:hanging="300"/>
        <w:spacing w:after="0" w:line="250" w:lineRule="auto"/>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L</w:t>
      </w:r>
      <w:r>
        <w:rPr>
          <w:rFonts w:ascii="Arial" w:cs="Arial" w:eastAsia="Arial" w:hAnsi="Arial"/>
          <w:sz w:val="17"/>
          <w:szCs w:val="17"/>
          <w:b w:val="1"/>
          <w:bCs w:val="1"/>
          <w:color w:val="auto"/>
        </w:rPr>
        <w:t>ong-</w:t>
      </w:r>
      <w:r>
        <w:rPr>
          <w:rFonts w:ascii="Arial" w:cs="Arial" w:eastAsia="Arial" w:hAnsi="Arial"/>
          <w:sz w:val="17"/>
          <w:szCs w:val="17"/>
          <w:b w:val="1"/>
          <w:bCs w:val="1"/>
          <w:u w:val="single" w:color="auto"/>
          <w:color w:val="auto"/>
        </w:rPr>
        <w:t>T</w:t>
      </w:r>
      <w:r>
        <w:rPr>
          <w:rFonts w:ascii="Arial" w:cs="Arial" w:eastAsia="Arial" w:hAnsi="Arial"/>
          <w:sz w:val="17"/>
          <w:szCs w:val="17"/>
          <w:b w:val="1"/>
          <w:bCs w:val="1"/>
          <w:color w:val="auto"/>
        </w:rPr>
        <w:t xml:space="preserve">erm </w:t>
      </w:r>
      <w:r>
        <w:rPr>
          <w:rFonts w:ascii="Arial" w:cs="Arial" w:eastAsia="Arial" w:hAnsi="Arial"/>
          <w:sz w:val="17"/>
          <w:szCs w:val="17"/>
          <w:b w:val="1"/>
          <w:bCs w:val="1"/>
          <w:u w:val="single" w:color="auto"/>
          <w:color w:val="auto"/>
        </w:rPr>
        <w:t>I</w:t>
      </w:r>
      <w:r>
        <w:rPr>
          <w:rFonts w:ascii="Arial" w:cs="Arial" w:eastAsia="Arial" w:hAnsi="Arial"/>
          <w:sz w:val="17"/>
          <w:szCs w:val="17"/>
          <w:b w:val="1"/>
          <w:bCs w:val="1"/>
          <w:color w:val="auto"/>
        </w:rPr>
        <w:t xml:space="preserve">ncentive </w:t>
      </w:r>
      <w:r>
        <w:rPr>
          <w:rFonts w:ascii="Arial" w:cs="Arial" w:eastAsia="Arial" w:hAnsi="Arial"/>
          <w:sz w:val="17"/>
          <w:szCs w:val="17"/>
          <w:b w:val="1"/>
          <w:bCs w:val="1"/>
          <w:u w:val="single" w:color="auto"/>
          <w:color w:val="auto"/>
        </w:rPr>
        <w:t>P</w:t>
      </w:r>
      <w:r>
        <w:rPr>
          <w:rFonts w:ascii="Arial" w:cs="Arial" w:eastAsia="Arial" w:hAnsi="Arial"/>
          <w:sz w:val="17"/>
          <w:szCs w:val="17"/>
          <w:b w:val="1"/>
          <w:bCs w:val="1"/>
          <w:color w:val="auto"/>
        </w:rPr>
        <w:t xml:space="preserve">rogram (LTIP): </w:t>
      </w:r>
      <w:r>
        <w:rPr>
          <w:rFonts w:ascii="Arial" w:cs="Arial" w:eastAsia="Arial" w:hAnsi="Arial"/>
          <w:sz w:val="17"/>
          <w:szCs w:val="17"/>
          <w:color w:val="auto"/>
        </w:rPr>
        <w:t>Includes grants of 1/3</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value and 2/3 RSU value. Grant size is dependent on the Company’s annual financial performance.</w:t>
      </w:r>
    </w:p>
    <w:p>
      <w:pPr>
        <w:spacing w:after="0" w:line="77" w:lineRule="exact"/>
        <w:rPr>
          <w:rFonts w:ascii="Arial" w:cs="Arial" w:eastAsia="Arial" w:hAnsi="Arial"/>
          <w:sz w:val="17"/>
          <w:szCs w:val="17"/>
          <w:color w:val="auto"/>
        </w:rPr>
      </w:pPr>
    </w:p>
    <w:p>
      <w:pPr>
        <w:jc w:val="both"/>
        <w:ind w:left="740" w:right="140" w:hanging="300"/>
        <w:spacing w:after="0" w:line="239" w:lineRule="auto"/>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P</w:t>
      </w:r>
      <w:r>
        <w:rPr>
          <w:rFonts w:ascii="Arial" w:cs="Arial" w:eastAsia="Arial" w:hAnsi="Arial"/>
          <w:sz w:val="17"/>
          <w:szCs w:val="17"/>
          <w:b w:val="1"/>
          <w:bCs w:val="1"/>
          <w:color w:val="auto"/>
        </w:rPr>
        <w:t xml:space="preserve">erformance </w:t>
      </w:r>
      <w:r>
        <w:rPr>
          <w:rFonts w:ascii="Arial" w:cs="Arial" w:eastAsia="Arial" w:hAnsi="Arial"/>
          <w:sz w:val="17"/>
          <w:szCs w:val="17"/>
          <w:b w:val="1"/>
          <w:bCs w:val="1"/>
          <w:u w:val="single" w:color="auto"/>
          <w:color w:val="auto"/>
        </w:rPr>
        <w:t>S</w:t>
      </w:r>
      <w:r>
        <w:rPr>
          <w:rFonts w:ascii="Arial" w:cs="Arial" w:eastAsia="Arial" w:hAnsi="Arial"/>
          <w:sz w:val="17"/>
          <w:szCs w:val="17"/>
          <w:b w:val="1"/>
          <w:bCs w:val="1"/>
          <w:color w:val="auto"/>
        </w:rPr>
        <w:t xml:space="preserve">hare </w:t>
      </w:r>
      <w:r>
        <w:rPr>
          <w:rFonts w:ascii="Arial" w:cs="Arial" w:eastAsia="Arial" w:hAnsi="Arial"/>
          <w:sz w:val="17"/>
          <w:szCs w:val="17"/>
          <w:b w:val="1"/>
          <w:bCs w:val="1"/>
          <w:u w:val="single" w:color="auto"/>
          <w:color w:val="auto"/>
        </w:rPr>
        <w:t>U</w:t>
      </w:r>
      <w:r>
        <w:rPr>
          <w:rFonts w:ascii="Arial" w:cs="Arial" w:eastAsia="Arial" w:hAnsi="Arial"/>
          <w:sz w:val="17"/>
          <w:szCs w:val="17"/>
          <w:b w:val="1"/>
          <w:bCs w:val="1"/>
          <w:color w:val="auto"/>
        </w:rPr>
        <w:t xml:space="preserve">nits (PSUs): </w:t>
      </w:r>
      <w:r>
        <w:rPr>
          <w:rFonts w:ascii="Arial" w:cs="Arial" w:eastAsia="Arial" w:hAnsi="Arial"/>
          <w:sz w:val="17"/>
          <w:szCs w:val="17"/>
          <w:color w:val="auto"/>
        </w:rPr>
        <w:t>Includes grants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performance-based shares based on our three-year average return on sales (ROS), three-year cumulative EBITDA, and three-year total shareholder return performance relative to a peer group comprised of U.S. companies in similar industries (TSR).</w:t>
      </w:r>
    </w:p>
    <w:p>
      <w:pPr>
        <w:spacing w:after="0" w:line="240" w:lineRule="exact"/>
        <w:rPr>
          <w:sz w:val="20"/>
          <w:szCs w:val="20"/>
          <w:color w:val="auto"/>
        </w:rPr>
      </w:pPr>
    </w:p>
    <w:p>
      <w:pPr>
        <w:sectPr>
          <w:pgSz w:w="11900" w:h="16838" w:orient="portrait"/>
          <w:cols w:equalWidth="0" w:num="2">
            <w:col w:w="5480" w:space="340"/>
            <w:col w:w="5620"/>
          </w:cols>
          <w:pgMar w:left="240" w:top="336" w:right="219" w:bottom="1440" w:gutter="0" w:footer="0" w:header="0"/>
          <w:type w:val="continuous"/>
        </w:sectPr>
      </w:pPr>
    </w:p>
    <w:p>
      <w:pPr>
        <w:spacing w:after="0" w:line="52"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type w:val="continuous"/>
        </w:sectPr>
      </w:pPr>
    </w:p>
    <w:bookmarkStart w:id="41" w:name="page42"/>
    <w:bookmarkEnd w:id="41"/>
    <w:p>
      <w:pPr>
        <w:jc w:val="both"/>
        <w:ind w:right="2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Annually, the Committee determines the grant-date target value for each executive based on a review of competitive market data from the Compensation Peer Group, broader U.S. compensation survey data and other published surveys, and management’s recommendations (except for the CEO).</w:t>
      </w:r>
    </w:p>
    <w:p>
      <w:pPr>
        <w:sectPr>
          <w:pgSz w:w="11900" w:h="16838" w:orient="portrait"/>
          <w:cols w:equalWidth="0" w:num="1">
            <w:col w:w="11440"/>
          </w:cols>
          <w:pgMar w:left="240" w:top="282" w:right="21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Equity Plan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PSUs</w:t>
      </w: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LTIP Options</w:t>
      </w:r>
    </w:p>
    <w:p>
      <w:pPr>
        <w:spacing w:after="0" w:line="38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LTIP RSUs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jc w:val="center"/>
              <w:spacing w:after="0"/>
              <w:rPr>
                <w:sz w:val="20"/>
                <w:szCs w:val="20"/>
                <w:color w:val="auto"/>
              </w:rPr>
            </w:pPr>
            <w:r>
              <w:rPr>
                <w:rFonts w:ascii="Arial" w:cs="Arial" w:eastAsia="Arial" w:hAnsi="Arial"/>
                <w:sz w:val="17"/>
                <w:szCs w:val="17"/>
                <w:b w:val="1"/>
                <w:bCs w:val="1"/>
                <w:color w:val="FFFFFF"/>
                <w:w w:val="99"/>
              </w:rPr>
              <w:t>2015 Award</w:t>
            </w:r>
          </w:p>
        </w:tc>
        <w:tc>
          <w:tcPr>
            <w:tcW w:w="4020" w:type="dxa"/>
            <w:vAlign w:val="bottom"/>
          </w:tcPr>
          <w:p>
            <w:pPr>
              <w:jc w:val="center"/>
              <w:ind w:left="895"/>
              <w:spacing w:after="0"/>
              <w:rPr>
                <w:sz w:val="20"/>
                <w:szCs w:val="20"/>
                <w:color w:val="auto"/>
              </w:rPr>
            </w:pPr>
            <w:r>
              <w:rPr>
                <w:rFonts w:ascii="Arial" w:cs="Arial" w:eastAsia="Arial" w:hAnsi="Arial"/>
                <w:sz w:val="17"/>
                <w:szCs w:val="17"/>
                <w:b w:val="1"/>
                <w:bCs w:val="1"/>
                <w:color w:val="FFFFFF"/>
              </w:rPr>
              <w:t>2015 Performance</w:t>
            </w:r>
          </w:p>
        </w:tc>
      </w:tr>
      <w:tr>
        <w:trPr>
          <w:trHeight w:val="223"/>
        </w:trPr>
        <w:tc>
          <w:tcPr>
            <w:tcW w:w="4780" w:type="dxa"/>
            <w:vAlign w:val="bottom"/>
          </w:tcPr>
          <w:p>
            <w:pPr>
              <w:jc w:val="center"/>
              <w:spacing w:after="0"/>
              <w:rPr>
                <w:sz w:val="20"/>
                <w:szCs w:val="20"/>
                <w:color w:val="auto"/>
              </w:rPr>
            </w:pPr>
            <w:r>
              <w:rPr>
                <w:rFonts w:ascii="Arial" w:cs="Arial" w:eastAsia="Arial" w:hAnsi="Arial"/>
                <w:sz w:val="17"/>
                <w:szCs w:val="17"/>
                <w:b w:val="1"/>
                <w:bCs w:val="1"/>
                <w:color w:val="FFFFFF"/>
              </w:rPr>
              <w:t>Granted</w:t>
            </w:r>
          </w:p>
        </w:tc>
        <w:tc>
          <w:tcPr>
            <w:tcW w:w="4020" w:type="dxa"/>
            <w:vAlign w:val="bottom"/>
          </w:tcPr>
          <w:p>
            <w:pPr>
              <w:jc w:val="center"/>
              <w:ind w:left="895"/>
              <w:spacing w:after="0"/>
              <w:rPr>
                <w:sz w:val="20"/>
                <w:szCs w:val="20"/>
                <w:color w:val="auto"/>
              </w:rPr>
            </w:pPr>
            <w:r>
              <w:rPr>
                <w:rFonts w:ascii="Arial" w:cs="Arial" w:eastAsia="Arial" w:hAnsi="Arial"/>
                <w:sz w:val="17"/>
                <w:szCs w:val="17"/>
                <w:b w:val="1"/>
                <w:bCs w:val="1"/>
                <w:color w:val="FFFFFF"/>
              </w:rPr>
              <w:t>Measurements</w:t>
            </w:r>
          </w:p>
        </w:tc>
      </w:tr>
      <w:tr>
        <w:trPr>
          <w:trHeight w:val="189"/>
        </w:trPr>
        <w:tc>
          <w:tcPr>
            <w:tcW w:w="4780" w:type="dxa"/>
            <w:vAlign w:val="bottom"/>
            <w:tcBorders>
              <w:right w:val="single" w:sz="8" w:color="47829E"/>
            </w:tcBorders>
          </w:tcPr>
          <w:p>
            <w:pPr>
              <w:spacing w:after="0"/>
              <w:rPr>
                <w:sz w:val="16"/>
                <w:szCs w:val="16"/>
                <w:color w:val="auto"/>
              </w:rPr>
            </w:pP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rPr>
              <w:t>3-year average ROS</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Performance measured on 12/31/17.</w:t>
            </w:r>
          </w:p>
        </w:tc>
        <w:tc>
          <w:tcPr>
            <w:tcW w:w="4020" w:type="dxa"/>
            <w:vAlign w:val="bottom"/>
          </w:tcPr>
          <w:p>
            <w:pPr>
              <w:jc w:val="center"/>
              <w:ind w:left="875"/>
              <w:spacing w:after="0" w:line="189" w:lineRule="exact"/>
              <w:rPr>
                <w:sz w:val="20"/>
                <w:szCs w:val="20"/>
                <w:color w:val="auto"/>
              </w:rPr>
            </w:pPr>
            <w:r>
              <w:rPr>
                <w:rFonts w:ascii="Arial" w:cs="Arial" w:eastAsia="Arial" w:hAnsi="Arial"/>
                <w:sz w:val="17"/>
                <w:szCs w:val="17"/>
                <w:color w:val="auto"/>
              </w:rPr>
              <w:t>3-year cumulative EBITDA</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w w:val="99"/>
              </w:rPr>
              <w:t>Target is 40% of base salary.</w:t>
            </w: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rPr>
              <w:t>Relative TSR as compared</w:t>
            </w:r>
          </w:p>
        </w:tc>
      </w:tr>
      <w:tr>
        <w:trPr>
          <w:trHeight w:val="203"/>
        </w:trPr>
        <w:tc>
          <w:tcPr>
            <w:tcW w:w="4780" w:type="dxa"/>
            <w:vAlign w:val="bottom"/>
            <w:tcBorders>
              <w:right w:val="single" w:sz="8" w:color="47829E"/>
            </w:tcBorders>
          </w:tcPr>
          <w:p>
            <w:pPr>
              <w:spacing w:after="0"/>
              <w:rPr>
                <w:sz w:val="17"/>
                <w:szCs w:val="17"/>
                <w:color w:val="auto"/>
              </w:rPr>
            </w:pPr>
          </w:p>
        </w:tc>
        <w:tc>
          <w:tcPr>
            <w:tcW w:w="4020" w:type="dxa"/>
            <w:vAlign w:val="bottom"/>
          </w:tcPr>
          <w:p>
            <w:pPr>
              <w:jc w:val="center"/>
              <w:ind w:left="875"/>
              <w:spacing w:after="0"/>
              <w:rPr>
                <w:sz w:val="20"/>
                <w:szCs w:val="20"/>
                <w:color w:val="auto"/>
              </w:rPr>
            </w:pPr>
            <w:r>
              <w:rPr>
                <w:rFonts w:ascii="Arial" w:cs="Arial" w:eastAsia="Arial" w:hAnsi="Arial"/>
                <w:sz w:val="17"/>
                <w:szCs w:val="17"/>
                <w:color w:val="auto"/>
              </w:rPr>
              <w:t>to TSR Peer Group</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w w:val="99"/>
              </w:rPr>
              <w:t>Award in 2015 = 75% of Target. Total LTIP Target (Options and</w:t>
            </w: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w w:val="99"/>
              </w:rPr>
              <w:t>Return, Growth, Cash Flow and EBIDTA</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RSUs) is between 65%- 200% of base</w:t>
            </w:r>
          </w:p>
        </w:tc>
        <w:tc>
          <w:tcPr>
            <w:tcW w:w="4020" w:type="dxa"/>
            <w:vAlign w:val="bottom"/>
          </w:tcPr>
          <w:p>
            <w:pPr>
              <w:jc w:val="center"/>
              <w:ind w:left="875"/>
              <w:spacing w:after="0" w:line="189" w:lineRule="exact"/>
              <w:rPr>
                <w:sz w:val="20"/>
                <w:szCs w:val="20"/>
                <w:color w:val="auto"/>
              </w:rPr>
            </w:pPr>
            <w:r>
              <w:rPr>
                <w:rFonts w:ascii="Arial" w:cs="Arial" w:eastAsia="Arial" w:hAnsi="Arial"/>
                <w:sz w:val="17"/>
                <w:szCs w:val="17"/>
                <w:color w:val="auto"/>
              </w:rPr>
              <w:t>as compared to</w:t>
            </w:r>
          </w:p>
        </w:tc>
      </w:tr>
      <w:tr>
        <w:trPr>
          <w:trHeight w:val="203"/>
        </w:trPr>
        <w:tc>
          <w:tcPr>
            <w:tcW w:w="4780" w:type="dxa"/>
            <w:vAlign w:val="bottom"/>
            <w:tcBorders>
              <w:right w:val="single" w:sz="8" w:color="47829E"/>
            </w:tcBorders>
          </w:tcPr>
          <w:p>
            <w:pPr>
              <w:jc w:val="center"/>
              <w:spacing w:after="0"/>
              <w:rPr>
                <w:sz w:val="20"/>
                <w:szCs w:val="20"/>
                <w:color w:val="auto"/>
              </w:rPr>
            </w:pPr>
            <w:r>
              <w:rPr>
                <w:rFonts w:ascii="Arial" w:cs="Arial" w:eastAsia="Arial" w:hAnsi="Arial"/>
                <w:sz w:val="17"/>
                <w:szCs w:val="17"/>
                <w:color w:val="auto"/>
              </w:rPr>
              <w:t>depending on position.</w:t>
            </w:r>
          </w:p>
        </w:tc>
        <w:tc>
          <w:tcPr>
            <w:tcW w:w="4020" w:type="dxa"/>
            <w:vAlign w:val="bottom"/>
          </w:tcPr>
          <w:p>
            <w:pPr>
              <w:jc w:val="center"/>
              <w:ind w:left="895"/>
              <w:spacing w:after="0"/>
              <w:rPr>
                <w:sz w:val="20"/>
                <w:szCs w:val="20"/>
                <w:color w:val="auto"/>
              </w:rPr>
            </w:pPr>
            <w:r>
              <w:rPr>
                <w:rFonts w:ascii="Arial" w:cs="Arial" w:eastAsia="Arial" w:hAnsi="Arial"/>
                <w:sz w:val="17"/>
                <w:szCs w:val="17"/>
                <w:color w:val="auto"/>
              </w:rPr>
              <w:t>Performance Peer Group</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w w:val="99"/>
              </w:rPr>
              <w:t>Award in 2015 = 75% of Target. Total LTIP Target (Options and</w:t>
            </w: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w w:val="99"/>
              </w:rPr>
              <w:t>Return, Growth, Cash Flow and EBIDTA</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RSUs) is between 65%- 200% of base</w:t>
            </w:r>
          </w:p>
        </w:tc>
        <w:tc>
          <w:tcPr>
            <w:tcW w:w="4020" w:type="dxa"/>
            <w:vAlign w:val="bottom"/>
          </w:tcPr>
          <w:p>
            <w:pPr>
              <w:jc w:val="center"/>
              <w:ind w:left="875"/>
              <w:spacing w:after="0" w:line="189" w:lineRule="exact"/>
              <w:rPr>
                <w:sz w:val="20"/>
                <w:szCs w:val="20"/>
                <w:color w:val="auto"/>
              </w:rPr>
            </w:pPr>
            <w:r>
              <w:rPr>
                <w:rFonts w:ascii="Arial" w:cs="Arial" w:eastAsia="Arial" w:hAnsi="Arial"/>
                <w:sz w:val="17"/>
                <w:szCs w:val="17"/>
                <w:color w:val="auto"/>
              </w:rPr>
              <w:t>as compared to</w:t>
            </w:r>
          </w:p>
        </w:tc>
      </w:tr>
      <w:tr>
        <w:trPr>
          <w:trHeight w:val="222"/>
        </w:trPr>
        <w:tc>
          <w:tcPr>
            <w:tcW w:w="4780" w:type="dxa"/>
            <w:vAlign w:val="bottom"/>
            <w:tcBorders>
              <w:right w:val="single" w:sz="8" w:color="47829E"/>
            </w:tcBorders>
          </w:tcPr>
          <w:p>
            <w:pPr>
              <w:jc w:val="center"/>
              <w:spacing w:after="0"/>
              <w:rPr>
                <w:sz w:val="20"/>
                <w:szCs w:val="20"/>
                <w:color w:val="auto"/>
              </w:rPr>
            </w:pPr>
            <w:r>
              <w:rPr>
                <w:rFonts w:ascii="Arial" w:cs="Arial" w:eastAsia="Arial" w:hAnsi="Arial"/>
                <w:sz w:val="17"/>
                <w:szCs w:val="17"/>
                <w:color w:val="auto"/>
              </w:rPr>
              <w:t>depending on position.</w:t>
            </w:r>
          </w:p>
        </w:tc>
        <w:tc>
          <w:tcPr>
            <w:tcW w:w="4020" w:type="dxa"/>
            <w:vAlign w:val="bottom"/>
          </w:tcPr>
          <w:p>
            <w:pPr>
              <w:jc w:val="center"/>
              <w:ind w:left="895"/>
              <w:spacing w:after="0"/>
              <w:rPr>
                <w:sz w:val="20"/>
                <w:szCs w:val="20"/>
                <w:color w:val="auto"/>
              </w:rPr>
            </w:pPr>
            <w:r>
              <w:rPr>
                <w:rFonts w:ascii="Arial" w:cs="Arial" w:eastAsia="Arial" w:hAnsi="Arial"/>
                <w:sz w:val="17"/>
                <w:szCs w:val="17"/>
                <w:color w:val="auto"/>
              </w:rPr>
              <w:t>Performance Peer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-1491615</wp:posOffset>
            </wp:positionV>
            <wp:extent cx="7254875" cy="1492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149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460"/>
            <w:col w:w="9820"/>
          </w:cols>
          <w:pgMar w:left="240" w:top="282" w:right="21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LTIP Grants</w:t>
      </w:r>
    </w:p>
    <w:p>
      <w:pPr>
        <w:spacing w:after="0" w:line="22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LTIP awards consist of (1) granting a mix of options and restricted stock units and (2) basing the amount of the award on our performance. The Committee believes that the mix provides better incentives to executive officers than either options or restricted stock units alone. Stock options link the compensation provided to the named executive officers with gains realized by the shareholders, thus serving to confer on recipients an ownership interest in Martin Marietta. These awards also assist Martin Marietta in maintaining competitive levels of total compensation. The vesting periods associated with stock options encourage the continued retention of these individuals. The RSU awards granted to executive officers strengthen our retention value for executives because restricted stock units have an intrinsic value when granted, which increases or decreases with our stock price providing alignment with our shareholders. In addition, restricted stock units permit us to issue fewer shares to deliver the same value, thereby reducing potential dilution.</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For each named executive officer, other than the CEO, the Committee derived a target dollar value for this component of</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compensation based on a review of equity award data in the compensation studies described above and input from the Committee’s independent compensation consultant. The target dollar value is increased each year by an amount equal to the average percentage increase in base pay for salaried employees and relevant subjective considerations, such as a promotion or expanded responsibilities.</w:t>
      </w:r>
    </w:p>
    <w:p>
      <w:pPr>
        <w:spacing w:after="0" w:line="202"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amount of the awards that are granted is based on Martin Marietta’s performance. If minimum performance levels are not achieved, then no grants are made.</w:t>
      </w:r>
    </w:p>
    <w:p>
      <w:pPr>
        <w:spacing w:after="0" w:line="202"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To determine the grant size, first the Committee compares Martin Marietta’s return on invested capital (ROIC) to its weighted average cost of capital (WACC) for the preceding fiscal year. The amount of the award is then set depending on the range set forth in the table below. The maximum award (200%) is a stretch goal would be achieved if the Company’s return on invested capital is at least 4% higher than the weighted average cost of capital and with the Committee’s subjective determination that such level of shareholder value created by the Company is outstanding.</w:t>
      </w:r>
    </w:p>
    <w:p>
      <w:pPr>
        <w:spacing w:after="0" w:line="393" w:lineRule="exact"/>
        <w:rPr>
          <w:sz w:val="20"/>
          <w:szCs w:val="20"/>
          <w:color w:val="auto"/>
        </w:rPr>
      </w:pPr>
    </w:p>
    <w:p>
      <w:pPr>
        <w:sectPr>
          <w:pgSz w:w="11900" w:h="16838" w:orient="portrait"/>
          <w:cols w:equalWidth="0" w:num="2">
            <w:col w:w="5480" w:space="340"/>
            <w:col w:w="5620"/>
          </w:cols>
          <w:pgMar w:left="240" w:top="282" w:right="219" w:bottom="1440" w:gutter="0" w:footer="0" w:header="0"/>
          <w:type w:val="continuous"/>
        </w:sectPr>
      </w:pP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7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6"/>
                <w:szCs w:val="16"/>
                <w:b w:val="1"/>
                <w:bCs w:val="1"/>
                <w:color w:val="FFFFFF"/>
              </w:rPr>
              <w:t>Return on Invested Capital vs.</w:t>
            </w:r>
          </w:p>
        </w:tc>
        <w:tc>
          <w:tcPr>
            <w:tcW w:w="5700" w:type="dxa"/>
            <w:vAlign w:val="bottom"/>
            <w:tcBorders>
              <w:right w:val="single" w:sz="8" w:color="47829E"/>
            </w:tcBorders>
            <w:shd w:val="clear" w:color="auto" w:fill="47829E"/>
          </w:tcPr>
          <w:p>
            <w:pPr>
              <w:jc w:val="center"/>
              <w:ind w:left="79"/>
              <w:spacing w:after="0"/>
              <w:rPr>
                <w:sz w:val="20"/>
                <w:szCs w:val="20"/>
                <w:color w:val="auto"/>
              </w:rPr>
            </w:pPr>
            <w:r>
              <w:rPr>
                <w:rFonts w:ascii="Arial" w:cs="Arial" w:eastAsia="Arial" w:hAnsi="Arial"/>
                <w:sz w:val="16"/>
                <w:szCs w:val="16"/>
                <w:b w:val="1"/>
                <w:bCs w:val="1"/>
                <w:color w:val="FFFFFF"/>
              </w:rPr>
              <w:t>Grant as %</w:t>
            </w:r>
          </w:p>
        </w:tc>
      </w:tr>
      <w:tr>
        <w:trPr>
          <w:trHeight w:val="221"/>
        </w:trPr>
        <w:tc>
          <w:tcPr>
            <w:tcW w:w="57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6"/>
                <w:szCs w:val="16"/>
                <w:b w:val="1"/>
                <w:bCs w:val="1"/>
                <w:color w:val="FFFFFF"/>
              </w:rPr>
              <w:t>Weighted Average Cost of Capital*</w:t>
            </w:r>
          </w:p>
        </w:tc>
        <w:tc>
          <w:tcPr>
            <w:tcW w:w="5700" w:type="dxa"/>
            <w:vAlign w:val="bottom"/>
            <w:tcBorders>
              <w:right w:val="single" w:sz="8" w:color="47829E"/>
            </w:tcBorders>
            <w:shd w:val="clear" w:color="auto" w:fill="47829E"/>
          </w:tcPr>
          <w:p>
            <w:pPr>
              <w:jc w:val="center"/>
              <w:ind w:left="59"/>
              <w:spacing w:after="0"/>
              <w:rPr>
                <w:sz w:val="20"/>
                <w:szCs w:val="20"/>
                <w:color w:val="auto"/>
              </w:rPr>
            </w:pPr>
            <w:r>
              <w:rPr>
                <w:rFonts w:ascii="Arial" w:cs="Arial" w:eastAsia="Arial" w:hAnsi="Arial"/>
                <w:sz w:val="16"/>
                <w:szCs w:val="16"/>
                <w:b w:val="1"/>
                <w:bCs w:val="1"/>
                <w:color w:val="FFFFFF"/>
                <w:w w:val="99"/>
              </w:rPr>
              <w:t>of Target</w:t>
            </w:r>
          </w:p>
        </w:tc>
      </w:tr>
      <w:tr>
        <w:trPr>
          <w:trHeight w:val="189"/>
        </w:trPr>
        <w:tc>
          <w:tcPr>
            <w:tcW w:w="57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More than 4% above</w:t>
            </w:r>
          </w:p>
        </w:tc>
        <w:tc>
          <w:tcPr>
            <w:tcW w:w="5700" w:type="dxa"/>
            <w:vAlign w:val="bottom"/>
            <w:tcBorders>
              <w:right w:val="single" w:sz="8" w:color="47829E"/>
            </w:tcBorders>
          </w:tcPr>
          <w:p>
            <w:pPr>
              <w:jc w:val="center"/>
              <w:ind w:left="79"/>
              <w:spacing w:after="0"/>
              <w:rPr>
                <w:sz w:val="20"/>
                <w:szCs w:val="20"/>
                <w:color w:val="auto"/>
              </w:rPr>
            </w:pPr>
            <w:r>
              <w:rPr>
                <w:rFonts w:ascii="Arial" w:cs="Arial" w:eastAsia="Arial" w:hAnsi="Arial"/>
                <w:sz w:val="16"/>
                <w:szCs w:val="16"/>
                <w:color w:val="auto"/>
              </w:rPr>
              <w:t>200%</w:t>
            </w:r>
          </w:p>
        </w:tc>
      </w:tr>
      <w:tr>
        <w:trPr>
          <w:trHeight w:val="189"/>
        </w:trPr>
        <w:tc>
          <w:tcPr>
            <w:tcW w:w="5740" w:type="dxa"/>
            <w:vAlign w:val="bottom"/>
            <w:tcBorders>
              <w:left w:val="single" w:sz="8" w:color="47829E"/>
              <w:right w:val="single" w:sz="8" w:color="47829E"/>
            </w:tcBorders>
            <w:shd w:val="clear" w:color="auto" w:fill="E3ECF0"/>
          </w:tcPr>
          <w:p>
            <w:pPr>
              <w:ind w:left="160"/>
              <w:spacing w:after="0"/>
              <w:rPr>
                <w:sz w:val="20"/>
                <w:szCs w:val="20"/>
                <w:color w:val="auto"/>
              </w:rPr>
            </w:pPr>
            <w:r>
              <w:rPr>
                <w:rFonts w:ascii="Arial" w:cs="Arial" w:eastAsia="Arial" w:hAnsi="Arial"/>
                <w:sz w:val="16"/>
                <w:szCs w:val="16"/>
                <w:color w:val="auto"/>
              </w:rPr>
              <w:t>Between 3.01% and 4% above</w:t>
            </w:r>
          </w:p>
        </w:tc>
        <w:tc>
          <w:tcPr>
            <w:tcW w:w="5700" w:type="dxa"/>
            <w:vAlign w:val="bottom"/>
            <w:tcBorders>
              <w:right w:val="single" w:sz="8" w:color="47829E"/>
            </w:tcBorders>
            <w:shd w:val="clear" w:color="auto" w:fill="E3ECF0"/>
          </w:tcPr>
          <w:p>
            <w:pPr>
              <w:jc w:val="center"/>
              <w:ind w:left="79"/>
              <w:spacing w:after="0"/>
              <w:rPr>
                <w:sz w:val="20"/>
                <w:szCs w:val="20"/>
                <w:color w:val="auto"/>
              </w:rPr>
            </w:pPr>
            <w:r>
              <w:rPr>
                <w:rFonts w:ascii="Arial" w:cs="Arial" w:eastAsia="Arial" w:hAnsi="Arial"/>
                <w:sz w:val="16"/>
                <w:szCs w:val="16"/>
                <w:color w:val="auto"/>
              </w:rPr>
              <w:t>175%</w:t>
            </w:r>
          </w:p>
        </w:tc>
      </w:tr>
      <w:tr>
        <w:trPr>
          <w:trHeight w:val="189"/>
        </w:trPr>
        <w:tc>
          <w:tcPr>
            <w:tcW w:w="57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Between 2.01% and 3% above</w:t>
            </w:r>
          </w:p>
        </w:tc>
        <w:tc>
          <w:tcPr>
            <w:tcW w:w="5700" w:type="dxa"/>
            <w:vAlign w:val="bottom"/>
            <w:tcBorders>
              <w:right w:val="single" w:sz="8" w:color="47829E"/>
            </w:tcBorders>
          </w:tcPr>
          <w:p>
            <w:pPr>
              <w:jc w:val="center"/>
              <w:ind w:left="79"/>
              <w:spacing w:after="0"/>
              <w:rPr>
                <w:sz w:val="20"/>
                <w:szCs w:val="20"/>
                <w:color w:val="auto"/>
              </w:rPr>
            </w:pPr>
            <w:r>
              <w:rPr>
                <w:rFonts w:ascii="Arial" w:cs="Arial" w:eastAsia="Arial" w:hAnsi="Arial"/>
                <w:sz w:val="16"/>
                <w:szCs w:val="16"/>
                <w:color w:val="auto"/>
              </w:rPr>
              <w:t>150%</w:t>
            </w:r>
          </w:p>
        </w:tc>
      </w:tr>
      <w:tr>
        <w:trPr>
          <w:trHeight w:val="189"/>
        </w:trPr>
        <w:tc>
          <w:tcPr>
            <w:tcW w:w="5740" w:type="dxa"/>
            <w:vAlign w:val="bottom"/>
            <w:tcBorders>
              <w:left w:val="single" w:sz="8" w:color="47829E"/>
              <w:right w:val="single" w:sz="8" w:color="47829E"/>
            </w:tcBorders>
            <w:shd w:val="clear" w:color="auto" w:fill="E3ECF0"/>
          </w:tcPr>
          <w:p>
            <w:pPr>
              <w:ind w:left="160"/>
              <w:spacing w:after="0"/>
              <w:rPr>
                <w:sz w:val="20"/>
                <w:szCs w:val="20"/>
                <w:color w:val="auto"/>
              </w:rPr>
            </w:pPr>
            <w:r>
              <w:rPr>
                <w:rFonts w:ascii="Arial" w:cs="Arial" w:eastAsia="Arial" w:hAnsi="Arial"/>
                <w:sz w:val="16"/>
                <w:szCs w:val="16"/>
                <w:color w:val="auto"/>
              </w:rPr>
              <w:t>Between 1.01% and 2% above</w:t>
            </w:r>
          </w:p>
        </w:tc>
        <w:tc>
          <w:tcPr>
            <w:tcW w:w="5700" w:type="dxa"/>
            <w:vAlign w:val="bottom"/>
            <w:tcBorders>
              <w:right w:val="single" w:sz="8" w:color="47829E"/>
            </w:tcBorders>
            <w:shd w:val="clear" w:color="auto" w:fill="E3ECF0"/>
          </w:tcPr>
          <w:p>
            <w:pPr>
              <w:jc w:val="center"/>
              <w:ind w:left="79"/>
              <w:spacing w:after="0"/>
              <w:rPr>
                <w:sz w:val="20"/>
                <w:szCs w:val="20"/>
                <w:color w:val="auto"/>
              </w:rPr>
            </w:pPr>
            <w:r>
              <w:rPr>
                <w:rFonts w:ascii="Arial" w:cs="Arial" w:eastAsia="Arial" w:hAnsi="Arial"/>
                <w:sz w:val="16"/>
                <w:szCs w:val="16"/>
                <w:color w:val="auto"/>
              </w:rPr>
              <w:t>125%</w:t>
            </w:r>
          </w:p>
        </w:tc>
      </w:tr>
      <w:tr>
        <w:trPr>
          <w:trHeight w:val="189"/>
        </w:trPr>
        <w:tc>
          <w:tcPr>
            <w:tcW w:w="57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Between 0.01% and 1% above</w:t>
            </w:r>
          </w:p>
        </w:tc>
        <w:tc>
          <w:tcPr>
            <w:tcW w:w="5700" w:type="dxa"/>
            <w:vAlign w:val="bottom"/>
            <w:tcBorders>
              <w:right w:val="single" w:sz="8" w:color="47829E"/>
            </w:tcBorders>
          </w:tcPr>
          <w:p>
            <w:pPr>
              <w:jc w:val="center"/>
              <w:ind w:left="79"/>
              <w:spacing w:after="0"/>
              <w:rPr>
                <w:sz w:val="20"/>
                <w:szCs w:val="20"/>
                <w:color w:val="auto"/>
              </w:rPr>
            </w:pPr>
            <w:r>
              <w:rPr>
                <w:rFonts w:ascii="Arial" w:cs="Arial" w:eastAsia="Arial" w:hAnsi="Arial"/>
                <w:sz w:val="16"/>
                <w:szCs w:val="16"/>
                <w:color w:val="auto"/>
              </w:rPr>
              <w:t>100%</w:t>
            </w:r>
          </w:p>
        </w:tc>
      </w:tr>
      <w:tr>
        <w:trPr>
          <w:trHeight w:val="189"/>
        </w:trPr>
        <w:tc>
          <w:tcPr>
            <w:tcW w:w="5740" w:type="dxa"/>
            <w:vAlign w:val="bottom"/>
            <w:tcBorders>
              <w:left w:val="single" w:sz="8" w:color="47829E"/>
              <w:right w:val="single" w:sz="8" w:color="47829E"/>
            </w:tcBorders>
            <w:shd w:val="clear" w:color="auto" w:fill="E3ECF0"/>
          </w:tcPr>
          <w:p>
            <w:pPr>
              <w:ind w:left="160"/>
              <w:spacing w:after="0"/>
              <w:rPr>
                <w:sz w:val="20"/>
                <w:szCs w:val="20"/>
                <w:color w:val="auto"/>
              </w:rPr>
            </w:pPr>
            <w:r>
              <w:rPr>
                <w:rFonts w:ascii="Arial" w:cs="Arial" w:eastAsia="Arial" w:hAnsi="Arial"/>
                <w:sz w:val="16"/>
                <w:szCs w:val="16"/>
                <w:color w:val="auto"/>
              </w:rPr>
              <w:t>Between WACC and 0.99% below</w:t>
            </w:r>
          </w:p>
        </w:tc>
        <w:tc>
          <w:tcPr>
            <w:tcW w:w="5700" w:type="dxa"/>
            <w:vAlign w:val="bottom"/>
            <w:tcBorders>
              <w:right w:val="single" w:sz="8" w:color="47829E"/>
            </w:tcBorders>
            <w:shd w:val="clear" w:color="auto" w:fill="E3ECF0"/>
          </w:tcPr>
          <w:p>
            <w:pPr>
              <w:jc w:val="center"/>
              <w:ind w:left="59"/>
              <w:spacing w:after="0"/>
              <w:rPr>
                <w:sz w:val="20"/>
                <w:szCs w:val="20"/>
                <w:color w:val="auto"/>
              </w:rPr>
            </w:pPr>
            <w:r>
              <w:rPr>
                <w:rFonts w:ascii="Arial" w:cs="Arial" w:eastAsia="Arial" w:hAnsi="Arial"/>
                <w:sz w:val="16"/>
                <w:szCs w:val="16"/>
                <w:color w:val="auto"/>
                <w:w w:val="99"/>
              </w:rPr>
              <w:t>75%</w:t>
            </w:r>
          </w:p>
        </w:tc>
      </w:tr>
      <w:tr>
        <w:trPr>
          <w:trHeight w:val="189"/>
        </w:trPr>
        <w:tc>
          <w:tcPr>
            <w:tcW w:w="5740" w:type="dxa"/>
            <w:vAlign w:val="bottom"/>
            <w:tcBorders>
              <w:left w:val="single" w:sz="8" w:color="47829E"/>
              <w:bottom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1% or more below</w:t>
            </w:r>
          </w:p>
        </w:tc>
        <w:tc>
          <w:tcPr>
            <w:tcW w:w="5700" w:type="dxa"/>
            <w:vAlign w:val="bottom"/>
            <w:tcBorders>
              <w:bottom w:val="single" w:sz="8" w:color="47829E"/>
              <w:right w:val="single" w:sz="8" w:color="47829E"/>
            </w:tcBorders>
          </w:tcPr>
          <w:p>
            <w:pPr>
              <w:jc w:val="center"/>
              <w:ind w:left="59"/>
              <w:spacing w:after="0"/>
              <w:rPr>
                <w:sz w:val="20"/>
                <w:szCs w:val="20"/>
                <w:color w:val="auto"/>
              </w:rPr>
            </w:pPr>
            <w:r>
              <w:rPr>
                <w:rFonts w:ascii="Arial" w:cs="Arial" w:eastAsia="Arial" w:hAnsi="Arial"/>
                <w:sz w:val="16"/>
                <w:szCs w:val="16"/>
                <w:color w:val="auto"/>
              </w:rPr>
              <w:t>Review Martin Marietta performance against Performance Peer Group</w:t>
            </w:r>
          </w:p>
        </w:tc>
      </w:tr>
    </w:tbl>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If our ROIC is 1% or more below our WACC, then we review our previous year’s financial performance against seven global competitors (as of May 2015) to determine our relative performance and the grant size, if any. The seven global competitors are called the Performance Peer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Pr>
          <w:p>
            <w:pPr>
              <w:spacing w:after="0"/>
              <w:rPr>
                <w:sz w:val="20"/>
                <w:szCs w:val="20"/>
                <w:color w:val="auto"/>
              </w:rPr>
            </w:pPr>
            <w:r>
              <w:rPr>
                <w:rFonts w:ascii="Arial" w:cs="Arial" w:eastAsia="Arial" w:hAnsi="Arial"/>
                <w:sz w:val="17"/>
                <w:szCs w:val="17"/>
                <w:color w:val="auto"/>
              </w:rPr>
              <w:t>Cemex</w:t>
            </w:r>
          </w:p>
        </w:tc>
        <w:tc>
          <w:tcPr>
            <w:tcW w:w="5040" w:type="dxa"/>
            <w:vAlign w:val="bottom"/>
          </w:tcPr>
          <w:p>
            <w:pPr>
              <w:spacing w:after="0"/>
              <w:rPr>
                <w:sz w:val="16"/>
                <w:szCs w:val="16"/>
                <w:color w:val="auto"/>
              </w:rPr>
            </w:pPr>
          </w:p>
        </w:tc>
        <w:tc>
          <w:tcPr>
            <w:tcW w:w="4100" w:type="dxa"/>
            <w:vAlign w:val="bottom"/>
          </w:tcPr>
          <w:p>
            <w:pPr>
              <w:ind w:left="2060"/>
              <w:spacing w:after="0"/>
              <w:rPr>
                <w:sz w:val="20"/>
                <w:szCs w:val="20"/>
                <w:color w:val="auto"/>
              </w:rPr>
            </w:pPr>
            <w:r>
              <w:rPr>
                <w:rFonts w:ascii="Arial" w:cs="Arial" w:eastAsia="Arial" w:hAnsi="Arial"/>
                <w:sz w:val="17"/>
                <w:szCs w:val="17"/>
                <w:color w:val="auto"/>
              </w:rPr>
              <w:t>Holcim Ltd.</w:t>
            </w:r>
          </w:p>
        </w:tc>
      </w:tr>
      <w:tr>
        <w:trPr>
          <w:trHeight w:val="189"/>
        </w:trPr>
        <w:tc>
          <w:tcPr>
            <w:tcW w:w="5940" w:type="dxa"/>
            <w:vAlign w:val="bottom"/>
            <w:gridSpan w:val="2"/>
          </w:tcPr>
          <w:p>
            <w:pPr>
              <w:spacing w:after="0" w:line="189" w:lineRule="exact"/>
              <w:rPr>
                <w:sz w:val="20"/>
                <w:szCs w:val="20"/>
                <w:color w:val="auto"/>
              </w:rPr>
            </w:pPr>
            <w:r>
              <w:rPr>
                <w:rFonts w:ascii="Arial" w:cs="Arial" w:eastAsia="Arial" w:hAnsi="Arial"/>
                <w:sz w:val="17"/>
                <w:szCs w:val="17"/>
                <w:color w:val="auto"/>
              </w:rPr>
              <w:t>S.A.B. de C.V.</w:t>
            </w:r>
          </w:p>
        </w:tc>
        <w:tc>
          <w:tcPr>
            <w:tcW w:w="4100" w:type="dxa"/>
            <w:vAlign w:val="bottom"/>
          </w:tcPr>
          <w:p>
            <w:pPr>
              <w:ind w:left="2060"/>
              <w:spacing w:after="0" w:line="189" w:lineRule="exact"/>
              <w:rPr>
                <w:sz w:val="20"/>
                <w:szCs w:val="20"/>
                <w:color w:val="auto"/>
              </w:rPr>
            </w:pPr>
            <w:r>
              <w:rPr>
                <w:rFonts w:ascii="Arial" w:cs="Arial" w:eastAsia="Arial" w:hAnsi="Arial"/>
                <w:sz w:val="17"/>
                <w:szCs w:val="17"/>
                <w:color w:val="auto"/>
              </w:rPr>
              <w:t>Lafarge S.A.</w:t>
            </w:r>
          </w:p>
        </w:tc>
      </w:tr>
      <w:tr>
        <w:trPr>
          <w:trHeight w:val="189"/>
        </w:trPr>
        <w:tc>
          <w:tcPr>
            <w:tcW w:w="900" w:type="dxa"/>
            <w:vAlign w:val="bottom"/>
          </w:tcPr>
          <w:p>
            <w:pPr>
              <w:spacing w:after="0" w:line="189" w:lineRule="exact"/>
              <w:rPr>
                <w:sz w:val="20"/>
                <w:szCs w:val="20"/>
                <w:color w:val="auto"/>
              </w:rPr>
            </w:pPr>
            <w:r>
              <w:rPr>
                <w:rFonts w:ascii="Arial" w:cs="Arial" w:eastAsia="Arial" w:hAnsi="Arial"/>
                <w:sz w:val="17"/>
                <w:szCs w:val="17"/>
                <w:color w:val="auto"/>
              </w:rPr>
              <w:t>CRH PLC</w:t>
            </w:r>
          </w:p>
        </w:tc>
        <w:tc>
          <w:tcPr>
            <w:tcW w:w="5040" w:type="dxa"/>
            <w:vAlign w:val="bottom"/>
          </w:tcPr>
          <w:p>
            <w:pPr>
              <w:spacing w:after="0"/>
              <w:rPr>
                <w:sz w:val="16"/>
                <w:szCs w:val="16"/>
                <w:color w:val="auto"/>
              </w:rPr>
            </w:pPr>
          </w:p>
        </w:tc>
        <w:tc>
          <w:tcPr>
            <w:tcW w:w="4100" w:type="dxa"/>
            <w:vAlign w:val="bottom"/>
          </w:tcPr>
          <w:p>
            <w:pPr>
              <w:ind w:left="2060"/>
              <w:spacing w:after="0" w:line="189" w:lineRule="exact"/>
              <w:rPr>
                <w:sz w:val="20"/>
                <w:szCs w:val="20"/>
                <w:color w:val="auto"/>
              </w:rPr>
            </w:pPr>
            <w:r>
              <w:rPr>
                <w:rFonts w:ascii="Arial" w:cs="Arial" w:eastAsia="Arial" w:hAnsi="Arial"/>
                <w:sz w:val="17"/>
                <w:szCs w:val="17"/>
                <w:color w:val="auto"/>
                <w:w w:val="99"/>
              </w:rPr>
              <w:t>Vulcan Materials Company</w:t>
            </w:r>
          </w:p>
        </w:tc>
      </w:tr>
      <w:tr>
        <w:trPr>
          <w:trHeight w:val="205"/>
        </w:trPr>
        <w:tc>
          <w:tcPr>
            <w:tcW w:w="5940" w:type="dxa"/>
            <w:vAlign w:val="bottom"/>
            <w:gridSpan w:val="2"/>
          </w:tcPr>
          <w:p>
            <w:pPr>
              <w:spacing w:after="0"/>
              <w:rPr>
                <w:sz w:val="20"/>
                <w:szCs w:val="20"/>
                <w:color w:val="auto"/>
              </w:rPr>
            </w:pPr>
            <w:r>
              <w:rPr>
                <w:rFonts w:ascii="Arial" w:cs="Arial" w:eastAsia="Arial" w:hAnsi="Arial"/>
                <w:sz w:val="17"/>
                <w:szCs w:val="17"/>
                <w:color w:val="auto"/>
              </w:rPr>
              <w:t>Heidelberger Druckmaschinen AG/Heidelberg USA</w:t>
            </w:r>
          </w:p>
        </w:tc>
        <w:tc>
          <w:tcPr>
            <w:tcW w:w="4100" w:type="dxa"/>
            <w:vAlign w:val="bottom"/>
          </w:tcPr>
          <w:p>
            <w:pPr>
              <w:spacing w:after="0"/>
              <w:rPr>
                <w:sz w:val="17"/>
                <w:szCs w:val="17"/>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7"/>
                <w:szCs w:val="17"/>
                <w:color w:val="auto"/>
              </w:rPr>
              <w:t>38</w:t>
            </w:r>
          </w:p>
        </w:tc>
        <w:tc>
          <w:tcPr>
            <w:tcW w:w="5040" w:type="dxa"/>
            <w:vAlign w:val="bottom"/>
          </w:tcPr>
          <w:p>
            <w:pPr>
              <w:ind w:left="140"/>
              <w:spacing w:after="0"/>
              <w:rPr>
                <w:sz w:val="20"/>
                <w:szCs w:val="20"/>
                <w:color w:val="auto"/>
              </w:rPr>
            </w:pPr>
            <w:r>
              <w:rPr>
                <w:rFonts w:ascii="Arial" w:cs="Arial" w:eastAsia="Arial" w:hAnsi="Arial"/>
                <w:sz w:val="17"/>
                <w:szCs w:val="17"/>
                <w:i w:val="1"/>
                <w:iCs w:val="1"/>
                <w:color w:val="auto"/>
              </w:rPr>
              <w:t>2016 Proxy Statement</w:t>
            </w: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34290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82" w:right="219" w:bottom="1440" w:gutter="0" w:footer="0" w:header="0"/>
          <w:type w:val="continuous"/>
        </w:sectPr>
      </w:pPr>
    </w:p>
    <w:bookmarkStart w:id="42" w:name="page43"/>
    <w:bookmarkEnd w:id="42"/>
    <w:p>
      <w:pPr>
        <w:jc w:val="both"/>
        <w:spacing w:after="0" w:line="233" w:lineRule="auto"/>
        <w:rPr>
          <w:sz w:val="20"/>
          <w:szCs w:val="20"/>
          <w:color w:val="auto"/>
        </w:rPr>
      </w:pPr>
      <w:r>
        <w:rPr>
          <w:rFonts w:ascii="Arial" w:cs="Arial" w:eastAsia="Arial" w:hAnsi="Arial"/>
          <w:sz w:val="17"/>
          <w:szCs w:val="17"/>
          <w:color w:val="auto"/>
        </w:rPr>
        <w:t>The four performance measures that the Committee took into account under this alternative formula are: (1) Return, measured by operating profit expressed as a percentage margin to net sales, (2) Growth, measured by the increase in 2014 revenue/net sales expressed as a percentage change compared to 2013, (3) Cash Flow, measured by operating cash flow calculated as a percentage change over prior year, and (4) Earnings Before Interest, Taxes and Depletion, Depreciation and Amortization (EBITDA), measured as a percentage of EBITDA margin to net sales. These metrics were determined by the Committee to be appropriate measures of performance based on its knowledge of the performance factors that the</w:t>
      </w:r>
    </w:p>
    <w:p>
      <w:pPr>
        <w:spacing w:after="0" w:line="20" w:lineRule="exact"/>
        <w:rPr>
          <w:sz w:val="20"/>
          <w:szCs w:val="20"/>
          <w:color w:val="auto"/>
        </w:rPr>
      </w:pPr>
      <w:r>
        <w:rPr>
          <w:sz w:val="20"/>
          <w:szCs w:val="20"/>
          <w:color w:val="auto"/>
        </w:rPr>
        <w:br w:type="column"/>
      </w:r>
    </w:p>
    <w:p>
      <w:pPr>
        <w:jc w:val="both"/>
        <w:ind w:right="120"/>
        <w:spacing w:after="0" w:line="234" w:lineRule="auto"/>
        <w:rPr>
          <w:sz w:val="20"/>
          <w:szCs w:val="20"/>
          <w:color w:val="auto"/>
        </w:rPr>
      </w:pPr>
      <w:r>
        <w:rPr>
          <w:rFonts w:ascii="Arial" w:cs="Arial" w:eastAsia="Arial" w:hAnsi="Arial"/>
          <w:sz w:val="17"/>
          <w:szCs w:val="17"/>
          <w:color w:val="auto"/>
        </w:rPr>
        <w:t>Company’s shareholders consider, the advice of the Committee’s independent compensation consultant that these factors are appropriate, the differences in size, diversity and markets of the businesses conducted by the international companies in the Performance Peer Group, and the limited availability of full performance metrics from the international companies in the Performance Peer Group that do not make financial statement filings in accordance with generally accepted accounting principles with the SEC. Grants sizes are determined based on our average score versus the Performance Peer Group for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-1334135</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1"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2015, our ROIC vs. WACC fell in the category “1% or more below”. The Committee in 2015 reviewed our performance against the Performance Peer Group as set forth in the following table with respect to each of the measures indicated.</w:t>
      </w:r>
    </w:p>
    <w:p>
      <w:pPr>
        <w:spacing w:after="0" w:line="232" w:lineRule="exact"/>
        <w:rPr>
          <w:sz w:val="20"/>
          <w:szCs w:val="20"/>
          <w:color w:val="auto"/>
        </w:rPr>
      </w:pPr>
    </w:p>
    <w:tbl>
      <w:tblPr>
        <w:tblLayout w:type="fixed"/>
        <w:tblInd w:w="1050" w:type="dxa"/>
        <w:tblCellMar>
          <w:top w:w="0" w:type="dxa"/>
          <w:left w:w="0" w:type="dxa"/>
          <w:bottom w:w="0" w:type="dxa"/>
          <w:right w:w="0" w:type="dxa"/>
        </w:tblCellMar>
      </w:tblPr>
      <w:tr>
        <w:trPr>
          <w:trHeight w:val="203"/>
        </w:trPr>
        <w:tc>
          <w:tcPr>
            <w:tcW w:w="2320" w:type="dxa"/>
            <w:vAlign w:val="bottom"/>
            <w:tcBorders>
              <w:left w:val="single" w:sz="8" w:color="47829E"/>
              <w:right w:val="single" w:sz="8" w:color="47829E"/>
            </w:tcBorders>
            <w:vMerge w:val="restart"/>
            <w:shd w:val="clear" w:color="auto" w:fill="47829E"/>
          </w:tcPr>
          <w:p>
            <w:pPr>
              <w:ind w:left="160"/>
              <w:spacing w:after="0"/>
              <w:rPr>
                <w:sz w:val="20"/>
                <w:szCs w:val="20"/>
                <w:color w:val="auto"/>
              </w:rPr>
            </w:pPr>
            <w:r>
              <w:rPr>
                <w:rFonts w:ascii="Arial" w:cs="Arial" w:eastAsia="Arial" w:hAnsi="Arial"/>
                <w:sz w:val="16"/>
                <w:szCs w:val="16"/>
                <w:b w:val="1"/>
                <w:bCs w:val="1"/>
                <w:color w:val="FFFFFF"/>
              </w:rPr>
              <w:t>Martin Marietta</w:t>
            </w:r>
          </w:p>
        </w:tc>
        <w:tc>
          <w:tcPr>
            <w:tcW w:w="360" w:type="dxa"/>
            <w:vAlign w:val="bottom"/>
            <w:shd w:val="clear" w:color="auto" w:fill="47829E"/>
          </w:tcPr>
          <w:p>
            <w:pPr>
              <w:spacing w:after="0"/>
              <w:rPr>
                <w:sz w:val="17"/>
                <w:szCs w:val="17"/>
                <w:color w:val="auto"/>
              </w:rPr>
            </w:pPr>
          </w:p>
        </w:tc>
        <w:tc>
          <w:tcPr>
            <w:tcW w:w="1040" w:type="dxa"/>
            <w:vAlign w:val="bottom"/>
            <w:tcBorders>
              <w:right w:val="single" w:sz="8" w:color="47829E"/>
            </w:tcBorders>
            <w:vMerge w:val="restart"/>
            <w:shd w:val="clear" w:color="auto" w:fill="47829E"/>
          </w:tcPr>
          <w:p>
            <w:pPr>
              <w:jc w:val="right"/>
              <w:ind w:right="239"/>
              <w:spacing w:after="0"/>
              <w:rPr>
                <w:sz w:val="20"/>
                <w:szCs w:val="20"/>
                <w:color w:val="auto"/>
              </w:rPr>
            </w:pPr>
            <w:r>
              <w:rPr>
                <w:rFonts w:ascii="Arial" w:cs="Arial" w:eastAsia="Arial" w:hAnsi="Arial"/>
                <w:sz w:val="16"/>
                <w:szCs w:val="16"/>
                <w:b w:val="1"/>
                <w:bCs w:val="1"/>
                <w:color w:val="FFFFFF"/>
              </w:rPr>
              <w:t>Award</w:t>
            </w:r>
          </w:p>
        </w:tc>
        <w:tc>
          <w:tcPr>
            <w:tcW w:w="1240" w:type="dxa"/>
            <w:vAlign w:val="bottom"/>
            <w:tcBorders>
              <w:right w:val="single" w:sz="8" w:color="47829E"/>
            </w:tcBorders>
            <w:shd w:val="clear" w:color="auto" w:fill="47829E"/>
          </w:tcPr>
          <w:p>
            <w:pPr>
              <w:spacing w:after="0"/>
              <w:rPr>
                <w:sz w:val="17"/>
                <w:szCs w:val="17"/>
                <w:color w:val="auto"/>
              </w:rPr>
            </w:pPr>
          </w:p>
        </w:tc>
        <w:tc>
          <w:tcPr>
            <w:tcW w:w="2960" w:type="dxa"/>
            <w:vAlign w:val="bottom"/>
            <w:tcBorders>
              <w:right w:val="single" w:sz="8" w:color="47829E"/>
            </w:tcBorders>
            <w:gridSpan w:val="3"/>
            <w:shd w:val="clear" w:color="auto" w:fill="47829E"/>
          </w:tcPr>
          <w:p>
            <w:pPr>
              <w:ind w:left="900"/>
              <w:spacing w:after="0"/>
              <w:rPr>
                <w:sz w:val="20"/>
                <w:szCs w:val="20"/>
                <w:color w:val="auto"/>
              </w:rPr>
            </w:pPr>
            <w:r>
              <w:rPr>
                <w:rFonts w:ascii="Arial" w:cs="Arial" w:eastAsia="Arial" w:hAnsi="Arial"/>
                <w:sz w:val="16"/>
                <w:szCs w:val="16"/>
                <w:b w:val="1"/>
                <w:bCs w:val="1"/>
                <w:color w:val="FFFFFF"/>
              </w:rPr>
              <w:t>Performance Metric</w:t>
            </w:r>
          </w:p>
        </w:tc>
        <w:tc>
          <w:tcPr>
            <w:tcW w:w="1460" w:type="dxa"/>
            <w:vAlign w:val="bottom"/>
            <w:tcBorders>
              <w:right w:val="single" w:sz="8" w:color="47829E"/>
            </w:tcBorders>
            <w:shd w:val="clear" w:color="auto" w:fill="47829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320" w:type="dxa"/>
            <w:vAlign w:val="bottom"/>
            <w:tcBorders>
              <w:left w:val="single" w:sz="8" w:color="47829E"/>
              <w:right w:val="single" w:sz="8" w:color="47829E"/>
            </w:tcBorders>
            <w:vMerge w:val="continue"/>
            <w:shd w:val="clear" w:color="auto" w:fill="47829E"/>
          </w:tcPr>
          <w:p>
            <w:pPr>
              <w:spacing w:after="0"/>
              <w:rPr>
                <w:sz w:val="14"/>
                <w:szCs w:val="14"/>
                <w:color w:val="auto"/>
              </w:rPr>
            </w:pPr>
          </w:p>
        </w:tc>
        <w:tc>
          <w:tcPr>
            <w:tcW w:w="360" w:type="dxa"/>
            <w:vAlign w:val="bottom"/>
            <w:shd w:val="clear" w:color="auto" w:fill="47829E"/>
          </w:tcPr>
          <w:p>
            <w:pPr>
              <w:spacing w:after="0"/>
              <w:rPr>
                <w:sz w:val="14"/>
                <w:szCs w:val="14"/>
                <w:color w:val="auto"/>
              </w:rPr>
            </w:pPr>
          </w:p>
        </w:tc>
        <w:tc>
          <w:tcPr>
            <w:tcW w:w="1040" w:type="dxa"/>
            <w:vAlign w:val="bottom"/>
            <w:tcBorders>
              <w:right w:val="single" w:sz="8" w:color="47829E"/>
            </w:tcBorders>
            <w:vMerge w:val="continue"/>
            <w:shd w:val="clear" w:color="auto" w:fill="47829E"/>
          </w:tcPr>
          <w:p>
            <w:pPr>
              <w:spacing w:after="0"/>
              <w:rPr>
                <w:sz w:val="14"/>
                <w:szCs w:val="14"/>
                <w:color w:val="auto"/>
              </w:rPr>
            </w:pPr>
          </w:p>
        </w:tc>
        <w:tc>
          <w:tcPr>
            <w:tcW w:w="1240" w:type="dxa"/>
            <w:vAlign w:val="bottom"/>
            <w:tcBorders>
              <w:right w:val="single" w:sz="8" w:color="47829E"/>
            </w:tcBorders>
            <w:shd w:val="clear" w:color="auto" w:fill="47829E"/>
          </w:tcPr>
          <w:p>
            <w:pPr>
              <w:spacing w:after="0"/>
              <w:rPr>
                <w:sz w:val="14"/>
                <w:szCs w:val="14"/>
                <w:color w:val="auto"/>
              </w:rPr>
            </w:pPr>
          </w:p>
        </w:tc>
        <w:tc>
          <w:tcPr>
            <w:tcW w:w="1260" w:type="dxa"/>
            <w:vAlign w:val="bottom"/>
            <w:tcBorders>
              <w:right w:val="single" w:sz="8" w:color="47829E"/>
            </w:tcBorders>
            <w:shd w:val="clear" w:color="auto" w:fill="47829E"/>
          </w:tcPr>
          <w:p>
            <w:pPr>
              <w:spacing w:after="0"/>
              <w:rPr>
                <w:sz w:val="14"/>
                <w:szCs w:val="14"/>
                <w:color w:val="auto"/>
              </w:rPr>
            </w:pPr>
          </w:p>
        </w:tc>
        <w:tc>
          <w:tcPr>
            <w:tcW w:w="420" w:type="dxa"/>
            <w:vAlign w:val="bottom"/>
            <w:shd w:val="clear" w:color="auto" w:fill="47829E"/>
          </w:tcPr>
          <w:p>
            <w:pPr>
              <w:spacing w:after="0"/>
              <w:rPr>
                <w:sz w:val="14"/>
                <w:szCs w:val="14"/>
                <w:color w:val="auto"/>
              </w:rPr>
            </w:pPr>
          </w:p>
        </w:tc>
        <w:tc>
          <w:tcPr>
            <w:tcW w:w="1280" w:type="dxa"/>
            <w:vAlign w:val="bottom"/>
            <w:tcBorders>
              <w:right w:val="single" w:sz="8" w:color="47829E"/>
            </w:tcBorders>
            <w:shd w:val="clear" w:color="auto" w:fill="47829E"/>
          </w:tcPr>
          <w:p>
            <w:pPr>
              <w:spacing w:after="0"/>
              <w:rPr>
                <w:sz w:val="14"/>
                <w:szCs w:val="14"/>
                <w:color w:val="auto"/>
              </w:rPr>
            </w:pPr>
          </w:p>
        </w:tc>
        <w:tc>
          <w:tcPr>
            <w:tcW w:w="1460" w:type="dxa"/>
            <w:vAlign w:val="bottom"/>
            <w:tcBorders>
              <w:right w:val="single" w:sz="8" w:color="47829E"/>
            </w:tcBorders>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32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6"/>
                <w:szCs w:val="16"/>
                <w:b w:val="1"/>
                <w:bCs w:val="1"/>
                <w:color w:val="FFFFFF"/>
              </w:rPr>
              <w:t>Ranking Position</w:t>
            </w:r>
          </w:p>
        </w:tc>
        <w:tc>
          <w:tcPr>
            <w:tcW w:w="360" w:type="dxa"/>
            <w:vAlign w:val="bottom"/>
            <w:shd w:val="clear" w:color="auto" w:fill="47829E"/>
          </w:tcPr>
          <w:p>
            <w:pPr>
              <w:spacing w:after="0"/>
              <w:rPr>
                <w:sz w:val="19"/>
                <w:szCs w:val="19"/>
                <w:color w:val="auto"/>
              </w:rPr>
            </w:pPr>
          </w:p>
        </w:tc>
        <w:tc>
          <w:tcPr>
            <w:tcW w:w="1040" w:type="dxa"/>
            <w:vAlign w:val="bottom"/>
            <w:tcBorders>
              <w:right w:val="single" w:sz="8" w:color="47829E"/>
            </w:tcBorders>
            <w:shd w:val="clear" w:color="auto" w:fill="47829E"/>
          </w:tcPr>
          <w:p>
            <w:pPr>
              <w:ind w:left="120"/>
              <w:spacing w:after="0"/>
              <w:rPr>
                <w:sz w:val="20"/>
                <w:szCs w:val="20"/>
                <w:color w:val="auto"/>
              </w:rPr>
            </w:pPr>
            <w:r>
              <w:rPr>
                <w:rFonts w:ascii="Arial" w:cs="Arial" w:eastAsia="Arial" w:hAnsi="Arial"/>
                <w:sz w:val="16"/>
                <w:szCs w:val="16"/>
                <w:b w:val="1"/>
                <w:bCs w:val="1"/>
                <w:color w:val="FFFFFF"/>
              </w:rPr>
              <w:t>Payout %</w:t>
            </w:r>
          </w:p>
        </w:tc>
        <w:tc>
          <w:tcPr>
            <w:tcW w:w="1240" w:type="dxa"/>
            <w:vAlign w:val="bottom"/>
            <w:tcBorders>
              <w:right w:val="single" w:sz="8" w:color="47829E"/>
            </w:tcBorders>
            <w:shd w:val="clear" w:color="auto" w:fill="47829E"/>
          </w:tcPr>
          <w:p>
            <w:pPr>
              <w:jc w:val="center"/>
              <w:ind w:left="199"/>
              <w:spacing w:after="0"/>
              <w:rPr>
                <w:sz w:val="20"/>
                <w:szCs w:val="20"/>
                <w:color w:val="auto"/>
              </w:rPr>
            </w:pPr>
            <w:r>
              <w:rPr>
                <w:rFonts w:ascii="Arial" w:cs="Arial" w:eastAsia="Arial" w:hAnsi="Arial"/>
                <w:sz w:val="16"/>
                <w:szCs w:val="16"/>
                <w:b w:val="1"/>
                <w:bCs w:val="1"/>
                <w:color w:val="FFFFFF"/>
              </w:rPr>
              <w:t>Return</w:t>
            </w:r>
          </w:p>
        </w:tc>
        <w:tc>
          <w:tcPr>
            <w:tcW w:w="1680" w:type="dxa"/>
            <w:vAlign w:val="bottom"/>
            <w:gridSpan w:val="2"/>
            <w:shd w:val="clear" w:color="auto" w:fill="47829E"/>
          </w:tcPr>
          <w:p>
            <w:pPr>
              <w:jc w:val="center"/>
              <w:ind w:right="120"/>
              <w:spacing w:after="0"/>
              <w:rPr>
                <w:sz w:val="20"/>
                <w:szCs w:val="20"/>
                <w:color w:val="auto"/>
              </w:rPr>
            </w:pPr>
            <w:r>
              <w:rPr>
                <w:rFonts w:ascii="Arial" w:cs="Arial" w:eastAsia="Arial" w:hAnsi="Arial"/>
                <w:sz w:val="16"/>
                <w:szCs w:val="16"/>
                <w:b w:val="1"/>
                <w:bCs w:val="1"/>
                <w:color w:val="FFFFFF"/>
                <w:w w:val="99"/>
              </w:rPr>
              <w:t>Growth</w:t>
            </w:r>
          </w:p>
        </w:tc>
        <w:tc>
          <w:tcPr>
            <w:tcW w:w="1280" w:type="dxa"/>
            <w:vAlign w:val="bottom"/>
            <w:tcBorders>
              <w:right w:val="single" w:sz="8" w:color="47829E"/>
            </w:tcBorders>
            <w:shd w:val="clear" w:color="auto" w:fill="47829E"/>
          </w:tcPr>
          <w:p>
            <w:pPr>
              <w:jc w:val="center"/>
              <w:ind w:right="39"/>
              <w:spacing w:after="0"/>
              <w:rPr>
                <w:sz w:val="20"/>
                <w:szCs w:val="20"/>
                <w:color w:val="auto"/>
              </w:rPr>
            </w:pPr>
            <w:r>
              <w:rPr>
                <w:rFonts w:ascii="Arial" w:cs="Arial" w:eastAsia="Arial" w:hAnsi="Arial"/>
                <w:sz w:val="16"/>
                <w:szCs w:val="16"/>
                <w:b w:val="1"/>
                <w:bCs w:val="1"/>
                <w:color w:val="FFFFFF"/>
              </w:rPr>
              <w:t>Cash   Flow</w:t>
            </w:r>
          </w:p>
        </w:tc>
        <w:tc>
          <w:tcPr>
            <w:tcW w:w="1460" w:type="dxa"/>
            <w:vAlign w:val="bottom"/>
            <w:tcBorders>
              <w:right w:val="single" w:sz="8" w:color="47829E"/>
            </w:tcBorders>
            <w:shd w:val="clear" w:color="auto" w:fill="47829E"/>
          </w:tcPr>
          <w:p>
            <w:pPr>
              <w:ind w:left="500"/>
              <w:spacing w:after="0"/>
              <w:rPr>
                <w:sz w:val="20"/>
                <w:szCs w:val="20"/>
                <w:color w:val="auto"/>
              </w:rPr>
            </w:pPr>
            <w:r>
              <w:rPr>
                <w:rFonts w:ascii="Arial" w:cs="Arial" w:eastAsia="Arial" w:hAnsi="Arial"/>
                <w:sz w:val="16"/>
                <w:szCs w:val="16"/>
                <w:b w:val="1"/>
                <w:bCs w:val="1"/>
                <w:color w:val="FFFFFF"/>
              </w:rPr>
              <w:t>EBITDA</w:t>
            </w: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color w:val="auto"/>
              </w:rPr>
              <w:t>2</w:t>
            </w:r>
          </w:p>
        </w:tc>
        <w:tc>
          <w:tcPr>
            <w:tcW w:w="360" w:type="dxa"/>
            <w:vAlign w:val="bottom"/>
            <w:shd w:val="clear" w:color="auto" w:fill="DAE6EB"/>
          </w:tcPr>
          <w:p>
            <w:pPr>
              <w:spacing w:after="0"/>
              <w:rPr>
                <w:sz w:val="16"/>
                <w:szCs w:val="16"/>
                <w:color w:val="auto"/>
              </w:rPr>
            </w:pPr>
          </w:p>
        </w:tc>
        <w:tc>
          <w:tcPr>
            <w:tcW w:w="1040" w:type="dxa"/>
            <w:vAlign w:val="bottom"/>
            <w:tcBorders>
              <w:right w:val="single" w:sz="8" w:color="47829E"/>
            </w:tcBorders>
            <w:shd w:val="clear" w:color="auto" w:fill="DAE6EB"/>
          </w:tcPr>
          <w:p>
            <w:pPr>
              <w:jc w:val="right"/>
              <w:ind w:right="319"/>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47829E"/>
            </w:tcBorders>
            <w:shd w:val="clear" w:color="auto" w:fill="DAE6EB"/>
          </w:tcPr>
          <w:p>
            <w:pPr>
              <w:jc w:val="center"/>
              <w:ind w:left="219"/>
              <w:spacing w:after="0"/>
              <w:rPr>
                <w:sz w:val="20"/>
                <w:szCs w:val="20"/>
                <w:color w:val="auto"/>
              </w:rPr>
            </w:pPr>
            <w:r>
              <w:rPr>
                <w:rFonts w:ascii="Arial" w:cs="Arial" w:eastAsia="Arial" w:hAnsi="Arial"/>
                <w:sz w:val="16"/>
                <w:szCs w:val="16"/>
                <w:color w:val="auto"/>
                <w:w w:val="93"/>
              </w:rPr>
              <w:t>X</w:t>
            </w:r>
          </w:p>
        </w:tc>
        <w:tc>
          <w:tcPr>
            <w:tcW w:w="1260" w:type="dxa"/>
            <w:vAlign w:val="bottom"/>
            <w:tcBorders>
              <w:right w:val="single" w:sz="8" w:color="47829E"/>
            </w:tcBorders>
            <w:shd w:val="clear" w:color="auto" w:fill="DAE6EB"/>
          </w:tcPr>
          <w:p>
            <w:pPr>
              <w:jc w:val="center"/>
              <w:ind w:left="199"/>
              <w:spacing w:after="0"/>
              <w:rPr>
                <w:sz w:val="20"/>
                <w:szCs w:val="20"/>
                <w:color w:val="auto"/>
              </w:rPr>
            </w:pPr>
            <w:r>
              <w:rPr>
                <w:rFonts w:ascii="Arial" w:cs="Arial" w:eastAsia="Arial" w:hAnsi="Arial"/>
                <w:sz w:val="16"/>
                <w:szCs w:val="16"/>
                <w:color w:val="auto"/>
                <w:w w:val="93"/>
              </w:rPr>
              <w:t>X</w:t>
            </w: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jc w:val="center"/>
              <w:ind w:right="39"/>
              <w:spacing w:after="0"/>
              <w:rPr>
                <w:sz w:val="20"/>
                <w:szCs w:val="20"/>
                <w:color w:val="auto"/>
              </w:rPr>
            </w:pPr>
            <w:r>
              <w:rPr>
                <w:rFonts w:ascii="Arial" w:cs="Arial" w:eastAsia="Arial" w:hAnsi="Arial"/>
                <w:sz w:val="16"/>
                <w:szCs w:val="16"/>
                <w:color w:val="auto"/>
              </w:rPr>
              <w:t>X</w:t>
            </w:r>
          </w:p>
        </w:tc>
        <w:tc>
          <w:tcPr>
            <w:tcW w:w="1460" w:type="dxa"/>
            <w:vAlign w:val="bottom"/>
            <w:tcBorders>
              <w:right w:val="single" w:sz="8" w:color="47829E"/>
            </w:tcBorders>
            <w:shd w:val="clear" w:color="auto" w:fill="DAE6EB"/>
          </w:tcPr>
          <w:p>
            <w:pPr>
              <w:jc w:val="center"/>
              <w:ind w:left="199"/>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60%</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color w:val="auto"/>
              </w:rPr>
              <w:t>4</w:t>
            </w:r>
          </w:p>
        </w:tc>
        <w:tc>
          <w:tcPr>
            <w:tcW w:w="360" w:type="dxa"/>
            <w:vAlign w:val="bottom"/>
            <w:shd w:val="clear" w:color="auto" w:fill="DAE6EB"/>
          </w:tcPr>
          <w:p>
            <w:pPr>
              <w:spacing w:after="0"/>
              <w:rPr>
                <w:sz w:val="16"/>
                <w:szCs w:val="16"/>
                <w:color w:val="auto"/>
              </w:rPr>
            </w:pPr>
          </w:p>
        </w:tc>
        <w:tc>
          <w:tcPr>
            <w:tcW w:w="1040" w:type="dxa"/>
            <w:vAlign w:val="bottom"/>
            <w:tcBorders>
              <w:right w:val="single" w:sz="8" w:color="47829E"/>
            </w:tcBorders>
            <w:shd w:val="clear" w:color="auto" w:fill="DAE6EB"/>
          </w:tcPr>
          <w:p>
            <w:pPr>
              <w:jc w:val="right"/>
              <w:ind w:right="319"/>
              <w:spacing w:after="0"/>
              <w:rPr>
                <w:sz w:val="20"/>
                <w:szCs w:val="20"/>
                <w:color w:val="auto"/>
              </w:rPr>
            </w:pPr>
            <w:r>
              <w:rPr>
                <w:rFonts w:ascii="Arial" w:cs="Arial" w:eastAsia="Arial" w:hAnsi="Arial"/>
                <w:sz w:val="16"/>
                <w:szCs w:val="16"/>
                <w:color w:val="auto"/>
              </w:rPr>
              <w:t>50%</w:t>
            </w:r>
          </w:p>
        </w:tc>
        <w:tc>
          <w:tcPr>
            <w:tcW w:w="1240" w:type="dxa"/>
            <w:vAlign w:val="bottom"/>
            <w:tcBorders>
              <w:right w:val="single" w:sz="8" w:color="47829E"/>
            </w:tcBorders>
            <w:shd w:val="clear" w:color="auto" w:fill="DAE6EB"/>
          </w:tcPr>
          <w:p>
            <w:pPr>
              <w:spacing w:after="0"/>
              <w:rPr>
                <w:sz w:val="16"/>
                <w:szCs w:val="16"/>
                <w:color w:val="auto"/>
              </w:rPr>
            </w:pPr>
          </w:p>
        </w:tc>
        <w:tc>
          <w:tcPr>
            <w:tcW w:w="1260" w:type="dxa"/>
            <w:vAlign w:val="bottom"/>
            <w:tcBorders>
              <w:right w:val="single" w:sz="8" w:color="47829E"/>
            </w:tcBorders>
            <w:shd w:val="clear" w:color="auto" w:fill="DAE6EB"/>
          </w:tcPr>
          <w:p>
            <w:pPr>
              <w:spacing w:after="0"/>
              <w:rPr>
                <w:sz w:val="16"/>
                <w:szCs w:val="16"/>
                <w:color w:val="auto"/>
              </w:rPr>
            </w:pP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spacing w:after="0"/>
              <w:rPr>
                <w:sz w:val="16"/>
                <w:szCs w:val="16"/>
                <w:color w:val="auto"/>
              </w:rPr>
            </w:pPr>
          </w:p>
        </w:tc>
        <w:tc>
          <w:tcPr>
            <w:tcW w:w="14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40%</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color w:val="auto"/>
              </w:rPr>
              <w:t>6</w:t>
            </w:r>
          </w:p>
        </w:tc>
        <w:tc>
          <w:tcPr>
            <w:tcW w:w="360" w:type="dxa"/>
            <w:vAlign w:val="bottom"/>
            <w:shd w:val="clear" w:color="auto" w:fill="DAE6EB"/>
          </w:tcPr>
          <w:p>
            <w:pPr>
              <w:spacing w:after="0"/>
              <w:rPr>
                <w:sz w:val="16"/>
                <w:szCs w:val="16"/>
                <w:color w:val="auto"/>
              </w:rPr>
            </w:pPr>
          </w:p>
        </w:tc>
        <w:tc>
          <w:tcPr>
            <w:tcW w:w="1040" w:type="dxa"/>
            <w:vAlign w:val="bottom"/>
            <w:tcBorders>
              <w:right w:val="single" w:sz="8" w:color="47829E"/>
            </w:tcBorders>
            <w:shd w:val="clear" w:color="auto" w:fill="DAE6EB"/>
          </w:tcPr>
          <w:p>
            <w:pPr>
              <w:jc w:val="right"/>
              <w:ind w:right="319"/>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47829E"/>
            </w:tcBorders>
            <w:shd w:val="clear" w:color="auto" w:fill="DAE6EB"/>
          </w:tcPr>
          <w:p>
            <w:pPr>
              <w:spacing w:after="0"/>
              <w:rPr>
                <w:sz w:val="16"/>
                <w:szCs w:val="16"/>
                <w:color w:val="auto"/>
              </w:rPr>
            </w:pPr>
          </w:p>
        </w:tc>
        <w:tc>
          <w:tcPr>
            <w:tcW w:w="1260" w:type="dxa"/>
            <w:vAlign w:val="bottom"/>
            <w:tcBorders>
              <w:right w:val="single" w:sz="8" w:color="47829E"/>
            </w:tcBorders>
            <w:shd w:val="clear" w:color="auto" w:fill="DAE6EB"/>
          </w:tcPr>
          <w:p>
            <w:pPr>
              <w:spacing w:after="0"/>
              <w:rPr>
                <w:sz w:val="16"/>
                <w:szCs w:val="16"/>
                <w:color w:val="auto"/>
              </w:rPr>
            </w:pP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spacing w:after="0"/>
              <w:rPr>
                <w:sz w:val="16"/>
                <w:szCs w:val="16"/>
                <w:color w:val="auto"/>
              </w:rPr>
            </w:pPr>
          </w:p>
        </w:tc>
        <w:tc>
          <w:tcPr>
            <w:tcW w:w="14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47829E"/>
            </w:tcBorders>
            <w:gridSpan w:val="2"/>
            <w:shd w:val="clear" w:color="auto" w:fill="DAE6EB"/>
          </w:tcPr>
          <w:p>
            <w:pPr>
              <w:ind w:left="160"/>
              <w:spacing w:after="0"/>
              <w:rPr>
                <w:sz w:val="20"/>
                <w:szCs w:val="20"/>
                <w:color w:val="auto"/>
              </w:rPr>
            </w:pPr>
            <w:r>
              <w:rPr>
                <w:rFonts w:ascii="Arial" w:cs="Arial" w:eastAsia="Arial" w:hAnsi="Arial"/>
                <w:sz w:val="16"/>
                <w:szCs w:val="16"/>
                <w:color w:val="auto"/>
              </w:rPr>
              <w:t>Award Achievement Per Measure</w:t>
            </w:r>
          </w:p>
        </w:tc>
        <w:tc>
          <w:tcPr>
            <w:tcW w:w="1040" w:type="dxa"/>
            <w:vAlign w:val="bottom"/>
            <w:tcBorders>
              <w:right w:val="single" w:sz="8" w:color="47829E"/>
            </w:tcBorders>
            <w:shd w:val="clear" w:color="auto" w:fill="DAE6EB"/>
          </w:tcPr>
          <w:p>
            <w:pPr>
              <w:spacing w:after="0"/>
              <w:rPr>
                <w:sz w:val="16"/>
                <w:szCs w:val="16"/>
                <w:color w:val="auto"/>
              </w:rPr>
            </w:pPr>
          </w:p>
        </w:tc>
        <w:tc>
          <w:tcPr>
            <w:tcW w:w="1240" w:type="dxa"/>
            <w:vAlign w:val="bottom"/>
            <w:tcBorders>
              <w:right w:val="single" w:sz="8" w:color="47829E"/>
            </w:tcBorders>
            <w:shd w:val="clear" w:color="auto" w:fill="DAE6EB"/>
          </w:tcPr>
          <w:p>
            <w:pPr>
              <w:jc w:val="center"/>
              <w:ind w:left="199"/>
              <w:spacing w:after="0"/>
              <w:rPr>
                <w:sz w:val="20"/>
                <w:szCs w:val="20"/>
                <w:color w:val="auto"/>
              </w:rPr>
            </w:pPr>
            <w:r>
              <w:rPr>
                <w:rFonts w:ascii="Arial" w:cs="Arial" w:eastAsia="Arial" w:hAnsi="Arial"/>
                <w:sz w:val="16"/>
                <w:szCs w:val="16"/>
                <w:color w:val="auto"/>
                <w:w w:val="99"/>
              </w:rPr>
              <w:t>75%</w:t>
            </w:r>
          </w:p>
        </w:tc>
        <w:tc>
          <w:tcPr>
            <w:tcW w:w="1260" w:type="dxa"/>
            <w:vAlign w:val="bottom"/>
            <w:tcBorders>
              <w:right w:val="single" w:sz="8" w:color="47829E"/>
            </w:tcBorders>
            <w:shd w:val="clear" w:color="auto" w:fill="DAE6EB"/>
          </w:tcPr>
          <w:p>
            <w:pPr>
              <w:jc w:val="center"/>
              <w:ind w:left="219"/>
              <w:spacing w:after="0"/>
              <w:rPr>
                <w:sz w:val="20"/>
                <w:szCs w:val="20"/>
                <w:color w:val="auto"/>
              </w:rPr>
            </w:pPr>
            <w:r>
              <w:rPr>
                <w:rFonts w:ascii="Arial" w:cs="Arial" w:eastAsia="Arial" w:hAnsi="Arial"/>
                <w:sz w:val="16"/>
                <w:szCs w:val="16"/>
                <w:color w:val="auto"/>
                <w:w w:val="99"/>
              </w:rPr>
              <w:t>75%</w:t>
            </w: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jc w:val="center"/>
              <w:ind w:right="39"/>
              <w:spacing w:after="0"/>
              <w:rPr>
                <w:sz w:val="20"/>
                <w:szCs w:val="20"/>
                <w:color w:val="auto"/>
              </w:rPr>
            </w:pPr>
            <w:r>
              <w:rPr>
                <w:rFonts w:ascii="Arial" w:cs="Arial" w:eastAsia="Arial" w:hAnsi="Arial"/>
                <w:sz w:val="16"/>
                <w:szCs w:val="16"/>
                <w:color w:val="auto"/>
                <w:w w:val="99"/>
              </w:rPr>
              <w:t>75%</w:t>
            </w:r>
          </w:p>
        </w:tc>
        <w:tc>
          <w:tcPr>
            <w:tcW w:w="1460" w:type="dxa"/>
            <w:vAlign w:val="bottom"/>
            <w:tcBorders>
              <w:right w:val="single" w:sz="8" w:color="47829E"/>
            </w:tcBorders>
            <w:shd w:val="clear" w:color="auto" w:fill="DAE6EB"/>
          </w:tcPr>
          <w:p>
            <w:pPr>
              <w:jc w:val="right"/>
              <w:ind w:right="3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bottom w:val="single" w:sz="8" w:color="47829E"/>
            </w:tcBorders>
          </w:tcPr>
          <w:p>
            <w:pPr>
              <w:spacing w:after="0"/>
              <w:rPr>
                <w:sz w:val="16"/>
                <w:szCs w:val="16"/>
                <w:color w:val="auto"/>
              </w:rPr>
            </w:pPr>
          </w:p>
        </w:tc>
        <w:tc>
          <w:tcPr>
            <w:tcW w:w="360" w:type="dxa"/>
            <w:vAlign w:val="bottom"/>
            <w:tcBorders>
              <w:bottom w:val="single" w:sz="8" w:color="47829E"/>
            </w:tcBorders>
          </w:tcPr>
          <w:p>
            <w:pPr>
              <w:spacing w:after="0"/>
              <w:rPr>
                <w:sz w:val="16"/>
                <w:szCs w:val="16"/>
                <w:color w:val="auto"/>
              </w:rPr>
            </w:pPr>
          </w:p>
        </w:tc>
        <w:tc>
          <w:tcPr>
            <w:tcW w:w="3960" w:type="dxa"/>
            <w:vAlign w:val="bottom"/>
            <w:tcBorders>
              <w:bottom w:val="single" w:sz="8" w:color="47829E"/>
            </w:tcBorders>
            <w:gridSpan w:val="4"/>
          </w:tcPr>
          <w:p>
            <w:pPr>
              <w:ind w:left="120"/>
              <w:spacing w:after="0"/>
              <w:rPr>
                <w:sz w:val="20"/>
                <w:szCs w:val="20"/>
                <w:color w:val="auto"/>
              </w:rPr>
            </w:pPr>
            <w:r>
              <w:rPr>
                <w:rFonts w:ascii="Arial" w:cs="Arial" w:eastAsia="Arial" w:hAnsi="Arial"/>
                <w:sz w:val="16"/>
                <w:szCs w:val="16"/>
                <w:b w:val="1"/>
                <w:bCs w:val="1"/>
                <w:color w:val="auto"/>
              </w:rPr>
              <w:t>2015 Grant Size (average scores) = 75% of target</w:t>
            </w:r>
          </w:p>
        </w:tc>
        <w:tc>
          <w:tcPr>
            <w:tcW w:w="1280" w:type="dxa"/>
            <w:vAlign w:val="bottom"/>
            <w:tcBorders>
              <w:bottom w:val="single" w:sz="8" w:color="47829E"/>
            </w:tcBorders>
          </w:tcPr>
          <w:p>
            <w:pPr>
              <w:spacing w:after="0"/>
              <w:rPr>
                <w:sz w:val="16"/>
                <w:szCs w:val="16"/>
                <w:color w:val="auto"/>
              </w:rPr>
            </w:pPr>
          </w:p>
        </w:tc>
        <w:tc>
          <w:tcPr>
            <w:tcW w:w="1460" w:type="dxa"/>
            <w:vAlign w:val="bottom"/>
            <w:tcBorders>
              <w:bottom w:val="single" w:sz="8" w:color="47829E"/>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6" w:right="239" w:bottom="1440" w:gutter="0" w:footer="0" w:header="0"/>
          <w:type w:val="continuous"/>
        </w:sectPr>
      </w:pPr>
    </w:p>
    <w:p>
      <w:pPr>
        <w:spacing w:after="0" w:line="9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accordance with this formula, awards were granted in 2015 at 75% of each executive officer’s target. One-third of the dollar value was then converted to stock options and two-thirds of the dollar value was converted to restricted stock units using the closing price on the date of grant. The one-third stock options and two-thirds restricted stock units valuation bases were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stock options granted in 2015 vest ratably over four years and the restricted stock units cliff vest on the third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Martin Marietta.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Share Unit Awards</w:t>
      </w:r>
    </w:p>
    <w:p>
      <w:pPr>
        <w:spacing w:after="0" w:line="228"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Eligibility for 2015 Performance Share Unit (“PSU”) grants is limited to the executive officers, the division presidents and the vice president of operations services. The PSUs have a three-year performance period. The 2015 grant measures performance for 2015 through the end of 2017. The performance measures in 2015 are:</w:t>
      </w:r>
    </w:p>
    <w:p>
      <w:pPr>
        <w:spacing w:after="0" w:line="231" w:lineRule="exact"/>
        <w:rPr>
          <w:sz w:val="20"/>
          <w:szCs w:val="20"/>
          <w:color w:val="auto"/>
        </w:rPr>
      </w:pPr>
    </w:p>
    <w:p>
      <w:pPr>
        <w:ind w:left="740" w:right="140" w:hanging="300"/>
        <w:spacing w:after="0" w:line="243" w:lineRule="auto"/>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45% of the total award is return on sales (ROS), measuring cost management,</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30% of the total award is cumulative earnings before interest, taxes, depreciation and amortization (EBITDA), measuring profitability, and</w:t>
      </w:r>
    </w:p>
    <w:p>
      <w:pPr>
        <w:spacing w:after="0" w:line="107" w:lineRule="exact"/>
        <w:rPr>
          <w:rFonts w:ascii="Arial" w:cs="Arial" w:eastAsia="Arial" w:hAnsi="Arial"/>
          <w:sz w:val="17"/>
          <w:szCs w:val="17"/>
          <w:color w:val="auto"/>
        </w:rPr>
      </w:pPr>
    </w:p>
    <w:p>
      <w:pPr>
        <w:jc w:val="both"/>
        <w:ind w:left="740" w:right="140" w:hanging="300"/>
        <w:spacing w:after="0" w:line="238" w:lineRule="auto"/>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25% of the total award is relative total shareholder return (TSR), measuring Martin Marietta’s performance against a specified group of peers.</w:t>
      </w:r>
    </w:p>
    <w:p>
      <w:pPr>
        <w:spacing w:after="0" w:line="202"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This award sets a target that is 40% of each executive officer’s base salary converted to performance shares based on the closing price on the date of grant. The performance for the 2015 awards will be measured in January 2018 for the three-year period beginning January 2015 through December 2017. The Committee in its discretion may adjust the final award values, either collectively or on an individual basis, in recognition of factors that are unusual or nonrecurring. The PSUs will be paid in shares of common stock in January 2018 to the extent that the performance goals have been met.</w:t>
      </w:r>
    </w:p>
    <w:p>
      <w:pPr>
        <w:spacing w:after="0" w:line="200" w:lineRule="exact"/>
        <w:rPr>
          <w:sz w:val="20"/>
          <w:szCs w:val="20"/>
          <w:color w:val="auto"/>
        </w:rPr>
      </w:pPr>
    </w:p>
    <w:p>
      <w:pPr>
        <w:sectPr>
          <w:pgSz w:w="11900" w:h="16838" w:orient="portrait"/>
          <w:cols w:equalWidth="0" w:num="2">
            <w:col w:w="5480" w:space="340"/>
            <w:col w:w="5600"/>
          </w:cols>
          <w:pgMar w:left="240" w:top="336" w:right="239" w:bottom="1440" w:gutter="0" w:footer="0" w:header="0"/>
          <w:type w:val="continuous"/>
        </w:sectPr>
      </w:pPr>
    </w:p>
    <w:p>
      <w:pPr>
        <w:spacing w:after="0" w:line="52"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43" w:name="page44"/>
    <w:bookmarkEnd w:id="43"/>
    <w:p>
      <w:pPr>
        <w:jc w:val="both"/>
        <w:spacing w:after="0" w:line="235" w:lineRule="auto"/>
        <w:rPr>
          <w:sz w:val="20"/>
          <w:szCs w:val="20"/>
          <w:color w:val="auto"/>
        </w:rPr>
      </w:pPr>
      <w:r>
        <w:rPr>
          <w:rFonts w:ascii="Arial" w:cs="Arial" w:eastAsia="Arial" w:hAnsi="Arial"/>
          <w:sz w:val="17"/>
          <w:szCs w:val="17"/>
          <w:color w:val="auto"/>
        </w:rPr>
        <w:t>The performance targets for ROS and EBITDA were set consistent with our internal long range operating plan and reflect a stretch effort at the target and maximum levels. The performance target for the TSR portion of the PSU Plan is 50</w:t>
      </w:r>
      <w:r>
        <w:rPr>
          <w:rFonts w:ascii="Arial" w:cs="Arial" w:eastAsia="Arial" w:hAnsi="Arial"/>
          <w:sz w:val="14"/>
          <w:szCs w:val="14"/>
          <w:color w:val="auto"/>
        </w:rPr>
        <w:t>th</w:t>
      </w:r>
      <w:r>
        <w:rPr>
          <w:rFonts w:ascii="Arial" w:cs="Arial" w:eastAsia="Arial" w:hAnsi="Arial"/>
          <w:sz w:val="17"/>
          <w:szCs w:val="17"/>
          <w:color w:val="auto"/>
        </w:rPr>
        <w:t xml:space="preserve"> percentile against a group of 23 U.S. companies in similar industries. The threshold and maximum performance requirements are 30</w:t>
      </w:r>
      <w:r>
        <w:rPr>
          <w:rFonts w:ascii="Arial" w:cs="Arial" w:eastAsia="Arial" w:hAnsi="Arial"/>
          <w:sz w:val="14"/>
          <w:szCs w:val="14"/>
          <w:color w:val="auto"/>
        </w:rPr>
        <w:t>th</w:t>
      </w:r>
      <w:r>
        <w:rPr>
          <w:rFonts w:ascii="Arial" w:cs="Arial" w:eastAsia="Arial" w:hAnsi="Arial"/>
          <w:sz w:val="17"/>
          <w:szCs w:val="17"/>
          <w:color w:val="auto"/>
        </w:rPr>
        <w:t xml:space="preserve"> and 75</w:t>
      </w:r>
      <w:r>
        <w:rPr>
          <w:rFonts w:ascii="Arial" w:cs="Arial" w:eastAsia="Arial" w:hAnsi="Arial"/>
          <w:sz w:val="14"/>
          <w:szCs w:val="14"/>
          <w:color w:val="auto"/>
        </w:rPr>
        <w:t>th</w:t>
      </w:r>
      <w:r>
        <w:rPr>
          <w:rFonts w:ascii="Arial" w:cs="Arial" w:eastAsia="Arial" w:hAnsi="Arial"/>
          <w:sz w:val="17"/>
          <w:szCs w:val="17"/>
          <w:color w:val="auto"/>
        </w:rPr>
        <w:t xml:space="preserve"> percentile, respectively.</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total payout opportunity is 50% of target if the threshold level is satisfied, 100% of target if the target level is satisfied, and 200% of target if the maximum level is satisfied. If the threshold is not met, none of the PSUs will vest.</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the measurement period 2015-2017, the Committee utilized a peer group consisting of the following companies with which to compare the element of the PSU Awards requiring achievement of TSR at the end of the three-year period, ending December 31, 2017. These companies were</w:t>
      </w:r>
    </w:p>
    <w:p>
      <w:pPr>
        <w:spacing w:after="0" w:line="20" w:lineRule="exact"/>
        <w:rPr>
          <w:sz w:val="20"/>
          <w:szCs w:val="20"/>
          <w:color w:val="auto"/>
        </w:rPr>
      </w:pPr>
      <w:r>
        <w:rPr>
          <w:sz w:val="20"/>
          <w:szCs w:val="20"/>
          <w:color w:val="auto"/>
        </w:rPr>
        <w:br w:type="column"/>
      </w:r>
    </w:p>
    <w:p>
      <w:pPr>
        <w:jc w:val="both"/>
        <w:ind w:right="140"/>
        <w:spacing w:after="0" w:line="235" w:lineRule="auto"/>
        <w:rPr>
          <w:sz w:val="20"/>
          <w:szCs w:val="20"/>
          <w:color w:val="auto"/>
        </w:rPr>
      </w:pPr>
      <w:r>
        <w:rPr>
          <w:rFonts w:ascii="Arial" w:cs="Arial" w:eastAsia="Arial" w:hAnsi="Arial"/>
          <w:sz w:val="17"/>
          <w:szCs w:val="17"/>
          <w:color w:val="auto"/>
        </w:rPr>
        <w:t>chosen with a focus on companies in similar industries as Martin Marietta and that potentially compete for shareholder investment. A governance feature of the PSU Award is that this portion of the payments is capped at target if the Company’s three-year TSR return is negative, regardless of the TSR 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-731520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4"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The 2015-2017 TSR Peer Group of 23 companies were identified according to the following criteria and consisted of the following:</w:t>
      </w:r>
    </w:p>
    <w:p>
      <w:pPr>
        <w:spacing w:after="0" w:line="104" w:lineRule="exact"/>
        <w:rPr>
          <w:sz w:val="20"/>
          <w:szCs w:val="20"/>
          <w:color w:val="auto"/>
        </w:rPr>
      </w:pPr>
    </w:p>
    <w:p>
      <w:pPr>
        <w:ind w:left="740" w:right="140" w:hanging="300"/>
        <w:spacing w:after="0" w:line="243" w:lineRule="auto"/>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S&amp;P 1500 Materials companies in the Construction Materials, Metals &amp; Mining, and Forest Products industries</w:t>
      </w:r>
    </w:p>
    <w:p>
      <w:pPr>
        <w:spacing w:after="0" w:line="103" w:lineRule="exact"/>
        <w:rPr>
          <w:rFonts w:ascii="Arial" w:cs="Arial" w:eastAsia="Arial" w:hAnsi="Arial"/>
          <w:sz w:val="17"/>
          <w:szCs w:val="17"/>
          <w:color w:val="auto"/>
        </w:rPr>
      </w:pPr>
    </w:p>
    <w:p>
      <w:pPr>
        <w:ind w:left="740" w:right="160" w:hanging="300"/>
        <w:spacing w:after="0" w:line="243" w:lineRule="auto"/>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S&amp;P 1500 Capital Goods companies in the Construction &amp; Engineering industries</w:t>
      </w:r>
    </w:p>
    <w:p>
      <w:pPr>
        <w:spacing w:after="0" w:line="103" w:lineRule="exact"/>
        <w:rPr>
          <w:rFonts w:ascii="Arial" w:cs="Arial" w:eastAsia="Arial" w:hAnsi="Arial"/>
          <w:sz w:val="17"/>
          <w:szCs w:val="17"/>
          <w:color w:val="auto"/>
        </w:rPr>
      </w:pPr>
    </w:p>
    <w:p>
      <w:pPr>
        <w:ind w:left="740" w:right="160" w:hanging="300"/>
        <w:spacing w:after="0" w:line="243" w:lineRule="auto"/>
        <w:tabs>
          <w:tab w:leader="none" w:pos="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Market capitalization and annual revenues of at least 20% of Martin Marietta at December 31, 2014</w:t>
      </w:r>
    </w:p>
    <w:p>
      <w:pPr>
        <w:spacing w:after="0" w:line="423" w:lineRule="exact"/>
        <w:rPr>
          <w:sz w:val="20"/>
          <w:szCs w:val="20"/>
          <w:color w:val="auto"/>
        </w:rPr>
      </w:pPr>
    </w:p>
    <w:p>
      <w:pPr>
        <w:sectPr>
          <w:pgSz w:w="11900" w:h="16838" w:orient="portrait"/>
          <w:cols w:equalWidth="0" w:num="2">
            <w:col w:w="5480" w:space="340"/>
            <w:col w:w="5620"/>
          </w:cols>
          <w:pgMar w:left="240" w:top="336" w:right="219" w:bottom="1440" w:gutter="0" w:footer="0" w:header="0"/>
        </w:sectPr>
      </w:pP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3080" w:type="dxa"/>
            <w:vAlign w:val="bottom"/>
          </w:tcPr>
          <w:p>
            <w:pPr>
              <w:spacing w:after="0"/>
              <w:rPr>
                <w:sz w:val="20"/>
                <w:szCs w:val="20"/>
                <w:color w:val="auto"/>
              </w:rPr>
            </w:pPr>
            <w:r>
              <w:rPr>
                <w:rFonts w:ascii="Arial" w:cs="Arial" w:eastAsia="Arial" w:hAnsi="Arial"/>
                <w:sz w:val="17"/>
                <w:szCs w:val="17"/>
                <w:color w:val="auto"/>
              </w:rPr>
              <w:t>AECOM Technology</w:t>
            </w:r>
          </w:p>
        </w:tc>
        <w:tc>
          <w:tcPr>
            <w:tcW w:w="3100" w:type="dxa"/>
            <w:vAlign w:val="bottom"/>
          </w:tcPr>
          <w:p>
            <w:pPr>
              <w:ind w:left="680"/>
              <w:spacing w:after="0"/>
              <w:rPr>
                <w:sz w:val="20"/>
                <w:szCs w:val="20"/>
                <w:color w:val="auto"/>
              </w:rPr>
            </w:pPr>
            <w:r>
              <w:rPr>
                <w:rFonts w:ascii="Arial" w:cs="Arial" w:eastAsia="Arial" w:hAnsi="Arial"/>
                <w:sz w:val="17"/>
                <w:szCs w:val="17"/>
                <w:color w:val="auto"/>
              </w:rPr>
              <w:t>Emcor Group</w:t>
            </w:r>
          </w:p>
        </w:tc>
        <w:tc>
          <w:tcPr>
            <w:tcW w:w="2940" w:type="dxa"/>
            <w:vAlign w:val="bottom"/>
          </w:tcPr>
          <w:p>
            <w:pPr>
              <w:ind w:left="860"/>
              <w:spacing w:after="0"/>
              <w:rPr>
                <w:sz w:val="20"/>
                <w:szCs w:val="20"/>
                <w:color w:val="auto"/>
              </w:rPr>
            </w:pPr>
            <w:r>
              <w:rPr>
                <w:rFonts w:ascii="Arial" w:cs="Arial" w:eastAsia="Arial" w:hAnsi="Arial"/>
                <w:sz w:val="17"/>
                <w:szCs w:val="17"/>
                <w:color w:val="auto"/>
              </w:rPr>
              <w:t>Nucor Corporation</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Alcoa</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Fluor Corporation</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Quanta Services</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Allegheny Technologies</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Freeport-McMoran</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w w:val="99"/>
              </w:rPr>
              <w:t>Reliance Steel &amp; Aluminum</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Carpenter Technology</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Granite Construction</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Steel Dynamics</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Century Aluminum</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Jacobs Engineering</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Stillwater Mining</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Commercial Metals</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KBR Inc.</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TimkenSteel Corporation</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Compass Minerals International</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Louisiana Pacific</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U.S. Steel</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Eagle Materials</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Newmont Mining</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Vulcan Materials</w:t>
            </w:r>
          </w:p>
        </w:tc>
      </w:tr>
      <w:tr>
        <w:trPr>
          <w:trHeight w:val="205"/>
        </w:trPr>
        <w:tc>
          <w:tcPr>
            <w:tcW w:w="30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40" w:type="dxa"/>
            <w:vAlign w:val="bottom"/>
          </w:tcPr>
          <w:p>
            <w:pPr>
              <w:ind w:left="860"/>
              <w:spacing w:after="0"/>
              <w:rPr>
                <w:sz w:val="20"/>
                <w:szCs w:val="20"/>
                <w:color w:val="auto"/>
              </w:rPr>
            </w:pPr>
            <w:r>
              <w:rPr>
                <w:rFonts w:ascii="Arial" w:cs="Arial" w:eastAsia="Arial" w:hAnsi="Arial"/>
                <w:sz w:val="17"/>
                <w:szCs w:val="17"/>
                <w:color w:val="auto"/>
              </w:rPr>
              <w:t>Worthington Industries</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actual financial performance targets and achievement against those targets will be disclosed at the end of the three-year performance period.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long-term incentives that each of the named executive officers received in 2015.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spacing w:after="0"/>
              <w:rPr>
                <w:sz w:val="16"/>
                <w:szCs w:val="16"/>
                <w:color w:val="auto"/>
              </w:rPr>
            </w:pPr>
          </w:p>
        </w:tc>
        <w:tc>
          <w:tcPr>
            <w:tcW w:w="1800" w:type="dxa"/>
            <w:vAlign w:val="bottom"/>
            <w:tcBorders>
              <w:right w:val="single" w:sz="8" w:color="47829E"/>
            </w:tcBorders>
            <w:shd w:val="clear" w:color="auto" w:fill="47829E"/>
          </w:tcPr>
          <w:p>
            <w:pPr>
              <w:spacing w:after="0"/>
              <w:rPr>
                <w:sz w:val="16"/>
                <w:szCs w:val="16"/>
                <w:color w:val="auto"/>
              </w:rPr>
            </w:pPr>
          </w:p>
        </w:tc>
        <w:tc>
          <w:tcPr>
            <w:tcW w:w="2880" w:type="dxa"/>
            <w:vAlign w:val="bottom"/>
            <w:tcBorders>
              <w:right w:val="single" w:sz="8" w:color="47829E"/>
            </w:tcBorders>
            <w:shd w:val="clear" w:color="auto" w:fill="47829E"/>
          </w:tcPr>
          <w:p>
            <w:pPr>
              <w:jc w:val="center"/>
              <w:ind w:left="515"/>
              <w:spacing w:after="0"/>
              <w:rPr>
                <w:sz w:val="20"/>
                <w:szCs w:val="20"/>
                <w:color w:val="auto"/>
              </w:rPr>
            </w:pPr>
            <w:r>
              <w:rPr>
                <w:rFonts w:ascii="Arial" w:cs="Arial" w:eastAsia="Arial" w:hAnsi="Arial"/>
                <w:sz w:val="17"/>
                <w:szCs w:val="17"/>
                <w:b w:val="1"/>
                <w:bCs w:val="1"/>
                <w:color w:val="FFFFFF"/>
              </w:rPr>
              <w:t>PSUs – Target</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spacing w:after="0"/>
              <w:rPr>
                <w:sz w:val="16"/>
                <w:szCs w:val="16"/>
                <w:color w:val="auto"/>
              </w:rPr>
            </w:pPr>
          </w:p>
        </w:tc>
        <w:tc>
          <w:tcPr>
            <w:tcW w:w="1800" w:type="dxa"/>
            <w:vAlign w:val="bottom"/>
            <w:tcBorders>
              <w:right w:val="single" w:sz="8" w:color="47829E"/>
            </w:tcBorders>
            <w:shd w:val="clear" w:color="auto" w:fill="47829E"/>
          </w:tcPr>
          <w:p>
            <w:pPr>
              <w:spacing w:after="0"/>
              <w:rPr>
                <w:sz w:val="16"/>
                <w:szCs w:val="16"/>
                <w:color w:val="auto"/>
              </w:rPr>
            </w:pPr>
          </w:p>
        </w:tc>
        <w:tc>
          <w:tcPr>
            <w:tcW w:w="288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rPr>
              <w:t>(3 year cliff vesting</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jc w:val="center"/>
              <w:ind w:left="535"/>
              <w:spacing w:after="0" w:line="189" w:lineRule="exact"/>
              <w:rPr>
                <w:sz w:val="20"/>
                <w:szCs w:val="20"/>
                <w:color w:val="auto"/>
              </w:rPr>
            </w:pPr>
            <w:r>
              <w:rPr>
                <w:rFonts w:ascii="Arial" w:cs="Arial" w:eastAsia="Arial" w:hAnsi="Arial"/>
                <w:sz w:val="17"/>
                <w:szCs w:val="17"/>
                <w:b w:val="1"/>
                <w:bCs w:val="1"/>
                <w:color w:val="FFFFFF"/>
              </w:rPr>
              <w:t>LTIP Options</w:t>
            </w:r>
          </w:p>
        </w:tc>
        <w:tc>
          <w:tcPr>
            <w:tcW w:w="1800" w:type="dxa"/>
            <w:vAlign w:val="bottom"/>
            <w:tcBorders>
              <w:right w:val="single" w:sz="8" w:color="47829E"/>
            </w:tcBorders>
            <w:shd w:val="clear" w:color="auto" w:fill="47829E"/>
          </w:tcPr>
          <w:p>
            <w:pPr>
              <w:jc w:val="center"/>
              <w:ind w:left="655"/>
              <w:spacing w:after="0" w:line="189" w:lineRule="exact"/>
              <w:rPr>
                <w:sz w:val="20"/>
                <w:szCs w:val="20"/>
                <w:color w:val="auto"/>
              </w:rPr>
            </w:pPr>
            <w:r>
              <w:rPr>
                <w:rFonts w:ascii="Arial" w:cs="Arial" w:eastAsia="Arial" w:hAnsi="Arial"/>
                <w:sz w:val="17"/>
                <w:szCs w:val="17"/>
                <w:b w:val="1"/>
                <w:bCs w:val="1"/>
                <w:color w:val="FFFFFF"/>
                <w:w w:val="98"/>
              </w:rPr>
              <w:t>LTIP RSUs</w:t>
            </w:r>
          </w:p>
        </w:tc>
        <w:tc>
          <w:tcPr>
            <w:tcW w:w="2880" w:type="dxa"/>
            <w:vAlign w:val="bottom"/>
            <w:tcBorders>
              <w:right w:val="single" w:sz="8" w:color="47829E"/>
            </w:tcBorders>
            <w:shd w:val="clear" w:color="auto" w:fill="47829E"/>
          </w:tcPr>
          <w:p>
            <w:pPr>
              <w:jc w:val="center"/>
              <w:ind w:left="535"/>
              <w:spacing w:after="0" w:line="189" w:lineRule="exact"/>
              <w:rPr>
                <w:sz w:val="20"/>
                <w:szCs w:val="20"/>
                <w:color w:val="auto"/>
              </w:rPr>
            </w:pPr>
            <w:r>
              <w:rPr>
                <w:rFonts w:ascii="Arial" w:cs="Arial" w:eastAsia="Arial" w:hAnsi="Arial"/>
                <w:sz w:val="17"/>
                <w:szCs w:val="17"/>
                <w:b w:val="1"/>
                <w:bCs w:val="1"/>
                <w:color w:val="FFFFFF"/>
              </w:rPr>
              <w:t>subject to achievement</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rPr>
              <w:t>(4-year pro</w:t>
            </w:r>
          </w:p>
        </w:tc>
        <w:tc>
          <w:tcPr>
            <w:tcW w:w="1800" w:type="dxa"/>
            <w:vAlign w:val="bottom"/>
            <w:tcBorders>
              <w:right w:val="single" w:sz="8" w:color="47829E"/>
            </w:tcBorders>
            <w:shd w:val="clear" w:color="auto" w:fill="47829E"/>
          </w:tcPr>
          <w:p>
            <w:pPr>
              <w:jc w:val="center"/>
              <w:ind w:left="675"/>
              <w:spacing w:after="0" w:line="189" w:lineRule="exact"/>
              <w:rPr>
                <w:sz w:val="20"/>
                <w:szCs w:val="20"/>
                <w:color w:val="auto"/>
              </w:rPr>
            </w:pPr>
            <w:r>
              <w:rPr>
                <w:rFonts w:ascii="Arial" w:cs="Arial" w:eastAsia="Arial" w:hAnsi="Arial"/>
                <w:sz w:val="17"/>
                <w:szCs w:val="17"/>
                <w:b w:val="1"/>
                <w:bCs w:val="1"/>
                <w:color w:val="FFFFFF"/>
              </w:rPr>
              <w:t>(3-year</w:t>
            </w:r>
          </w:p>
        </w:tc>
        <w:tc>
          <w:tcPr>
            <w:tcW w:w="288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rPr>
              <w:t>of performance</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jc w:val="center"/>
              <w:ind w:left="535"/>
              <w:spacing w:after="0" w:line="189" w:lineRule="exact"/>
              <w:rPr>
                <w:sz w:val="20"/>
                <w:szCs w:val="20"/>
                <w:color w:val="auto"/>
              </w:rPr>
            </w:pPr>
            <w:r>
              <w:rPr>
                <w:rFonts w:ascii="Arial" w:cs="Arial" w:eastAsia="Arial" w:hAnsi="Arial"/>
                <w:sz w:val="17"/>
                <w:szCs w:val="17"/>
                <w:b w:val="1"/>
                <w:bCs w:val="1"/>
                <w:color w:val="FFFFFF"/>
              </w:rPr>
              <w:t>rata vesting)</w:t>
            </w:r>
          </w:p>
        </w:tc>
        <w:tc>
          <w:tcPr>
            <w:tcW w:w="1800" w:type="dxa"/>
            <w:vAlign w:val="bottom"/>
            <w:tcBorders>
              <w:right w:val="single" w:sz="8" w:color="47829E"/>
            </w:tcBorders>
            <w:shd w:val="clear" w:color="auto" w:fill="47829E"/>
          </w:tcPr>
          <w:p>
            <w:pPr>
              <w:jc w:val="center"/>
              <w:ind w:left="655"/>
              <w:spacing w:after="0" w:line="189" w:lineRule="exact"/>
              <w:rPr>
                <w:sz w:val="20"/>
                <w:szCs w:val="20"/>
                <w:color w:val="auto"/>
              </w:rPr>
            </w:pPr>
            <w:r>
              <w:rPr>
                <w:rFonts w:ascii="Arial" w:cs="Arial" w:eastAsia="Arial" w:hAnsi="Arial"/>
                <w:sz w:val="17"/>
                <w:szCs w:val="17"/>
                <w:b w:val="1"/>
                <w:bCs w:val="1"/>
                <w:color w:val="FFFFFF"/>
              </w:rPr>
              <w:t>cliff vesting)</w:t>
            </w:r>
          </w:p>
        </w:tc>
        <w:tc>
          <w:tcPr>
            <w:tcW w:w="288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w w:val="98"/>
              </w:rPr>
              <w:t>measures)</w:t>
            </w:r>
          </w:p>
        </w:tc>
      </w:tr>
      <w:tr>
        <w:trPr>
          <w:trHeight w:val="229"/>
        </w:trPr>
        <w:tc>
          <w:tcPr>
            <w:tcW w:w="50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1720" w:type="dxa"/>
            <w:vAlign w:val="bottom"/>
            <w:tcBorders>
              <w:right w:val="single" w:sz="8" w:color="47829E"/>
            </w:tcBorders>
            <w:shd w:val="clear" w:color="auto" w:fill="47829E"/>
          </w:tcPr>
          <w:p>
            <w:pPr>
              <w:jc w:val="center"/>
              <w:ind w:left="535"/>
              <w:spacing w:after="0"/>
              <w:rPr>
                <w:sz w:val="20"/>
                <w:szCs w:val="20"/>
                <w:color w:val="auto"/>
              </w:rPr>
            </w:pPr>
            <w:r>
              <w:rPr>
                <w:rFonts w:ascii="Arial" w:cs="Arial" w:eastAsia="Arial" w:hAnsi="Arial"/>
                <w:sz w:val="17"/>
                <w:szCs w:val="17"/>
                <w:b w:val="1"/>
                <w:bCs w:val="1"/>
                <w:color w:val="FFFFFF"/>
              </w:rPr>
              <w:t>(# of shares)</w:t>
            </w:r>
          </w:p>
        </w:tc>
        <w:tc>
          <w:tcPr>
            <w:tcW w:w="1800" w:type="dxa"/>
            <w:vAlign w:val="bottom"/>
            <w:tcBorders>
              <w:right w:val="single" w:sz="8" w:color="47829E"/>
            </w:tcBorders>
            <w:shd w:val="clear" w:color="auto" w:fill="47829E"/>
          </w:tcPr>
          <w:p>
            <w:pPr>
              <w:jc w:val="center"/>
              <w:ind w:left="655"/>
              <w:spacing w:after="0"/>
              <w:rPr>
                <w:sz w:val="20"/>
                <w:szCs w:val="20"/>
                <w:color w:val="auto"/>
              </w:rPr>
            </w:pPr>
            <w:r>
              <w:rPr>
                <w:rFonts w:ascii="Arial" w:cs="Arial" w:eastAsia="Arial" w:hAnsi="Arial"/>
                <w:sz w:val="17"/>
                <w:szCs w:val="17"/>
                <w:b w:val="1"/>
                <w:bCs w:val="1"/>
                <w:color w:val="FFFFFF"/>
              </w:rPr>
              <w:t>(# of shares)</w:t>
            </w:r>
          </w:p>
        </w:tc>
        <w:tc>
          <w:tcPr>
            <w:tcW w:w="2880" w:type="dxa"/>
            <w:vAlign w:val="bottom"/>
            <w:tcBorders>
              <w:right w:val="single" w:sz="8" w:color="47829E"/>
            </w:tcBorders>
            <w:shd w:val="clear" w:color="auto" w:fill="47829E"/>
          </w:tcPr>
          <w:p>
            <w:pPr>
              <w:jc w:val="center"/>
              <w:ind w:left="515"/>
              <w:spacing w:after="0"/>
              <w:rPr>
                <w:sz w:val="20"/>
                <w:szCs w:val="20"/>
                <w:color w:val="auto"/>
              </w:rPr>
            </w:pPr>
            <w:r>
              <w:rPr>
                <w:rFonts w:ascii="Arial" w:cs="Arial" w:eastAsia="Arial" w:hAnsi="Arial"/>
                <w:sz w:val="17"/>
                <w:szCs w:val="17"/>
                <w:b w:val="1"/>
                <w:bCs w:val="1"/>
                <w:color w:val="FFFFFF"/>
                <w:w w:val="98"/>
              </w:rPr>
              <w:t>(# of shares)</w:t>
            </w:r>
          </w:p>
        </w:tc>
      </w:tr>
      <w:tr>
        <w:trPr>
          <w:trHeight w:val="189"/>
        </w:trPr>
        <w:tc>
          <w:tcPr>
            <w:tcW w:w="50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C. Howard Nye</w:t>
            </w:r>
          </w:p>
        </w:tc>
        <w:tc>
          <w:tcPr>
            <w:tcW w:w="1720" w:type="dxa"/>
            <w:vAlign w:val="bottom"/>
            <w:tcBorders>
              <w:right w:val="single" w:sz="8" w:color="47829E"/>
            </w:tcBorders>
          </w:tcPr>
          <w:p>
            <w:pPr>
              <w:jc w:val="right"/>
              <w:ind w:right="215"/>
              <w:spacing w:after="0" w:line="189" w:lineRule="exact"/>
              <w:rPr>
                <w:sz w:val="20"/>
                <w:szCs w:val="20"/>
                <w:color w:val="auto"/>
              </w:rPr>
            </w:pPr>
            <w:r>
              <w:rPr>
                <w:rFonts w:ascii="Arial" w:cs="Arial" w:eastAsia="Arial" w:hAnsi="Arial"/>
                <w:sz w:val="17"/>
                <w:szCs w:val="17"/>
                <w:color w:val="auto"/>
              </w:rPr>
              <w:t>12,680</w:t>
            </w:r>
          </w:p>
        </w:tc>
        <w:tc>
          <w:tcPr>
            <w:tcW w:w="1800" w:type="dxa"/>
            <w:vAlign w:val="bottom"/>
            <w:tcBorders>
              <w:right w:val="single" w:sz="8" w:color="47829E"/>
            </w:tcBorders>
          </w:tcPr>
          <w:p>
            <w:pPr>
              <w:jc w:val="right"/>
              <w:ind w:right="235"/>
              <w:spacing w:after="0" w:line="189" w:lineRule="exact"/>
              <w:rPr>
                <w:sz w:val="20"/>
                <w:szCs w:val="20"/>
                <w:color w:val="auto"/>
              </w:rPr>
            </w:pPr>
            <w:r>
              <w:rPr>
                <w:rFonts w:ascii="Arial" w:cs="Arial" w:eastAsia="Arial" w:hAnsi="Arial"/>
                <w:sz w:val="17"/>
                <w:szCs w:val="17"/>
                <w:color w:val="auto"/>
              </w:rPr>
              <w:t>6,340</w:t>
            </w:r>
          </w:p>
        </w:tc>
        <w:tc>
          <w:tcPr>
            <w:tcW w:w="2880" w:type="dxa"/>
            <w:vAlign w:val="bottom"/>
            <w:tcBorders>
              <w:right w:val="single" w:sz="8" w:color="47829E"/>
            </w:tcBorders>
          </w:tcPr>
          <w:p>
            <w:pPr>
              <w:jc w:val="right"/>
              <w:ind w:right="775"/>
              <w:spacing w:after="0" w:line="189" w:lineRule="exact"/>
              <w:rPr>
                <w:sz w:val="20"/>
                <w:szCs w:val="20"/>
                <w:color w:val="auto"/>
              </w:rPr>
            </w:pPr>
            <w:r>
              <w:rPr>
                <w:rFonts w:ascii="Arial" w:cs="Arial" w:eastAsia="Arial" w:hAnsi="Arial"/>
                <w:sz w:val="17"/>
                <w:szCs w:val="17"/>
                <w:color w:val="auto"/>
              </w:rPr>
              <w:t>3,612</w:t>
            </w:r>
          </w:p>
        </w:tc>
      </w:tr>
      <w:tr>
        <w:trPr>
          <w:trHeight w:val="189"/>
        </w:trPr>
        <w:tc>
          <w:tcPr>
            <w:tcW w:w="50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Anne H. Lloyd</w:t>
            </w:r>
          </w:p>
        </w:tc>
        <w:tc>
          <w:tcPr>
            <w:tcW w:w="1720" w:type="dxa"/>
            <w:vAlign w:val="bottom"/>
            <w:tcBorders>
              <w:right w:val="single" w:sz="8" w:color="47829E"/>
            </w:tcBorders>
            <w:shd w:val="clear" w:color="auto" w:fill="DAE6EB"/>
          </w:tcPr>
          <w:p>
            <w:pPr>
              <w:jc w:val="right"/>
              <w:ind w:right="215"/>
              <w:spacing w:after="0" w:line="189" w:lineRule="exact"/>
              <w:rPr>
                <w:sz w:val="20"/>
                <w:szCs w:val="20"/>
                <w:color w:val="auto"/>
              </w:rPr>
            </w:pPr>
            <w:r>
              <w:rPr>
                <w:rFonts w:ascii="Arial" w:cs="Arial" w:eastAsia="Arial" w:hAnsi="Arial"/>
                <w:sz w:val="17"/>
                <w:szCs w:val="17"/>
                <w:color w:val="auto"/>
              </w:rPr>
              <w:t>4,049</w:t>
            </w:r>
          </w:p>
        </w:tc>
        <w:tc>
          <w:tcPr>
            <w:tcW w:w="1800" w:type="dxa"/>
            <w:vAlign w:val="bottom"/>
            <w:tcBorders>
              <w:right w:val="single" w:sz="8" w:color="47829E"/>
            </w:tcBorders>
            <w:shd w:val="clear" w:color="auto" w:fill="DAE6EB"/>
          </w:tcPr>
          <w:p>
            <w:pPr>
              <w:jc w:val="right"/>
              <w:ind w:right="235"/>
              <w:spacing w:after="0" w:line="189" w:lineRule="exact"/>
              <w:rPr>
                <w:sz w:val="20"/>
                <w:szCs w:val="20"/>
                <w:color w:val="auto"/>
              </w:rPr>
            </w:pPr>
            <w:r>
              <w:rPr>
                <w:rFonts w:ascii="Arial" w:cs="Arial" w:eastAsia="Arial" w:hAnsi="Arial"/>
                <w:sz w:val="17"/>
                <w:szCs w:val="17"/>
                <w:color w:val="auto"/>
              </w:rPr>
              <w:t>2,025</w:t>
            </w:r>
          </w:p>
        </w:tc>
        <w:tc>
          <w:tcPr>
            <w:tcW w:w="2880" w:type="dxa"/>
            <w:vAlign w:val="bottom"/>
            <w:tcBorders>
              <w:right w:val="single" w:sz="8" w:color="47829E"/>
            </w:tcBorders>
            <w:shd w:val="clear" w:color="auto" w:fill="DAE6EB"/>
          </w:tcPr>
          <w:p>
            <w:pPr>
              <w:jc w:val="right"/>
              <w:ind w:right="775"/>
              <w:spacing w:after="0" w:line="189" w:lineRule="exact"/>
              <w:rPr>
                <w:sz w:val="20"/>
                <w:szCs w:val="20"/>
                <w:color w:val="auto"/>
              </w:rPr>
            </w:pPr>
            <w:r>
              <w:rPr>
                <w:rFonts w:ascii="Arial" w:cs="Arial" w:eastAsia="Arial" w:hAnsi="Arial"/>
                <w:sz w:val="17"/>
                <w:szCs w:val="17"/>
                <w:color w:val="auto"/>
              </w:rPr>
              <w:t>1,941</w:t>
            </w:r>
          </w:p>
        </w:tc>
      </w:tr>
      <w:tr>
        <w:trPr>
          <w:trHeight w:val="189"/>
        </w:trPr>
        <w:tc>
          <w:tcPr>
            <w:tcW w:w="50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Roselyn R. Bar</w:t>
            </w:r>
          </w:p>
        </w:tc>
        <w:tc>
          <w:tcPr>
            <w:tcW w:w="1720" w:type="dxa"/>
            <w:vAlign w:val="bottom"/>
            <w:tcBorders>
              <w:right w:val="single" w:sz="8" w:color="47829E"/>
            </w:tcBorders>
          </w:tcPr>
          <w:p>
            <w:pPr>
              <w:jc w:val="right"/>
              <w:ind w:right="215"/>
              <w:spacing w:after="0" w:line="189" w:lineRule="exact"/>
              <w:rPr>
                <w:sz w:val="20"/>
                <w:szCs w:val="20"/>
                <w:color w:val="auto"/>
              </w:rPr>
            </w:pPr>
            <w:r>
              <w:rPr>
                <w:rFonts w:ascii="Arial" w:cs="Arial" w:eastAsia="Arial" w:hAnsi="Arial"/>
                <w:sz w:val="17"/>
                <w:szCs w:val="17"/>
                <w:color w:val="auto"/>
              </w:rPr>
              <w:t>3,305</w:t>
            </w:r>
          </w:p>
        </w:tc>
        <w:tc>
          <w:tcPr>
            <w:tcW w:w="1800" w:type="dxa"/>
            <w:vAlign w:val="bottom"/>
            <w:tcBorders>
              <w:right w:val="single" w:sz="8" w:color="47829E"/>
            </w:tcBorders>
          </w:tcPr>
          <w:p>
            <w:pPr>
              <w:jc w:val="right"/>
              <w:ind w:right="235"/>
              <w:spacing w:after="0" w:line="189" w:lineRule="exact"/>
              <w:rPr>
                <w:sz w:val="20"/>
                <w:szCs w:val="20"/>
                <w:color w:val="auto"/>
              </w:rPr>
            </w:pPr>
            <w:r>
              <w:rPr>
                <w:rFonts w:ascii="Arial" w:cs="Arial" w:eastAsia="Arial" w:hAnsi="Arial"/>
                <w:sz w:val="17"/>
                <w:szCs w:val="17"/>
                <w:color w:val="auto"/>
              </w:rPr>
              <w:t>1,653</w:t>
            </w:r>
          </w:p>
        </w:tc>
        <w:tc>
          <w:tcPr>
            <w:tcW w:w="2880" w:type="dxa"/>
            <w:vAlign w:val="bottom"/>
            <w:tcBorders>
              <w:right w:val="single" w:sz="8" w:color="47829E"/>
            </w:tcBorders>
          </w:tcPr>
          <w:p>
            <w:pPr>
              <w:jc w:val="right"/>
              <w:ind w:right="775"/>
              <w:spacing w:after="0" w:line="189" w:lineRule="exact"/>
              <w:rPr>
                <w:sz w:val="20"/>
                <w:szCs w:val="20"/>
                <w:color w:val="auto"/>
              </w:rPr>
            </w:pPr>
            <w:r>
              <w:rPr>
                <w:rFonts w:ascii="Arial" w:cs="Arial" w:eastAsia="Arial" w:hAnsi="Arial"/>
                <w:sz w:val="17"/>
                <w:szCs w:val="17"/>
                <w:color w:val="auto"/>
              </w:rPr>
              <w:t>1,620</w:t>
            </w:r>
          </w:p>
        </w:tc>
      </w:tr>
      <w:tr>
        <w:trPr>
          <w:trHeight w:val="189"/>
        </w:trPr>
        <w:tc>
          <w:tcPr>
            <w:tcW w:w="50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Donald A. McCunniff</w:t>
            </w:r>
          </w:p>
        </w:tc>
        <w:tc>
          <w:tcPr>
            <w:tcW w:w="1720" w:type="dxa"/>
            <w:vAlign w:val="bottom"/>
            <w:tcBorders>
              <w:right w:val="single" w:sz="8" w:color="47829E"/>
            </w:tcBorders>
            <w:shd w:val="clear" w:color="auto" w:fill="DAE6EB"/>
          </w:tcPr>
          <w:p>
            <w:pPr>
              <w:jc w:val="right"/>
              <w:ind w:right="215"/>
              <w:spacing w:after="0" w:line="189" w:lineRule="exact"/>
              <w:rPr>
                <w:sz w:val="20"/>
                <w:szCs w:val="20"/>
                <w:color w:val="auto"/>
              </w:rPr>
            </w:pPr>
            <w:r>
              <w:rPr>
                <w:rFonts w:ascii="Arial" w:cs="Arial" w:eastAsia="Arial" w:hAnsi="Arial"/>
                <w:sz w:val="17"/>
                <w:szCs w:val="17"/>
                <w:color w:val="auto"/>
              </w:rPr>
              <w:t>2,663</w:t>
            </w:r>
          </w:p>
        </w:tc>
        <w:tc>
          <w:tcPr>
            <w:tcW w:w="1800" w:type="dxa"/>
            <w:vAlign w:val="bottom"/>
            <w:tcBorders>
              <w:right w:val="single" w:sz="8" w:color="47829E"/>
            </w:tcBorders>
            <w:shd w:val="clear" w:color="auto" w:fill="DAE6EB"/>
          </w:tcPr>
          <w:p>
            <w:pPr>
              <w:jc w:val="right"/>
              <w:ind w:right="235"/>
              <w:spacing w:after="0" w:line="189" w:lineRule="exact"/>
              <w:rPr>
                <w:sz w:val="20"/>
                <w:szCs w:val="20"/>
                <w:color w:val="auto"/>
              </w:rPr>
            </w:pPr>
            <w:r>
              <w:rPr>
                <w:rFonts w:ascii="Arial" w:cs="Arial" w:eastAsia="Arial" w:hAnsi="Arial"/>
                <w:sz w:val="17"/>
                <w:szCs w:val="17"/>
                <w:color w:val="auto"/>
              </w:rPr>
              <w:t>1,332</w:t>
            </w:r>
          </w:p>
        </w:tc>
        <w:tc>
          <w:tcPr>
            <w:tcW w:w="2880" w:type="dxa"/>
            <w:vAlign w:val="bottom"/>
            <w:tcBorders>
              <w:right w:val="single" w:sz="8" w:color="47829E"/>
            </w:tcBorders>
            <w:shd w:val="clear" w:color="auto" w:fill="DAE6EB"/>
          </w:tcPr>
          <w:p>
            <w:pPr>
              <w:jc w:val="right"/>
              <w:ind w:right="775"/>
              <w:spacing w:after="0" w:line="189" w:lineRule="exact"/>
              <w:rPr>
                <w:sz w:val="20"/>
                <w:szCs w:val="20"/>
                <w:color w:val="auto"/>
              </w:rPr>
            </w:pPr>
            <w:r>
              <w:rPr>
                <w:rFonts w:ascii="Arial" w:cs="Arial" w:eastAsia="Arial" w:hAnsi="Arial"/>
                <w:sz w:val="17"/>
                <w:szCs w:val="17"/>
                <w:color w:val="auto"/>
              </w:rPr>
              <w:t>1,328</w:t>
            </w:r>
          </w:p>
        </w:tc>
      </w:tr>
      <w:tr>
        <w:trPr>
          <w:trHeight w:val="189"/>
        </w:trPr>
        <w:tc>
          <w:tcPr>
            <w:tcW w:w="5040" w:type="dxa"/>
            <w:vAlign w:val="bottom"/>
            <w:tcBorders>
              <w:left w:val="single" w:sz="8" w:color="47829E"/>
              <w:bottom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Daniel L. Grant</w:t>
            </w:r>
          </w:p>
        </w:tc>
        <w:tc>
          <w:tcPr>
            <w:tcW w:w="1720" w:type="dxa"/>
            <w:vAlign w:val="bottom"/>
            <w:tcBorders>
              <w:bottom w:val="single" w:sz="8" w:color="47829E"/>
              <w:right w:val="single" w:sz="8" w:color="47829E"/>
            </w:tcBorders>
          </w:tcPr>
          <w:p>
            <w:pPr>
              <w:jc w:val="right"/>
              <w:ind w:right="215"/>
              <w:spacing w:after="0" w:line="189" w:lineRule="exact"/>
              <w:rPr>
                <w:sz w:val="20"/>
                <w:szCs w:val="20"/>
                <w:color w:val="auto"/>
              </w:rPr>
            </w:pPr>
            <w:r>
              <w:rPr>
                <w:rFonts w:ascii="Arial" w:cs="Arial" w:eastAsia="Arial" w:hAnsi="Arial"/>
                <w:sz w:val="17"/>
                <w:szCs w:val="17"/>
                <w:color w:val="auto"/>
              </w:rPr>
              <w:t>1,435</w:t>
            </w:r>
          </w:p>
        </w:tc>
        <w:tc>
          <w:tcPr>
            <w:tcW w:w="1800" w:type="dxa"/>
            <w:vAlign w:val="bottom"/>
            <w:tcBorders>
              <w:bottom w:val="single" w:sz="8" w:color="47829E"/>
              <w:right w:val="single" w:sz="8" w:color="47829E"/>
            </w:tcBorders>
          </w:tcPr>
          <w:p>
            <w:pPr>
              <w:jc w:val="right"/>
              <w:ind w:right="235"/>
              <w:spacing w:after="0" w:line="189" w:lineRule="exact"/>
              <w:rPr>
                <w:sz w:val="20"/>
                <w:szCs w:val="20"/>
                <w:color w:val="auto"/>
              </w:rPr>
            </w:pPr>
            <w:r>
              <w:rPr>
                <w:rFonts w:ascii="Arial" w:cs="Arial" w:eastAsia="Arial" w:hAnsi="Arial"/>
                <w:sz w:val="17"/>
                <w:szCs w:val="17"/>
                <w:color w:val="auto"/>
              </w:rPr>
              <w:t>718</w:t>
            </w:r>
          </w:p>
        </w:tc>
        <w:tc>
          <w:tcPr>
            <w:tcW w:w="2880" w:type="dxa"/>
            <w:vAlign w:val="bottom"/>
            <w:tcBorders>
              <w:bottom w:val="single" w:sz="8" w:color="47829E"/>
              <w:right w:val="single" w:sz="8" w:color="47829E"/>
            </w:tcBorders>
          </w:tcPr>
          <w:p>
            <w:pPr>
              <w:jc w:val="right"/>
              <w:ind w:right="775"/>
              <w:spacing w:after="0" w:line="189" w:lineRule="exact"/>
              <w:rPr>
                <w:sz w:val="20"/>
                <w:szCs w:val="20"/>
                <w:color w:val="auto"/>
              </w:rPr>
            </w:pPr>
            <w:r>
              <w:rPr>
                <w:rFonts w:ascii="Arial" w:cs="Arial" w:eastAsia="Arial" w:hAnsi="Arial"/>
                <w:sz w:val="17"/>
                <w:szCs w:val="17"/>
                <w:color w:val="auto"/>
              </w:rPr>
              <w:t>1,253</w:t>
            </w:r>
          </w:p>
        </w:tc>
      </w:tr>
    </w:tbl>
    <w:p>
      <w:pPr>
        <w:spacing w:after="0" w:line="200" w:lineRule="exact"/>
        <w:rPr>
          <w:sz w:val="20"/>
          <w:szCs w:val="20"/>
          <w:color w:val="auto"/>
        </w:rPr>
      </w:pPr>
    </w:p>
    <w:p>
      <w:pPr>
        <w:sectPr>
          <w:pgSz w:w="11900" w:h="16838" w:orient="portrait"/>
          <w:cols w:equalWidth="0" w:num="1">
            <w:col w:w="11440"/>
          </w:cols>
          <w:pgMar w:left="240" w:top="336" w:right="21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Stock-Based Awards Generally</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stock purchase awards under our Incentive Stock Plan described above are granted at the Committee’s regularly scheduled meetings in January following the availability of financial results for the prior year, and all LTIP awards are granted in May to enable us to consider current proxy information and compensation surveys for comparable companies. The Committee granted the PSU awards at its regularly scheduled first quarter meeting, which was held in January 2015. Newly hired executive officers may, subject to the discretion of the Committee, receive an award of restricted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stock units as of the date of their hire. The per-share exercise price for all stock options is equal to, and the number of restricted stock units is based on, the New York Stock Exchange closing price of Martin Marietta’s common stock on the date of the grant. The Committee’s schedule is determined several months in advance and the proximity of any awards to earnings announcements or other market events is coincidental.</w:t>
      </w:r>
    </w:p>
    <w:p>
      <w:pPr>
        <w:spacing w:after="0" w:line="205"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All of Martin Marietta’s equity-based award plans have been approved by shareholders.</w:t>
      </w:r>
    </w:p>
    <w:p>
      <w:pPr>
        <w:spacing w:after="0" w:line="385" w:lineRule="exact"/>
        <w:rPr>
          <w:sz w:val="20"/>
          <w:szCs w:val="20"/>
          <w:color w:val="auto"/>
        </w:rPr>
      </w:pPr>
    </w:p>
    <w:p>
      <w:pPr>
        <w:sectPr>
          <w:pgSz w:w="11900" w:h="16838" w:orient="portrait"/>
          <w:cols w:equalWidth="0" w:num="2">
            <w:col w:w="5480" w:space="340"/>
            <w:col w:w="5620"/>
          </w:cols>
          <w:pgMar w:left="240" w:top="336" w:right="21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  </w:t>
      </w:r>
      <w:r>
        <w:rPr>
          <w:sz w:val="1"/>
          <w:szCs w:val="1"/>
          <w:color w:val="auto"/>
        </w:rPr>
        <w:drawing>
          <wp:inline distT="0" distB="0" distL="0" distR="0">
            <wp:extent cx="342900" cy="20574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336" w:right="2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i w:val="1"/>
          <w:iCs w:val="1"/>
          <w:u w:val="single" w:color="auto"/>
          <w:color w:val="auto"/>
        </w:rPr>
        <w:t>Stock Ownership Guidelines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Rather than stock ownership guidelines expressed as a multiple of salary, we employ stock ownership guidelines in the form of a required holding period of annual cash bonuses converted to Martin Marietta shares, with vesting generally in three years. There is no additional holding period beyond the vesting date, however a significant portion of the executive compensation program is in the form of equity awards that vest over three, four or five-year periods.</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 restricted stock payment in lieu of risk-free cash payment. In 2015, Mr. Nye deferred the maximum of 50% of his cash bonus in common stock units.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stock ownership levels of our NEOs are consistent with typical tiered stock ownership guidelines employed by major U.S. companies.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Perquisites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Martin Marietta provides named executive officers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2015, we provided personal use of leased automobiles to NEOs. We pay for the insurance, maintenance and fuel for such vehicles, and the value of personal mileage and use is charged to the NEO as imputed income. Martin Marietta also provides to executive officers and other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Retirement and Other Benefits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order to maintain market competitive levels of compensation, we provide retirement and other benefits to the NEOs and other employees, including:</w:t>
      </w:r>
    </w:p>
    <w:p>
      <w:pPr>
        <w:spacing w:after="0" w:line="229" w:lineRule="exact"/>
        <w:rPr>
          <w:sz w:val="20"/>
          <w:szCs w:val="20"/>
          <w:color w:val="auto"/>
        </w:rPr>
      </w:pPr>
    </w:p>
    <w:p>
      <w:pPr>
        <w:ind w:left="740" w:hanging="300"/>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Medical and dental benefits</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Life, accidental death and disability insurance</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Pension and savings plans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benefits under the defined benefit pension plan are more valuable for employees who remain with Martin Marietta for longer periods, thereby furthering our objectives of retaining</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Arial" w:cs="Arial" w:eastAsia="Arial" w:hAnsi="Arial"/>
          <w:sz w:val="17"/>
          <w:szCs w:val="17"/>
          <w:color w:val="auto"/>
        </w:rPr>
        <w:t>individuals with more expertise in relevant areas and who can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2"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Additional information regarding these benefits is under the heading Pension Benefits Table on page 47 and the accompanying narrative.</w:t>
      </w:r>
    </w:p>
    <w:p>
      <w:pPr>
        <w:spacing w:after="0" w:line="178" w:lineRule="exact"/>
        <w:rPr>
          <w:sz w:val="20"/>
          <w:szCs w:val="20"/>
          <w:color w:val="auto"/>
        </w:rPr>
      </w:pPr>
    </w:p>
    <w:p>
      <w:pPr>
        <w:ind w:right="2300"/>
        <w:spacing w:after="0" w:line="268" w:lineRule="auto"/>
        <w:rPr>
          <w:sz w:val="20"/>
          <w:szCs w:val="20"/>
          <w:color w:val="auto"/>
        </w:rPr>
      </w:pPr>
      <w:r>
        <w:rPr>
          <w:rFonts w:ascii="Arial" w:cs="Arial" w:eastAsia="Arial" w:hAnsi="Arial"/>
          <w:sz w:val="17"/>
          <w:szCs w:val="17"/>
          <w:b w:val="1"/>
          <w:bCs w:val="1"/>
          <w:i w:val="1"/>
          <w:iCs w:val="1"/>
          <w:u w:val="single" w:color="auto"/>
          <w:color w:val="auto"/>
        </w:rPr>
        <w:t>Potential Payments Upon Termination or Change of Control</w:t>
      </w:r>
    </w:p>
    <w:p>
      <w:pPr>
        <w:spacing w:after="0" w:line="178"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We do not have written employment agreements with executives. Instead, each of our NEOs has a change-in-control (CIC) severance agreement (an Employment Protection Agreement) that provides for retention and continuity in order to minimize disruptions during a pending or anticipated CIC. The agreements are triggered only by a qualifying termination of employment following a CIC. Martin Marietta’s equity-based award plans and retirement plans also provide for certain post-termination payments and benefits, as well as the acceleration of time periods for purposes of vesting in, or realizing gain from, any outstanding equity award in the event of a CIC.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 Employment Protection Agreement is described on page 49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Tax and Accounting Implications</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In administering the compensation program for NEOs, the Committee considers the applicability of Section 162(m) of the Code, the consequences under financial accounting standards, the tax consequences in our analysis of total compensation and the mix of compensation elements, base, bonus and long-term incentives. For example, we do not issue incentive stock options (ISOs), which would provide potential tax savings to the recipient, because of the negative tax and accounting consequences to the Company. Section 162(m) prohibits public companies from taking a tax deduction for compensation that is paid to any one of certain employees in excess of one million dollars, unless the compensation qualifies as performance-based compensation within the meaning of the Code.</w:t>
      </w:r>
    </w:p>
    <w:p>
      <w:pPr>
        <w:spacing w:after="0" w:line="208"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To preserve the deductibility of compensation, grants of long-term incentives are intended to qualify as “qualified performance-based compensation.” The Committee has the discretion to design and implement compensation elements that may not be deductible under Section 162(m) if the Committee determines that, despite the tax consequences, those elements are in our Company’s best interest to adopt. The Committee believes that the achievement of Martin Marietta’s general compensation policies and objectives that are currently in place best serves shareholder interests.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 Compensation</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 xml:space="preserve">The following tables show annual and long-term compensation, for services in all capacities to Martin Marietta, earned by the Chief Executive Officer, the Chief Financial Officer, and three other executive officers serving as such on December 31, 2015, which we refer to collectively as the “named executive officers” or “NEOs.” These tables and the accompanying narratives should be read in conjunction with the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w:t>
      </w:r>
      <w:r>
        <w:rPr>
          <w:rFonts w:ascii="Arial" w:cs="Arial" w:eastAsia="Arial" w:hAnsi="Arial"/>
          <w:sz w:val="17"/>
          <w:szCs w:val="17"/>
          <w:color w:val="auto"/>
        </w:rPr>
        <w:t>section of this proxy statement, which provides a detailed overview of the methods used by Martin Marietta to compensate its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2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table below summarizes the total compensation paid or earned by each of the named executive officers for the fiscal years set forth below. Martin Marietta has not entered into any employment agreements with any of the named executive officers.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COMPENSATION TABLE</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600" w:type="dxa"/>
            <w:vAlign w:val="bottom"/>
            <w:tcBorders>
              <w:left w:val="single" w:sz="8" w:color="47829E"/>
              <w:right w:val="single" w:sz="8" w:color="47829E"/>
            </w:tcBorders>
            <w:shd w:val="clear" w:color="auto" w:fill="47829E"/>
          </w:tcPr>
          <w:p>
            <w:pPr>
              <w:spacing w:after="0"/>
              <w:rPr>
                <w:sz w:val="13"/>
                <w:szCs w:val="13"/>
                <w:color w:val="auto"/>
              </w:rPr>
            </w:pPr>
          </w:p>
        </w:tc>
        <w:tc>
          <w:tcPr>
            <w:tcW w:w="480" w:type="dxa"/>
            <w:vAlign w:val="bottom"/>
            <w:tcBorders>
              <w:right w:val="single" w:sz="8" w:color="47829E"/>
            </w:tcBorders>
            <w:shd w:val="clear" w:color="auto" w:fill="47829E"/>
          </w:tcPr>
          <w:p>
            <w:pPr>
              <w:spacing w:after="0"/>
              <w:rPr>
                <w:sz w:val="13"/>
                <w:szCs w:val="13"/>
                <w:color w:val="auto"/>
              </w:rPr>
            </w:pPr>
          </w:p>
        </w:tc>
        <w:tc>
          <w:tcPr>
            <w:tcW w:w="740" w:type="dxa"/>
            <w:vAlign w:val="bottom"/>
            <w:tcBorders>
              <w:right w:val="single" w:sz="8" w:color="47829E"/>
            </w:tcBorders>
            <w:shd w:val="clear" w:color="auto" w:fill="47829E"/>
          </w:tcPr>
          <w:p>
            <w:pPr>
              <w:spacing w:after="0"/>
              <w:rPr>
                <w:sz w:val="13"/>
                <w:szCs w:val="13"/>
                <w:color w:val="auto"/>
              </w:rPr>
            </w:pPr>
          </w:p>
        </w:tc>
        <w:tc>
          <w:tcPr>
            <w:tcW w:w="760" w:type="dxa"/>
            <w:vAlign w:val="bottom"/>
            <w:tcBorders>
              <w:right w:val="single" w:sz="8" w:color="47829E"/>
            </w:tcBorders>
            <w:shd w:val="clear" w:color="auto" w:fill="47829E"/>
          </w:tcPr>
          <w:p>
            <w:pPr>
              <w:spacing w:after="0"/>
              <w:rPr>
                <w:sz w:val="13"/>
                <w:szCs w:val="13"/>
                <w:color w:val="auto"/>
              </w:rPr>
            </w:pPr>
          </w:p>
        </w:tc>
        <w:tc>
          <w:tcPr>
            <w:tcW w:w="800" w:type="dxa"/>
            <w:vAlign w:val="bottom"/>
            <w:tcBorders>
              <w:right w:val="single" w:sz="8" w:color="47829E"/>
            </w:tcBorders>
            <w:shd w:val="clear" w:color="auto" w:fill="47829E"/>
          </w:tcPr>
          <w:p>
            <w:pPr>
              <w:spacing w:after="0"/>
              <w:rPr>
                <w:sz w:val="13"/>
                <w:szCs w:val="13"/>
                <w:color w:val="auto"/>
              </w:rPr>
            </w:pPr>
          </w:p>
        </w:tc>
        <w:tc>
          <w:tcPr>
            <w:tcW w:w="820" w:type="dxa"/>
            <w:vAlign w:val="bottom"/>
            <w:tcBorders>
              <w:right w:val="single" w:sz="8" w:color="47829E"/>
            </w:tcBorders>
            <w:shd w:val="clear" w:color="auto" w:fill="47829E"/>
          </w:tcPr>
          <w:p>
            <w:pPr>
              <w:spacing w:after="0"/>
              <w:rPr>
                <w:sz w:val="13"/>
                <w:szCs w:val="13"/>
                <w:color w:val="auto"/>
              </w:rPr>
            </w:pPr>
          </w:p>
        </w:tc>
        <w:tc>
          <w:tcPr>
            <w:tcW w:w="1080" w:type="dxa"/>
            <w:vAlign w:val="bottom"/>
            <w:tcBorders>
              <w:right w:val="single" w:sz="8" w:color="47829E"/>
            </w:tcBorders>
            <w:shd w:val="clear" w:color="auto" w:fill="47829E"/>
          </w:tcPr>
          <w:p>
            <w:pPr>
              <w:spacing w:after="0"/>
              <w:rPr>
                <w:sz w:val="13"/>
                <w:szCs w:val="13"/>
                <w:color w:val="auto"/>
              </w:rPr>
            </w:pP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120" w:type="dxa"/>
            <w:vAlign w:val="bottom"/>
            <w:tcBorders>
              <w:right w:val="single" w:sz="8" w:color="47829E"/>
            </w:tcBorders>
            <w:shd w:val="clear" w:color="auto" w:fill="47829E"/>
          </w:tcPr>
          <w:p>
            <w:pPr>
              <w:spacing w:after="0"/>
              <w:rPr>
                <w:sz w:val="13"/>
                <w:szCs w:val="13"/>
                <w:color w:val="auto"/>
              </w:rPr>
            </w:pPr>
          </w:p>
        </w:tc>
        <w:tc>
          <w:tcPr>
            <w:tcW w:w="940" w:type="dxa"/>
            <w:vAlign w:val="bottom"/>
            <w:tcBorders>
              <w:right w:val="single" w:sz="8" w:color="47829E"/>
            </w:tcBorders>
            <w:shd w:val="clear" w:color="auto" w:fill="47829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and Non-</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Qualified</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Non-Equity</w:t>
            </w: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8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0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Incentive Plan</w:t>
            </w: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4"/>
              </w:rPr>
              <w:t>All Other</w:t>
            </w: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ind w:left="160"/>
              <w:spacing w:after="0" w:line="135" w:lineRule="exact"/>
              <w:rPr>
                <w:sz w:val="20"/>
                <w:szCs w:val="20"/>
                <w:color w:val="auto"/>
              </w:rPr>
            </w:pPr>
            <w:r>
              <w:rPr>
                <w:rFonts w:ascii="Arial" w:cs="Arial" w:eastAsia="Arial" w:hAnsi="Arial"/>
                <w:sz w:val="13"/>
                <w:szCs w:val="13"/>
                <w:b w:val="1"/>
                <w:bCs w:val="1"/>
                <w:color w:val="FFFFFF"/>
              </w:rPr>
              <w:t>Name and</w:t>
            </w: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7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Bonus</w:t>
            </w:r>
          </w:p>
        </w:tc>
        <w:tc>
          <w:tcPr>
            <w:tcW w:w="8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8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0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1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940" w:type="dxa"/>
            <w:vAlign w:val="bottom"/>
            <w:tcBorders>
              <w:right w:val="single" w:sz="8" w:color="47829E"/>
            </w:tcBorders>
            <w:shd w:val="clear" w:color="auto" w:fill="47829E"/>
          </w:tcPr>
          <w:p>
            <w:pPr>
              <w:jc w:val="center"/>
              <w:ind w:right="30"/>
              <w:spacing w:after="0" w:line="135" w:lineRule="exact"/>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171"/>
        </w:trPr>
        <w:tc>
          <w:tcPr>
            <w:tcW w:w="36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3"/>
                <w:szCs w:val="13"/>
                <w:b w:val="1"/>
                <w:bCs w:val="1"/>
                <w:color w:val="FFFFFF"/>
              </w:rPr>
              <w:t>Principal Position</w:t>
            </w:r>
          </w:p>
        </w:tc>
        <w:tc>
          <w:tcPr>
            <w:tcW w:w="4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2"/>
              </w:rPr>
              <w:t>Year</w:t>
            </w:r>
          </w:p>
        </w:tc>
        <w:tc>
          <w:tcPr>
            <w:tcW w:w="7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87"/>
              </w:rPr>
              <w:t>($)</w:t>
            </w:r>
          </w:p>
        </w:tc>
        <w:tc>
          <w:tcPr>
            <w:tcW w:w="7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1</w:t>
            </w:r>
          </w:p>
        </w:tc>
        <w:tc>
          <w:tcPr>
            <w:tcW w:w="8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10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4</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5</w:t>
            </w:r>
          </w:p>
        </w:tc>
        <w:tc>
          <w:tcPr>
            <w:tcW w:w="940" w:type="dxa"/>
            <w:vAlign w:val="bottom"/>
            <w:tcBorders>
              <w:right w:val="single" w:sz="8" w:color="47829E"/>
            </w:tcBorders>
            <w:shd w:val="clear" w:color="auto" w:fill="47829E"/>
          </w:tcPr>
          <w:p>
            <w:pPr>
              <w:jc w:val="center"/>
              <w:ind w:right="3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3"/>
                <w:szCs w:val="13"/>
                <w:b w:val="1"/>
                <w:bCs w:val="1"/>
                <w:color w:val="FFFFFF"/>
              </w:rPr>
              <w:t>(a)</w:t>
            </w:r>
          </w:p>
        </w:tc>
        <w:tc>
          <w:tcPr>
            <w:tcW w:w="4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(b)</w:t>
            </w:r>
          </w:p>
        </w:tc>
        <w:tc>
          <w:tcPr>
            <w:tcW w:w="7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87"/>
              </w:rPr>
              <w:t>(c)</w:t>
            </w:r>
          </w:p>
        </w:tc>
        <w:tc>
          <w:tcPr>
            <w:tcW w:w="7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(d)</w:t>
            </w:r>
          </w:p>
        </w:tc>
        <w:tc>
          <w:tcPr>
            <w:tcW w:w="8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(e)</w:t>
            </w:r>
          </w:p>
        </w:tc>
        <w:tc>
          <w:tcPr>
            <w:tcW w:w="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2"/>
              </w:rPr>
              <w:t>(f)</w:t>
            </w:r>
          </w:p>
        </w:tc>
        <w:tc>
          <w:tcPr>
            <w:tcW w:w="10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(g)</w:t>
            </w: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(h)</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7"/>
              </w:rPr>
              <w:t>(i)</w:t>
            </w:r>
          </w:p>
        </w:tc>
        <w:tc>
          <w:tcPr>
            <w:tcW w:w="940" w:type="dxa"/>
            <w:vAlign w:val="bottom"/>
            <w:tcBorders>
              <w:right w:val="single" w:sz="8" w:color="47829E"/>
            </w:tcBorders>
            <w:shd w:val="clear" w:color="auto" w:fill="47829E"/>
          </w:tcPr>
          <w:p>
            <w:pPr>
              <w:jc w:val="center"/>
              <w:ind w:right="30"/>
              <w:spacing w:after="0"/>
              <w:rPr>
                <w:sz w:val="20"/>
                <w:szCs w:val="20"/>
                <w:color w:val="auto"/>
              </w:rPr>
            </w:pPr>
            <w:r>
              <w:rPr>
                <w:rFonts w:ascii="Arial" w:cs="Arial" w:eastAsia="Arial" w:hAnsi="Arial"/>
                <w:sz w:val="13"/>
                <w:szCs w:val="13"/>
                <w:b w:val="1"/>
                <w:bCs w:val="1"/>
                <w:color w:val="FFFFFF"/>
                <w:w w:val="97"/>
              </w:rPr>
              <w:t>(j)</w:t>
            </w: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b w:val="1"/>
                <w:bCs w:val="1"/>
                <w:color w:val="auto"/>
              </w:rPr>
              <w:t>C. Howard Nye</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977,500</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603,606</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1,697,067</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731,763</w:t>
            </w:r>
          </w:p>
        </w:tc>
        <w:tc>
          <w:tcPr>
            <w:tcW w:w="1080" w:type="dxa"/>
            <w:vAlign w:val="bottom"/>
            <w:tcBorders>
              <w:right w:val="single" w:sz="8" w:color="47829E"/>
            </w:tcBorders>
          </w:tcPr>
          <w:p>
            <w:pPr>
              <w:spacing w:after="0"/>
              <w:rPr>
                <w:sz w:val="22"/>
                <w:szCs w:val="22"/>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496,430</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241,027</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4,747,393</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Chairman, President</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928,755</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715,000</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4,418,415</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589,817</w:t>
            </w:r>
          </w:p>
        </w:tc>
        <w:tc>
          <w:tcPr>
            <w:tcW w:w="1080" w:type="dxa"/>
            <w:vAlign w:val="bottom"/>
            <w:tcBorders>
              <w:right w:val="single" w:sz="8" w:color="47829E"/>
            </w:tcBorders>
          </w:tcPr>
          <w:p>
            <w:pPr>
              <w:spacing w:after="0"/>
              <w:rPr>
                <w:sz w:val="14"/>
                <w:szCs w:val="14"/>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710,125</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241,092</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7,603,204</w:t>
            </w:r>
          </w:p>
        </w:tc>
        <w:tc>
          <w:tcPr>
            <w:tcW w:w="0" w:type="dxa"/>
            <w:vAlign w:val="bottom"/>
          </w:tcPr>
          <w:p>
            <w:pPr>
              <w:spacing w:after="0"/>
              <w:rPr>
                <w:sz w:val="1"/>
                <w:szCs w:val="1"/>
                <w:color w:val="auto"/>
              </w:rPr>
            </w:pPr>
          </w:p>
        </w:tc>
      </w:tr>
      <w:tr>
        <w:trPr>
          <w:trHeight w:val="168"/>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and CEO</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875,000</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455,000</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1,028,441</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528,048</w:t>
            </w:r>
          </w:p>
        </w:tc>
        <w:tc>
          <w:tcPr>
            <w:tcW w:w="1080" w:type="dxa"/>
            <w:vAlign w:val="bottom"/>
            <w:tcBorders>
              <w:right w:val="single" w:sz="8" w:color="47829E"/>
            </w:tcBorders>
          </w:tcPr>
          <w:p>
            <w:pPr>
              <w:spacing w:after="0"/>
              <w:rPr>
                <w:sz w:val="14"/>
                <w:szCs w:val="14"/>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48,860</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166,959</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3,102,308</w:t>
            </w: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b w:val="1"/>
                <w:bCs w:val="1"/>
                <w:color w:val="auto"/>
              </w:rPr>
              <w:t>Anne H. Lloyd</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525,325</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319,398</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603,530</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233,668</w:t>
            </w:r>
          </w:p>
        </w:tc>
        <w:tc>
          <w:tcPr>
            <w:tcW w:w="1080" w:type="dxa"/>
            <w:vAlign w:val="bottom"/>
            <w:tcBorders>
              <w:right w:val="single" w:sz="8" w:color="47829E"/>
            </w:tcBorders>
            <w:shd w:val="clear" w:color="auto" w:fill="DAE6EB"/>
          </w:tcPr>
          <w:p>
            <w:pPr>
              <w:spacing w:after="0"/>
              <w:rPr>
                <w:sz w:val="22"/>
                <w:szCs w:val="22"/>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253,253</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88,118</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2,023,292</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Executive Vice</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510,775</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407,280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2,093,845</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199,906</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604,298</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79,879</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3,895,982</w:t>
            </w:r>
          </w:p>
        </w:tc>
        <w:tc>
          <w:tcPr>
            <w:tcW w:w="0" w:type="dxa"/>
            <w:vAlign w:val="bottom"/>
          </w:tcPr>
          <w:p>
            <w:pPr>
              <w:spacing w:after="0"/>
              <w:rPr>
                <w:sz w:val="1"/>
                <w:szCs w:val="1"/>
                <w:color w:val="auto"/>
              </w:rPr>
            </w:pPr>
          </w:p>
        </w:tc>
      </w:tr>
      <w:tr>
        <w:trPr>
          <w:trHeight w:val="168"/>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President and CFO</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495,400</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261,600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330,913</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178,934</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spacing w:after="0"/>
              <w:rPr>
                <w:sz w:val="14"/>
                <w:szCs w:val="14"/>
                <w:color w:val="auto"/>
              </w:rPr>
            </w:pP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61,901</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1,328,748</w:t>
            </w:r>
          </w:p>
        </w:tc>
        <w:tc>
          <w:tcPr>
            <w:tcW w:w="0" w:type="dxa"/>
            <w:vAlign w:val="bottom"/>
          </w:tcPr>
          <w:p>
            <w:pPr>
              <w:spacing w:after="0"/>
              <w:rPr>
                <w:sz w:val="1"/>
                <w:szCs w:val="1"/>
                <w:color w:val="auto"/>
              </w:rPr>
            </w:pPr>
          </w:p>
        </w:tc>
      </w:tr>
      <w:tr>
        <w:trPr>
          <w:trHeight w:val="243"/>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b w:val="1"/>
                <w:bCs w:val="1"/>
                <w:color w:val="auto"/>
              </w:rPr>
              <w:t>Roselyn R. Bar</w:t>
            </w:r>
            <w:r>
              <w:rPr>
                <w:rFonts w:ascii="Arial" w:cs="Arial" w:eastAsia="Arial" w:hAnsi="Arial"/>
                <w:sz w:val="10"/>
                <w:szCs w:val="10"/>
                <w:b w:val="1"/>
                <w:bCs w:val="1"/>
                <w:color w:val="auto"/>
              </w:rPr>
              <w:t>6</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445,121</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241,033</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491,597</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190,732</w:t>
            </w:r>
          </w:p>
        </w:tc>
        <w:tc>
          <w:tcPr>
            <w:tcW w:w="1080" w:type="dxa"/>
            <w:vAlign w:val="bottom"/>
            <w:tcBorders>
              <w:right w:val="single" w:sz="8" w:color="47829E"/>
            </w:tcBorders>
          </w:tcPr>
          <w:p>
            <w:pPr>
              <w:spacing w:after="0"/>
              <w:rPr>
                <w:sz w:val="21"/>
                <w:szCs w:val="21"/>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276,972</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76,735</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1,722,190</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Executive Vice President,</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425,496</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346,400</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1,734,847</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163,129</w:t>
            </w:r>
          </w:p>
        </w:tc>
        <w:tc>
          <w:tcPr>
            <w:tcW w:w="1080" w:type="dxa"/>
            <w:vAlign w:val="bottom"/>
            <w:tcBorders>
              <w:right w:val="single" w:sz="8" w:color="47829E"/>
            </w:tcBorders>
          </w:tcPr>
          <w:p>
            <w:pPr>
              <w:spacing w:after="0"/>
              <w:rPr>
                <w:sz w:val="14"/>
                <w:szCs w:val="14"/>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591,148</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69,356</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3,330,376</w:t>
            </w:r>
          </w:p>
        </w:tc>
        <w:tc>
          <w:tcPr>
            <w:tcW w:w="0" w:type="dxa"/>
            <w:vAlign w:val="bottom"/>
          </w:tcPr>
          <w:p>
            <w:pPr>
              <w:spacing w:after="0"/>
              <w:rPr>
                <w:sz w:val="1"/>
                <w:szCs w:val="1"/>
                <w:color w:val="auto"/>
              </w:rPr>
            </w:pPr>
          </w:p>
        </w:tc>
      </w:tr>
      <w:tr>
        <w:trPr>
          <w:trHeight w:val="102"/>
        </w:trPr>
        <w:tc>
          <w:tcPr>
            <w:tcW w:w="3600" w:type="dxa"/>
            <w:vAlign w:val="bottom"/>
            <w:tcBorders>
              <w:left w:val="single" w:sz="8" w:color="47829E"/>
              <w:right w:val="single" w:sz="8" w:color="47829E"/>
            </w:tcBorders>
          </w:tcPr>
          <w:p>
            <w:pPr>
              <w:ind w:left="160"/>
              <w:spacing w:after="0" w:line="102" w:lineRule="exact"/>
              <w:rPr>
                <w:sz w:val="20"/>
                <w:szCs w:val="20"/>
                <w:color w:val="auto"/>
              </w:rPr>
            </w:pPr>
            <w:r>
              <w:rPr>
                <w:rFonts w:ascii="Arial" w:cs="Arial" w:eastAsia="Arial" w:hAnsi="Arial"/>
                <w:sz w:val="11"/>
                <w:szCs w:val="11"/>
                <w:color w:val="auto"/>
              </w:rPr>
              <w:t>General Counsel and</w:t>
            </w:r>
          </w:p>
        </w:tc>
        <w:tc>
          <w:tcPr>
            <w:tcW w:w="48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4"/>
                <w:szCs w:val="14"/>
                <w:color w:val="auto"/>
              </w:rPr>
              <w:t>412,255</w:t>
            </w:r>
          </w:p>
        </w:tc>
        <w:tc>
          <w:tcPr>
            <w:tcW w:w="76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4"/>
                <w:szCs w:val="14"/>
                <w:color w:val="auto"/>
              </w:rPr>
              <w:t>189,600</w:t>
            </w:r>
          </w:p>
        </w:tc>
        <w:tc>
          <w:tcPr>
            <w:tcW w:w="8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4"/>
                <w:szCs w:val="14"/>
                <w:color w:val="auto"/>
              </w:rPr>
              <w:t>264,096</w:t>
            </w:r>
          </w:p>
        </w:tc>
        <w:tc>
          <w:tcPr>
            <w:tcW w:w="820" w:type="dxa"/>
            <w:vAlign w:val="bottom"/>
            <w:tcBorders>
              <w:right w:val="single" w:sz="8" w:color="47829E"/>
            </w:tcBorders>
            <w:vMerge w:val="restart"/>
          </w:tcPr>
          <w:p>
            <w:pPr>
              <w:jc w:val="right"/>
              <w:ind w:right="50"/>
              <w:spacing w:after="0"/>
              <w:rPr>
                <w:sz w:val="20"/>
                <w:szCs w:val="20"/>
                <w:color w:val="auto"/>
              </w:rPr>
            </w:pPr>
            <w:r>
              <w:rPr>
                <w:rFonts w:ascii="Arial" w:cs="Arial" w:eastAsia="Arial" w:hAnsi="Arial"/>
                <w:sz w:val="14"/>
                <w:szCs w:val="14"/>
                <w:color w:val="auto"/>
              </w:rPr>
              <w:t>146,066</w:t>
            </w:r>
          </w:p>
        </w:tc>
        <w:tc>
          <w:tcPr>
            <w:tcW w:w="1080" w:type="dxa"/>
            <w:vAlign w:val="bottom"/>
            <w:tcBorders>
              <w:right w:val="single" w:sz="8" w:color="47829E"/>
            </w:tcBorders>
          </w:tcPr>
          <w:p>
            <w:pPr>
              <w:spacing w:after="0"/>
              <w:rPr>
                <w:sz w:val="8"/>
                <w:szCs w:val="8"/>
                <w:color w:val="auto"/>
              </w:rPr>
            </w:pPr>
          </w:p>
        </w:tc>
        <w:tc>
          <w:tcPr>
            <w:tcW w:w="1100" w:type="dxa"/>
            <w:vAlign w:val="bottom"/>
            <w:tcBorders>
              <w:right w:val="single" w:sz="8" w:color="47829E"/>
            </w:tcBorders>
          </w:tcPr>
          <w:p>
            <w:pPr>
              <w:spacing w:after="0"/>
              <w:rPr>
                <w:sz w:val="8"/>
                <w:szCs w:val="8"/>
                <w:color w:val="auto"/>
              </w:rPr>
            </w:pPr>
          </w:p>
        </w:tc>
        <w:tc>
          <w:tcPr>
            <w:tcW w:w="1120" w:type="dxa"/>
            <w:vAlign w:val="bottom"/>
            <w:tcBorders>
              <w:right w:val="single" w:sz="8" w:color="47829E"/>
            </w:tcBorders>
            <w:vMerge w:val="restart"/>
          </w:tcPr>
          <w:p>
            <w:pPr>
              <w:jc w:val="right"/>
              <w:ind w:right="210"/>
              <w:spacing w:after="0"/>
              <w:rPr>
                <w:sz w:val="20"/>
                <w:szCs w:val="20"/>
                <w:color w:val="auto"/>
              </w:rPr>
            </w:pPr>
            <w:r>
              <w:rPr>
                <w:rFonts w:ascii="Arial" w:cs="Arial" w:eastAsia="Arial" w:hAnsi="Arial"/>
                <w:sz w:val="14"/>
                <w:szCs w:val="14"/>
                <w:color w:val="auto"/>
              </w:rPr>
              <w:t>57,408</w:t>
            </w:r>
          </w:p>
        </w:tc>
        <w:tc>
          <w:tcPr>
            <w:tcW w:w="940" w:type="dxa"/>
            <w:vAlign w:val="bottom"/>
            <w:tcBorders>
              <w:right w:val="single" w:sz="8" w:color="47829E"/>
            </w:tcBorders>
            <w:vMerge w:val="restart"/>
          </w:tcPr>
          <w:p>
            <w:pPr>
              <w:jc w:val="right"/>
              <w:ind w:right="70"/>
              <w:spacing w:after="0"/>
              <w:rPr>
                <w:sz w:val="20"/>
                <w:szCs w:val="20"/>
                <w:color w:val="auto"/>
              </w:rPr>
            </w:pPr>
            <w:r>
              <w:rPr>
                <w:rFonts w:ascii="Arial" w:cs="Arial" w:eastAsia="Arial" w:hAnsi="Arial"/>
                <w:sz w:val="14"/>
                <w:szCs w:val="14"/>
                <w:color w:val="auto"/>
              </w:rPr>
              <w:t>1,069,425</w:t>
            </w:r>
          </w:p>
        </w:tc>
        <w:tc>
          <w:tcPr>
            <w:tcW w:w="0" w:type="dxa"/>
            <w:vAlign w:val="bottom"/>
          </w:tcPr>
          <w:p>
            <w:pPr>
              <w:spacing w:after="0"/>
              <w:rPr>
                <w:sz w:val="1"/>
                <w:szCs w:val="1"/>
                <w:color w:val="auto"/>
              </w:rPr>
            </w:pPr>
          </w:p>
        </w:tc>
      </w:tr>
      <w:tr>
        <w:trPr>
          <w:trHeight w:val="102"/>
        </w:trPr>
        <w:tc>
          <w:tcPr>
            <w:tcW w:w="360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3"/>
                <w:szCs w:val="13"/>
                <w:color w:val="auto"/>
              </w:rPr>
              <w:t>Corporate Secretary</w:t>
            </w:r>
          </w:p>
        </w:tc>
        <w:tc>
          <w:tcPr>
            <w:tcW w:w="480" w:type="dxa"/>
            <w:vAlign w:val="bottom"/>
            <w:tcBorders>
              <w:right w:val="single" w:sz="8" w:color="47829E"/>
            </w:tcBorders>
            <w:vMerge w:val="continue"/>
          </w:tcPr>
          <w:p>
            <w:pPr>
              <w:spacing w:after="0"/>
              <w:rPr>
                <w:sz w:val="8"/>
                <w:szCs w:val="8"/>
                <w:color w:val="auto"/>
              </w:rPr>
            </w:pPr>
          </w:p>
        </w:tc>
        <w:tc>
          <w:tcPr>
            <w:tcW w:w="740" w:type="dxa"/>
            <w:vAlign w:val="bottom"/>
            <w:tcBorders>
              <w:right w:val="single" w:sz="8" w:color="47829E"/>
            </w:tcBorders>
            <w:vMerge w:val="continue"/>
          </w:tcPr>
          <w:p>
            <w:pPr>
              <w:spacing w:after="0"/>
              <w:rPr>
                <w:sz w:val="8"/>
                <w:szCs w:val="8"/>
                <w:color w:val="auto"/>
              </w:rPr>
            </w:pPr>
          </w:p>
        </w:tc>
        <w:tc>
          <w:tcPr>
            <w:tcW w:w="760" w:type="dxa"/>
            <w:vAlign w:val="bottom"/>
            <w:tcBorders>
              <w:right w:val="single" w:sz="8" w:color="47829E"/>
            </w:tcBorders>
            <w:vMerge w:val="continue"/>
          </w:tcPr>
          <w:p>
            <w:pPr>
              <w:spacing w:after="0"/>
              <w:rPr>
                <w:sz w:val="8"/>
                <w:szCs w:val="8"/>
                <w:color w:val="auto"/>
              </w:rPr>
            </w:pPr>
          </w:p>
        </w:tc>
        <w:tc>
          <w:tcPr>
            <w:tcW w:w="800" w:type="dxa"/>
            <w:vAlign w:val="bottom"/>
            <w:tcBorders>
              <w:right w:val="single" w:sz="8" w:color="47829E"/>
            </w:tcBorders>
            <w:vMerge w:val="continue"/>
          </w:tcPr>
          <w:p>
            <w:pPr>
              <w:spacing w:after="0"/>
              <w:rPr>
                <w:sz w:val="8"/>
                <w:szCs w:val="8"/>
                <w:color w:val="auto"/>
              </w:rPr>
            </w:pPr>
          </w:p>
        </w:tc>
        <w:tc>
          <w:tcPr>
            <w:tcW w:w="820" w:type="dxa"/>
            <w:vAlign w:val="bottom"/>
            <w:tcBorders>
              <w:right w:val="single" w:sz="8" w:color="47829E"/>
            </w:tcBorders>
            <w:vMerge w:val="continue"/>
          </w:tcPr>
          <w:p>
            <w:pPr>
              <w:spacing w:after="0"/>
              <w:rPr>
                <w:sz w:val="8"/>
                <w:szCs w:val="8"/>
                <w:color w:val="auto"/>
              </w:rPr>
            </w:pPr>
          </w:p>
        </w:tc>
        <w:tc>
          <w:tcPr>
            <w:tcW w:w="1080" w:type="dxa"/>
            <w:vAlign w:val="bottom"/>
            <w:tcBorders>
              <w:right w:val="single" w:sz="8" w:color="47829E"/>
            </w:tcBorders>
          </w:tcPr>
          <w:p>
            <w:pPr>
              <w:spacing w:after="0"/>
              <w:rPr>
                <w:sz w:val="8"/>
                <w:szCs w:val="8"/>
                <w:color w:val="auto"/>
              </w:rPr>
            </w:pPr>
          </w:p>
        </w:tc>
        <w:tc>
          <w:tcPr>
            <w:tcW w:w="1100" w:type="dxa"/>
            <w:vAlign w:val="bottom"/>
            <w:tcBorders>
              <w:right w:val="single" w:sz="8" w:color="47829E"/>
            </w:tcBorders>
          </w:tcPr>
          <w:p>
            <w:pPr>
              <w:spacing w:after="0"/>
              <w:rPr>
                <w:sz w:val="8"/>
                <w:szCs w:val="8"/>
                <w:color w:val="auto"/>
              </w:rPr>
            </w:pPr>
          </w:p>
        </w:tc>
        <w:tc>
          <w:tcPr>
            <w:tcW w:w="1120" w:type="dxa"/>
            <w:vAlign w:val="bottom"/>
            <w:tcBorders>
              <w:right w:val="single" w:sz="8" w:color="47829E"/>
            </w:tcBorders>
            <w:vMerge w:val="continue"/>
          </w:tcPr>
          <w:p>
            <w:pPr>
              <w:spacing w:after="0"/>
              <w:rPr>
                <w:sz w:val="8"/>
                <w:szCs w:val="8"/>
                <w:color w:val="auto"/>
              </w:rPr>
            </w:pPr>
          </w:p>
        </w:tc>
        <w:tc>
          <w:tcPr>
            <w:tcW w:w="940" w:type="dxa"/>
            <w:vAlign w:val="bottom"/>
            <w:tcBorders>
              <w:right w:val="single" w:sz="8" w:color="47829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600" w:type="dxa"/>
            <w:vAlign w:val="bottom"/>
            <w:tcBorders>
              <w:left w:val="single" w:sz="8" w:color="47829E"/>
              <w:right w:val="single" w:sz="8" w:color="47829E"/>
            </w:tcBorders>
            <w:vMerge w:val="continue"/>
          </w:tcPr>
          <w:p>
            <w:pPr>
              <w:spacing w:after="0"/>
              <w:rPr>
                <w:sz w:val="4"/>
                <w:szCs w:val="4"/>
                <w:color w:val="auto"/>
              </w:rPr>
            </w:pPr>
          </w:p>
        </w:tc>
        <w:tc>
          <w:tcPr>
            <w:tcW w:w="480" w:type="dxa"/>
            <w:vAlign w:val="bottom"/>
            <w:tcBorders>
              <w:right w:val="single" w:sz="8" w:color="47829E"/>
            </w:tcBorders>
          </w:tcPr>
          <w:p>
            <w:pPr>
              <w:spacing w:after="0"/>
              <w:rPr>
                <w:sz w:val="4"/>
                <w:szCs w:val="4"/>
                <w:color w:val="auto"/>
              </w:rPr>
            </w:pPr>
          </w:p>
        </w:tc>
        <w:tc>
          <w:tcPr>
            <w:tcW w:w="740" w:type="dxa"/>
            <w:vAlign w:val="bottom"/>
            <w:tcBorders>
              <w:right w:val="single" w:sz="8" w:color="47829E"/>
            </w:tcBorders>
          </w:tcPr>
          <w:p>
            <w:pPr>
              <w:spacing w:after="0"/>
              <w:rPr>
                <w:sz w:val="4"/>
                <w:szCs w:val="4"/>
                <w:color w:val="auto"/>
              </w:rPr>
            </w:pPr>
          </w:p>
        </w:tc>
        <w:tc>
          <w:tcPr>
            <w:tcW w:w="760" w:type="dxa"/>
            <w:vAlign w:val="bottom"/>
            <w:tcBorders>
              <w:right w:val="single" w:sz="8" w:color="47829E"/>
            </w:tcBorders>
          </w:tcPr>
          <w:p>
            <w:pPr>
              <w:spacing w:after="0"/>
              <w:rPr>
                <w:sz w:val="4"/>
                <w:szCs w:val="4"/>
                <w:color w:val="auto"/>
              </w:rPr>
            </w:pPr>
          </w:p>
        </w:tc>
        <w:tc>
          <w:tcPr>
            <w:tcW w:w="800" w:type="dxa"/>
            <w:vAlign w:val="bottom"/>
            <w:tcBorders>
              <w:right w:val="single" w:sz="8" w:color="47829E"/>
            </w:tcBorders>
          </w:tcPr>
          <w:p>
            <w:pPr>
              <w:spacing w:after="0"/>
              <w:rPr>
                <w:sz w:val="4"/>
                <w:szCs w:val="4"/>
                <w:color w:val="auto"/>
              </w:rPr>
            </w:pPr>
          </w:p>
        </w:tc>
        <w:tc>
          <w:tcPr>
            <w:tcW w:w="820" w:type="dxa"/>
            <w:vAlign w:val="bottom"/>
            <w:tcBorders>
              <w:right w:val="single" w:sz="8" w:color="47829E"/>
            </w:tcBorders>
          </w:tcPr>
          <w:p>
            <w:pPr>
              <w:spacing w:after="0"/>
              <w:rPr>
                <w:sz w:val="4"/>
                <w:szCs w:val="4"/>
                <w:color w:val="auto"/>
              </w:rPr>
            </w:pPr>
          </w:p>
        </w:tc>
        <w:tc>
          <w:tcPr>
            <w:tcW w:w="1080" w:type="dxa"/>
            <w:vAlign w:val="bottom"/>
            <w:tcBorders>
              <w:right w:val="single" w:sz="8" w:color="47829E"/>
            </w:tcBorders>
          </w:tcPr>
          <w:p>
            <w:pPr>
              <w:spacing w:after="0"/>
              <w:rPr>
                <w:sz w:val="4"/>
                <w:szCs w:val="4"/>
                <w:color w:val="auto"/>
              </w:rPr>
            </w:pPr>
          </w:p>
        </w:tc>
        <w:tc>
          <w:tcPr>
            <w:tcW w:w="1100" w:type="dxa"/>
            <w:vAlign w:val="bottom"/>
            <w:tcBorders>
              <w:right w:val="single" w:sz="8" w:color="47829E"/>
            </w:tcBorders>
          </w:tcPr>
          <w:p>
            <w:pPr>
              <w:spacing w:after="0"/>
              <w:rPr>
                <w:sz w:val="4"/>
                <w:szCs w:val="4"/>
                <w:color w:val="auto"/>
              </w:rPr>
            </w:pPr>
          </w:p>
        </w:tc>
        <w:tc>
          <w:tcPr>
            <w:tcW w:w="1120" w:type="dxa"/>
            <w:vAlign w:val="bottom"/>
            <w:tcBorders>
              <w:right w:val="single" w:sz="8" w:color="47829E"/>
            </w:tcBorders>
          </w:tcPr>
          <w:p>
            <w:pPr>
              <w:spacing w:after="0"/>
              <w:rPr>
                <w:sz w:val="4"/>
                <w:szCs w:val="4"/>
                <w:color w:val="auto"/>
              </w:rPr>
            </w:pPr>
          </w:p>
        </w:tc>
        <w:tc>
          <w:tcPr>
            <w:tcW w:w="940" w:type="dxa"/>
            <w:vAlign w:val="bottom"/>
            <w:tcBorders>
              <w:right w:val="single" w:sz="8" w:color="47829E"/>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3600" w:type="dxa"/>
            <w:vAlign w:val="bottom"/>
            <w:tcBorders>
              <w:left w:val="single" w:sz="8" w:color="47829E"/>
              <w:right w:val="single" w:sz="8" w:color="47829E"/>
            </w:tcBorders>
          </w:tcPr>
          <w:p>
            <w:pPr>
              <w:spacing w:after="0"/>
              <w:rPr>
                <w:sz w:val="8"/>
                <w:szCs w:val="8"/>
                <w:color w:val="auto"/>
              </w:rPr>
            </w:pPr>
          </w:p>
        </w:tc>
        <w:tc>
          <w:tcPr>
            <w:tcW w:w="480" w:type="dxa"/>
            <w:vAlign w:val="bottom"/>
            <w:tcBorders>
              <w:right w:val="single" w:sz="8" w:color="47829E"/>
            </w:tcBorders>
          </w:tcPr>
          <w:p>
            <w:pPr>
              <w:spacing w:after="0"/>
              <w:rPr>
                <w:sz w:val="8"/>
                <w:szCs w:val="8"/>
                <w:color w:val="auto"/>
              </w:rPr>
            </w:pPr>
          </w:p>
        </w:tc>
        <w:tc>
          <w:tcPr>
            <w:tcW w:w="740" w:type="dxa"/>
            <w:vAlign w:val="bottom"/>
            <w:tcBorders>
              <w:right w:val="single" w:sz="8" w:color="47829E"/>
            </w:tcBorders>
          </w:tcPr>
          <w:p>
            <w:pPr>
              <w:spacing w:after="0"/>
              <w:rPr>
                <w:sz w:val="8"/>
                <w:szCs w:val="8"/>
                <w:color w:val="auto"/>
              </w:rPr>
            </w:pPr>
          </w:p>
        </w:tc>
        <w:tc>
          <w:tcPr>
            <w:tcW w:w="760" w:type="dxa"/>
            <w:vAlign w:val="bottom"/>
            <w:tcBorders>
              <w:right w:val="single" w:sz="8" w:color="47829E"/>
            </w:tcBorders>
          </w:tcPr>
          <w:p>
            <w:pPr>
              <w:spacing w:after="0"/>
              <w:rPr>
                <w:sz w:val="8"/>
                <w:szCs w:val="8"/>
                <w:color w:val="auto"/>
              </w:rPr>
            </w:pPr>
          </w:p>
        </w:tc>
        <w:tc>
          <w:tcPr>
            <w:tcW w:w="800" w:type="dxa"/>
            <w:vAlign w:val="bottom"/>
            <w:tcBorders>
              <w:right w:val="single" w:sz="8" w:color="47829E"/>
            </w:tcBorders>
          </w:tcPr>
          <w:p>
            <w:pPr>
              <w:spacing w:after="0"/>
              <w:rPr>
                <w:sz w:val="8"/>
                <w:szCs w:val="8"/>
                <w:color w:val="auto"/>
              </w:rPr>
            </w:pPr>
          </w:p>
        </w:tc>
        <w:tc>
          <w:tcPr>
            <w:tcW w:w="820" w:type="dxa"/>
            <w:vAlign w:val="bottom"/>
            <w:tcBorders>
              <w:right w:val="single" w:sz="8" w:color="47829E"/>
            </w:tcBorders>
          </w:tcPr>
          <w:p>
            <w:pPr>
              <w:spacing w:after="0"/>
              <w:rPr>
                <w:sz w:val="8"/>
                <w:szCs w:val="8"/>
                <w:color w:val="auto"/>
              </w:rPr>
            </w:pPr>
          </w:p>
        </w:tc>
        <w:tc>
          <w:tcPr>
            <w:tcW w:w="1080" w:type="dxa"/>
            <w:vAlign w:val="bottom"/>
            <w:tcBorders>
              <w:right w:val="single" w:sz="8" w:color="47829E"/>
            </w:tcBorders>
          </w:tcPr>
          <w:p>
            <w:pPr>
              <w:spacing w:after="0"/>
              <w:rPr>
                <w:sz w:val="8"/>
                <w:szCs w:val="8"/>
                <w:color w:val="auto"/>
              </w:rPr>
            </w:pPr>
          </w:p>
        </w:tc>
        <w:tc>
          <w:tcPr>
            <w:tcW w:w="1100" w:type="dxa"/>
            <w:vAlign w:val="bottom"/>
            <w:tcBorders>
              <w:right w:val="single" w:sz="8" w:color="47829E"/>
            </w:tcBorders>
          </w:tcPr>
          <w:p>
            <w:pPr>
              <w:spacing w:after="0"/>
              <w:rPr>
                <w:sz w:val="8"/>
                <w:szCs w:val="8"/>
                <w:color w:val="auto"/>
              </w:rPr>
            </w:pPr>
          </w:p>
        </w:tc>
        <w:tc>
          <w:tcPr>
            <w:tcW w:w="1120" w:type="dxa"/>
            <w:vAlign w:val="bottom"/>
            <w:tcBorders>
              <w:right w:val="single" w:sz="8" w:color="47829E"/>
            </w:tcBorders>
          </w:tcPr>
          <w:p>
            <w:pPr>
              <w:spacing w:after="0"/>
              <w:rPr>
                <w:sz w:val="8"/>
                <w:szCs w:val="8"/>
                <w:color w:val="auto"/>
              </w:rPr>
            </w:pPr>
          </w:p>
        </w:tc>
        <w:tc>
          <w:tcPr>
            <w:tcW w:w="940" w:type="dxa"/>
            <w:vAlign w:val="bottom"/>
            <w:tcBorders>
              <w:right w:val="single" w:sz="8" w:color="47829E"/>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b w:val="1"/>
                <w:bCs w:val="1"/>
                <w:color w:val="auto"/>
              </w:rPr>
              <w:t>Donald A. McCunniff</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359,425</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191,214</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397,832</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153,682</w:t>
            </w:r>
          </w:p>
        </w:tc>
        <w:tc>
          <w:tcPr>
            <w:tcW w:w="1080" w:type="dxa"/>
            <w:vAlign w:val="bottom"/>
            <w:tcBorders>
              <w:right w:val="single" w:sz="8" w:color="47829E"/>
            </w:tcBorders>
            <w:shd w:val="clear" w:color="auto" w:fill="DAE6EB"/>
          </w:tcPr>
          <w:p>
            <w:pPr>
              <w:spacing w:after="0"/>
              <w:rPr>
                <w:sz w:val="22"/>
                <w:szCs w:val="22"/>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116,533</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64,564</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1,283,250</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Senior Vice President,</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349,442</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282,000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1,418,203</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131,432</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141,894</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54,572</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2,377,543</w:t>
            </w:r>
          </w:p>
        </w:tc>
        <w:tc>
          <w:tcPr>
            <w:tcW w:w="0" w:type="dxa"/>
            <w:vAlign w:val="bottom"/>
          </w:tcPr>
          <w:p>
            <w:pPr>
              <w:spacing w:after="0"/>
              <w:rPr>
                <w:sz w:val="1"/>
                <w:szCs w:val="1"/>
                <w:color w:val="auto"/>
              </w:rPr>
            </w:pPr>
          </w:p>
        </w:tc>
      </w:tr>
      <w:tr>
        <w:trPr>
          <w:trHeight w:val="168"/>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Human Resources</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338,900</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156,000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213,591</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117,684</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73,372</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36,622</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936,169</w:t>
            </w: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b w:val="1"/>
                <w:bCs w:val="1"/>
                <w:color w:val="auto"/>
              </w:rPr>
              <w:t>Daniel L. Grant</w:t>
            </w:r>
            <w:r>
              <w:rPr>
                <w:rFonts w:ascii="Arial" w:cs="Arial" w:eastAsia="Arial" w:hAnsi="Arial"/>
                <w:sz w:val="10"/>
                <w:szCs w:val="10"/>
                <w:b w:val="1"/>
                <w:bCs w:val="1"/>
                <w:color w:val="auto"/>
              </w:rPr>
              <w:t>7</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339,083</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180,392</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292,075</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83,853</w:t>
            </w:r>
          </w:p>
        </w:tc>
        <w:tc>
          <w:tcPr>
            <w:tcW w:w="1080" w:type="dxa"/>
            <w:vAlign w:val="bottom"/>
            <w:tcBorders>
              <w:right w:val="single" w:sz="8" w:color="47829E"/>
            </w:tcBorders>
          </w:tcPr>
          <w:p>
            <w:pPr>
              <w:spacing w:after="0"/>
              <w:rPr>
                <w:sz w:val="22"/>
                <w:szCs w:val="22"/>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130,575</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56,853</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1,082,831</w:t>
            </w:r>
          </w:p>
        </w:tc>
        <w:tc>
          <w:tcPr>
            <w:tcW w:w="0" w:type="dxa"/>
            <w:vAlign w:val="bottom"/>
          </w:tcPr>
          <w:p>
            <w:pPr>
              <w:spacing w:after="0"/>
              <w:rPr>
                <w:sz w:val="1"/>
                <w:szCs w:val="1"/>
                <w:color w:val="auto"/>
              </w:rPr>
            </w:pPr>
          </w:p>
        </w:tc>
      </w:tr>
      <w:tr>
        <w:trPr>
          <w:trHeight w:val="141"/>
        </w:trPr>
        <w:tc>
          <w:tcPr>
            <w:tcW w:w="3600" w:type="dxa"/>
            <w:vAlign w:val="bottom"/>
            <w:tcBorders>
              <w:left w:val="single" w:sz="8" w:color="47829E"/>
              <w:right w:val="single" w:sz="8" w:color="47829E"/>
            </w:tcBorders>
          </w:tcPr>
          <w:p>
            <w:pPr>
              <w:ind w:left="160"/>
              <w:spacing w:after="0" w:line="141" w:lineRule="exact"/>
              <w:rPr>
                <w:sz w:val="20"/>
                <w:szCs w:val="20"/>
                <w:color w:val="auto"/>
              </w:rPr>
            </w:pPr>
            <w:r>
              <w:rPr>
                <w:rFonts w:ascii="Arial" w:cs="Arial" w:eastAsia="Arial" w:hAnsi="Arial"/>
                <w:sz w:val="13"/>
                <w:szCs w:val="13"/>
                <w:color w:val="auto"/>
              </w:rPr>
              <w:t>Senior Vice President –</w:t>
            </w:r>
          </w:p>
        </w:tc>
        <w:tc>
          <w:tcPr>
            <w:tcW w:w="480" w:type="dxa"/>
            <w:vAlign w:val="bottom"/>
            <w:tcBorders>
              <w:right w:val="single" w:sz="8" w:color="47829E"/>
            </w:tcBorders>
          </w:tcPr>
          <w:p>
            <w:pPr>
              <w:jc w:val="center"/>
              <w:spacing w:after="0" w:line="141" w:lineRule="exact"/>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tcPr>
          <w:p>
            <w:pPr>
              <w:jc w:val="center"/>
              <w:spacing w:after="0" w:line="141" w:lineRule="exact"/>
              <w:rPr>
                <w:sz w:val="20"/>
                <w:szCs w:val="20"/>
                <w:color w:val="auto"/>
              </w:rPr>
            </w:pPr>
            <w:r>
              <w:rPr>
                <w:rFonts w:ascii="Arial" w:cs="Arial" w:eastAsia="Arial" w:hAnsi="Arial"/>
                <w:sz w:val="14"/>
                <w:szCs w:val="14"/>
                <w:color w:val="auto"/>
              </w:rPr>
              <w:t>328,667</w:t>
            </w:r>
          </w:p>
        </w:tc>
        <w:tc>
          <w:tcPr>
            <w:tcW w:w="760" w:type="dxa"/>
            <w:vAlign w:val="bottom"/>
            <w:tcBorders>
              <w:right w:val="single" w:sz="8" w:color="47829E"/>
            </w:tcBorders>
          </w:tcPr>
          <w:p>
            <w:pPr>
              <w:jc w:val="center"/>
              <w:spacing w:after="0" w:line="141" w:lineRule="exact"/>
              <w:rPr>
                <w:sz w:val="20"/>
                <w:szCs w:val="20"/>
                <w:color w:val="auto"/>
              </w:rPr>
            </w:pPr>
            <w:r>
              <w:rPr>
                <w:rFonts w:ascii="Arial" w:cs="Arial" w:eastAsia="Arial" w:hAnsi="Arial"/>
                <w:sz w:val="14"/>
                <w:szCs w:val="14"/>
                <w:color w:val="auto"/>
              </w:rPr>
              <w:t>234,360</w:t>
            </w:r>
          </w:p>
        </w:tc>
        <w:tc>
          <w:tcPr>
            <w:tcW w:w="800" w:type="dxa"/>
            <w:vAlign w:val="bottom"/>
            <w:tcBorders>
              <w:right w:val="single" w:sz="8" w:color="47829E"/>
            </w:tcBorders>
          </w:tcPr>
          <w:p>
            <w:pPr>
              <w:jc w:val="right"/>
              <w:spacing w:after="0" w:line="141" w:lineRule="exact"/>
              <w:rPr>
                <w:sz w:val="20"/>
                <w:szCs w:val="20"/>
                <w:color w:val="auto"/>
              </w:rPr>
            </w:pPr>
            <w:r>
              <w:rPr>
                <w:rFonts w:ascii="Arial" w:cs="Arial" w:eastAsia="Arial" w:hAnsi="Arial"/>
                <w:sz w:val="14"/>
                <w:szCs w:val="14"/>
                <w:color w:val="auto"/>
              </w:rPr>
              <w:t>1,260,978</w:t>
            </w:r>
          </w:p>
        </w:tc>
        <w:tc>
          <w:tcPr>
            <w:tcW w:w="820" w:type="dxa"/>
            <w:vAlign w:val="bottom"/>
            <w:tcBorders>
              <w:right w:val="single" w:sz="8" w:color="47829E"/>
            </w:tcBorders>
          </w:tcPr>
          <w:p>
            <w:pPr>
              <w:jc w:val="right"/>
              <w:ind w:right="50"/>
              <w:spacing w:after="0" w:line="141" w:lineRule="exact"/>
              <w:rPr>
                <w:sz w:val="20"/>
                <w:szCs w:val="20"/>
                <w:color w:val="auto"/>
              </w:rPr>
            </w:pPr>
            <w:r>
              <w:rPr>
                <w:rFonts w:ascii="Arial" w:cs="Arial" w:eastAsia="Arial" w:hAnsi="Arial"/>
                <w:sz w:val="14"/>
                <w:szCs w:val="14"/>
                <w:color w:val="auto"/>
              </w:rPr>
              <w:t>70,861</w:t>
            </w:r>
          </w:p>
        </w:tc>
        <w:tc>
          <w:tcPr>
            <w:tcW w:w="1080" w:type="dxa"/>
            <w:vAlign w:val="bottom"/>
            <w:tcBorders>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192"/>
              <w:spacing w:after="0" w:line="141" w:lineRule="exact"/>
              <w:rPr>
                <w:sz w:val="20"/>
                <w:szCs w:val="20"/>
                <w:color w:val="auto"/>
              </w:rPr>
            </w:pPr>
            <w:r>
              <w:rPr>
                <w:rFonts w:ascii="Arial" w:cs="Arial" w:eastAsia="Arial" w:hAnsi="Arial"/>
                <w:sz w:val="14"/>
                <w:szCs w:val="14"/>
                <w:color w:val="auto"/>
              </w:rPr>
              <w:t>107,937</w:t>
            </w:r>
          </w:p>
        </w:tc>
        <w:tc>
          <w:tcPr>
            <w:tcW w:w="1120" w:type="dxa"/>
            <w:vAlign w:val="bottom"/>
            <w:tcBorders>
              <w:right w:val="single" w:sz="8" w:color="47829E"/>
            </w:tcBorders>
          </w:tcPr>
          <w:p>
            <w:pPr>
              <w:jc w:val="right"/>
              <w:ind w:right="210"/>
              <w:spacing w:after="0" w:line="141" w:lineRule="exact"/>
              <w:rPr>
                <w:sz w:val="20"/>
                <w:szCs w:val="20"/>
                <w:color w:val="auto"/>
              </w:rPr>
            </w:pPr>
            <w:r>
              <w:rPr>
                <w:rFonts w:ascii="Arial" w:cs="Arial" w:eastAsia="Arial" w:hAnsi="Arial"/>
                <w:sz w:val="14"/>
                <w:szCs w:val="14"/>
                <w:color w:val="auto"/>
              </w:rPr>
              <w:t>42,373</w:t>
            </w:r>
          </w:p>
        </w:tc>
        <w:tc>
          <w:tcPr>
            <w:tcW w:w="940" w:type="dxa"/>
            <w:vAlign w:val="bottom"/>
            <w:tcBorders>
              <w:right w:val="single" w:sz="8" w:color="47829E"/>
            </w:tcBorders>
          </w:tcPr>
          <w:p>
            <w:pPr>
              <w:jc w:val="right"/>
              <w:ind w:right="70"/>
              <w:spacing w:after="0" w:line="141" w:lineRule="exact"/>
              <w:rPr>
                <w:sz w:val="20"/>
                <w:szCs w:val="20"/>
                <w:color w:val="auto"/>
              </w:rPr>
            </w:pPr>
            <w:r>
              <w:rPr>
                <w:rFonts w:ascii="Arial" w:cs="Arial" w:eastAsia="Arial" w:hAnsi="Arial"/>
                <w:sz w:val="14"/>
                <w:szCs w:val="14"/>
                <w:color w:val="auto"/>
              </w:rPr>
              <w:t>2,045,177</w:t>
            </w:r>
          </w:p>
        </w:tc>
        <w:tc>
          <w:tcPr>
            <w:tcW w:w="0" w:type="dxa"/>
            <w:vAlign w:val="bottom"/>
          </w:tcPr>
          <w:p>
            <w:pPr>
              <w:spacing w:after="0"/>
              <w:rPr>
                <w:sz w:val="1"/>
                <w:szCs w:val="1"/>
                <w:color w:val="auto"/>
              </w:rPr>
            </w:pPr>
          </w:p>
        </w:tc>
      </w:tr>
      <w:tr>
        <w:trPr>
          <w:trHeight w:val="152"/>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Strategy &amp; Development</w:t>
            </w:r>
          </w:p>
        </w:tc>
        <w:tc>
          <w:tcPr>
            <w:tcW w:w="480" w:type="dxa"/>
            <w:vAlign w:val="bottom"/>
            <w:tcBorders>
              <w:right w:val="single" w:sz="8" w:color="47829E"/>
            </w:tcBorders>
          </w:tcPr>
          <w:p>
            <w:pPr>
              <w:spacing w:after="0"/>
              <w:rPr>
                <w:sz w:val="13"/>
                <w:szCs w:val="13"/>
                <w:color w:val="auto"/>
              </w:rPr>
            </w:pPr>
          </w:p>
        </w:tc>
        <w:tc>
          <w:tcPr>
            <w:tcW w:w="740" w:type="dxa"/>
            <w:vAlign w:val="bottom"/>
            <w:tcBorders>
              <w:right w:val="single" w:sz="8" w:color="47829E"/>
            </w:tcBorders>
          </w:tcPr>
          <w:p>
            <w:pPr>
              <w:spacing w:after="0"/>
              <w:rPr>
                <w:sz w:val="13"/>
                <w:szCs w:val="13"/>
                <w:color w:val="auto"/>
              </w:rPr>
            </w:pPr>
          </w:p>
        </w:tc>
        <w:tc>
          <w:tcPr>
            <w:tcW w:w="760" w:type="dxa"/>
            <w:vAlign w:val="bottom"/>
            <w:tcBorders>
              <w:right w:val="single" w:sz="8" w:color="47829E"/>
            </w:tcBorders>
          </w:tcPr>
          <w:p>
            <w:pPr>
              <w:spacing w:after="0"/>
              <w:rPr>
                <w:sz w:val="13"/>
                <w:szCs w:val="13"/>
                <w:color w:val="auto"/>
              </w:rPr>
            </w:pPr>
          </w:p>
        </w:tc>
        <w:tc>
          <w:tcPr>
            <w:tcW w:w="800" w:type="dxa"/>
            <w:vAlign w:val="bottom"/>
            <w:tcBorders>
              <w:right w:val="single" w:sz="8" w:color="47829E"/>
            </w:tcBorders>
          </w:tcPr>
          <w:p>
            <w:pPr>
              <w:spacing w:after="0"/>
              <w:rPr>
                <w:sz w:val="13"/>
                <w:szCs w:val="13"/>
                <w:color w:val="auto"/>
              </w:rPr>
            </w:pPr>
          </w:p>
        </w:tc>
        <w:tc>
          <w:tcPr>
            <w:tcW w:w="820" w:type="dxa"/>
            <w:vAlign w:val="bottom"/>
            <w:tcBorders>
              <w:right w:val="single" w:sz="8" w:color="47829E"/>
            </w:tcBorders>
          </w:tcPr>
          <w:p>
            <w:pPr>
              <w:spacing w:after="0"/>
              <w:rPr>
                <w:sz w:val="13"/>
                <w:szCs w:val="13"/>
                <w:color w:val="auto"/>
              </w:rPr>
            </w:pPr>
          </w:p>
        </w:tc>
        <w:tc>
          <w:tcPr>
            <w:tcW w:w="1080" w:type="dxa"/>
            <w:vAlign w:val="bottom"/>
            <w:tcBorders>
              <w:right w:val="single" w:sz="8" w:color="47829E"/>
            </w:tcBorders>
          </w:tcPr>
          <w:p>
            <w:pPr>
              <w:spacing w:after="0"/>
              <w:rPr>
                <w:sz w:val="13"/>
                <w:szCs w:val="13"/>
                <w:color w:val="auto"/>
              </w:rPr>
            </w:pPr>
          </w:p>
        </w:tc>
        <w:tc>
          <w:tcPr>
            <w:tcW w:w="1100" w:type="dxa"/>
            <w:vAlign w:val="bottom"/>
            <w:tcBorders>
              <w:right w:val="single" w:sz="8" w:color="47829E"/>
            </w:tcBorders>
          </w:tcPr>
          <w:p>
            <w:pPr>
              <w:spacing w:after="0"/>
              <w:rPr>
                <w:sz w:val="13"/>
                <w:szCs w:val="13"/>
                <w:color w:val="auto"/>
              </w:rPr>
            </w:pPr>
          </w:p>
        </w:tc>
        <w:tc>
          <w:tcPr>
            <w:tcW w:w="1120" w:type="dxa"/>
            <w:vAlign w:val="bottom"/>
            <w:tcBorders>
              <w:right w:val="single" w:sz="8" w:color="47829E"/>
            </w:tcBorders>
          </w:tcPr>
          <w:p>
            <w:pPr>
              <w:spacing w:after="0"/>
              <w:rPr>
                <w:sz w:val="13"/>
                <w:szCs w:val="13"/>
                <w:color w:val="auto"/>
              </w:rPr>
            </w:pPr>
          </w:p>
        </w:tc>
        <w:tc>
          <w:tcPr>
            <w:tcW w:w="940" w:type="dxa"/>
            <w:vAlign w:val="bottom"/>
            <w:tcBorders>
              <w:right w:val="single" w:sz="8" w:color="47829E"/>
            </w:tcBorders>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3600" w:type="dxa"/>
            <w:vAlign w:val="bottom"/>
            <w:tcBorders>
              <w:left w:val="single" w:sz="8" w:color="47829E"/>
              <w:bottom w:val="single" w:sz="8" w:color="47829E"/>
              <w:right w:val="single" w:sz="8" w:color="47829E"/>
            </w:tcBorders>
          </w:tcPr>
          <w:p>
            <w:pPr>
              <w:spacing w:after="0"/>
              <w:rPr>
                <w:sz w:val="3"/>
                <w:szCs w:val="3"/>
                <w:color w:val="auto"/>
              </w:rPr>
            </w:pPr>
          </w:p>
        </w:tc>
        <w:tc>
          <w:tcPr>
            <w:tcW w:w="480" w:type="dxa"/>
            <w:vAlign w:val="bottom"/>
            <w:tcBorders>
              <w:bottom w:val="single" w:sz="8" w:color="47829E"/>
              <w:right w:val="single" w:sz="8" w:color="47829E"/>
            </w:tcBorders>
          </w:tcPr>
          <w:p>
            <w:pPr>
              <w:spacing w:after="0"/>
              <w:rPr>
                <w:sz w:val="3"/>
                <w:szCs w:val="3"/>
                <w:color w:val="auto"/>
              </w:rPr>
            </w:pPr>
          </w:p>
        </w:tc>
        <w:tc>
          <w:tcPr>
            <w:tcW w:w="740" w:type="dxa"/>
            <w:vAlign w:val="bottom"/>
            <w:tcBorders>
              <w:bottom w:val="single" w:sz="8" w:color="47829E"/>
              <w:right w:val="single" w:sz="8" w:color="47829E"/>
            </w:tcBorders>
          </w:tcPr>
          <w:p>
            <w:pPr>
              <w:spacing w:after="0"/>
              <w:rPr>
                <w:sz w:val="3"/>
                <w:szCs w:val="3"/>
                <w:color w:val="auto"/>
              </w:rPr>
            </w:pPr>
          </w:p>
        </w:tc>
        <w:tc>
          <w:tcPr>
            <w:tcW w:w="760" w:type="dxa"/>
            <w:vAlign w:val="bottom"/>
            <w:tcBorders>
              <w:bottom w:val="single" w:sz="8" w:color="47829E"/>
              <w:right w:val="single" w:sz="8" w:color="47829E"/>
            </w:tcBorders>
          </w:tcPr>
          <w:p>
            <w:pPr>
              <w:spacing w:after="0"/>
              <w:rPr>
                <w:sz w:val="3"/>
                <w:szCs w:val="3"/>
                <w:color w:val="auto"/>
              </w:rPr>
            </w:pPr>
          </w:p>
        </w:tc>
        <w:tc>
          <w:tcPr>
            <w:tcW w:w="800" w:type="dxa"/>
            <w:vAlign w:val="bottom"/>
            <w:tcBorders>
              <w:bottom w:val="single" w:sz="8" w:color="47829E"/>
              <w:right w:val="single" w:sz="8" w:color="47829E"/>
            </w:tcBorders>
          </w:tcPr>
          <w:p>
            <w:pPr>
              <w:spacing w:after="0"/>
              <w:rPr>
                <w:sz w:val="3"/>
                <w:szCs w:val="3"/>
                <w:color w:val="auto"/>
              </w:rPr>
            </w:pPr>
          </w:p>
        </w:tc>
        <w:tc>
          <w:tcPr>
            <w:tcW w:w="820" w:type="dxa"/>
            <w:vAlign w:val="bottom"/>
            <w:tcBorders>
              <w:bottom w:val="single" w:sz="8" w:color="47829E"/>
              <w:right w:val="single" w:sz="8" w:color="47829E"/>
            </w:tcBorders>
          </w:tcPr>
          <w:p>
            <w:pPr>
              <w:spacing w:after="0"/>
              <w:rPr>
                <w:sz w:val="3"/>
                <w:szCs w:val="3"/>
                <w:color w:val="auto"/>
              </w:rPr>
            </w:pPr>
          </w:p>
        </w:tc>
        <w:tc>
          <w:tcPr>
            <w:tcW w:w="1080" w:type="dxa"/>
            <w:vAlign w:val="bottom"/>
            <w:tcBorders>
              <w:bottom w:val="single" w:sz="8" w:color="47829E"/>
              <w:right w:val="single" w:sz="8" w:color="47829E"/>
            </w:tcBorders>
          </w:tcPr>
          <w:p>
            <w:pPr>
              <w:spacing w:after="0"/>
              <w:rPr>
                <w:sz w:val="3"/>
                <w:szCs w:val="3"/>
                <w:color w:val="auto"/>
              </w:rPr>
            </w:pPr>
          </w:p>
        </w:tc>
        <w:tc>
          <w:tcPr>
            <w:tcW w:w="1100" w:type="dxa"/>
            <w:vAlign w:val="bottom"/>
            <w:tcBorders>
              <w:bottom w:val="single" w:sz="8" w:color="47829E"/>
              <w:right w:val="single" w:sz="8" w:color="47829E"/>
            </w:tcBorders>
          </w:tcPr>
          <w:p>
            <w:pPr>
              <w:spacing w:after="0"/>
              <w:rPr>
                <w:sz w:val="3"/>
                <w:szCs w:val="3"/>
                <w:color w:val="auto"/>
              </w:rPr>
            </w:pPr>
          </w:p>
        </w:tc>
        <w:tc>
          <w:tcPr>
            <w:tcW w:w="1120" w:type="dxa"/>
            <w:vAlign w:val="bottom"/>
            <w:tcBorders>
              <w:bottom w:val="single" w:sz="8" w:color="47829E"/>
              <w:right w:val="single" w:sz="8" w:color="47829E"/>
            </w:tcBorders>
          </w:tcPr>
          <w:p>
            <w:pPr>
              <w:spacing w:after="0"/>
              <w:rPr>
                <w:sz w:val="3"/>
                <w:szCs w:val="3"/>
                <w:color w:val="auto"/>
              </w:rPr>
            </w:pPr>
          </w:p>
        </w:tc>
        <w:tc>
          <w:tcPr>
            <w:tcW w:w="940" w:type="dxa"/>
            <w:vAlign w:val="bottom"/>
            <w:tcBorders>
              <w:bottom w:val="single" w:sz="8" w:color="47829E"/>
              <w:right w:val="single" w:sz="8" w:color="47829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right="20" w:hanging="332"/>
        <w:spacing w:after="0" w:line="258" w:lineRule="auto"/>
        <w:tabs>
          <w:tab w:leader="none" w:pos="340" w:val="left"/>
        </w:tabs>
        <w:numPr>
          <w:ilvl w:val="0"/>
          <w:numId w:val="56"/>
        </w:numPr>
        <w:rPr>
          <w:rFonts w:ascii="Arial" w:cs="Arial" w:eastAsia="Arial" w:hAnsi="Arial"/>
          <w:sz w:val="11"/>
          <w:szCs w:val="11"/>
          <w:color w:val="auto"/>
        </w:rPr>
      </w:pPr>
      <w:r>
        <w:rPr>
          <w:rFonts w:ascii="Arial" w:cs="Arial" w:eastAsia="Arial" w:hAnsi="Arial"/>
          <w:sz w:val="12"/>
          <w:szCs w:val="12"/>
          <w:color w:val="auto"/>
        </w:rPr>
        <w:t xml:space="preserve">The amounts in column (d) for 2015 reflect the cash bonuses to the named individuals earned in 2015 and paid in 2016 under annual incentive arrangements discussed in further detail on pages 35 to 37 under the heading </w:t>
      </w:r>
      <w:r>
        <w:rPr>
          <w:rFonts w:ascii="Arial" w:cs="Arial" w:eastAsia="Arial" w:hAnsi="Arial"/>
          <w:sz w:val="12"/>
          <w:szCs w:val="12"/>
          <w:i w:val="1"/>
          <w:iCs w:val="1"/>
          <w:color w:val="auto"/>
        </w:rPr>
        <w:t>“Annual Cash Incentive: Executive Incentive Plan.”</w:t>
      </w:r>
      <w:r>
        <w:rPr>
          <w:rFonts w:ascii="Arial" w:cs="Arial" w:eastAsia="Arial" w:hAnsi="Arial"/>
          <w:sz w:val="12"/>
          <w:szCs w:val="12"/>
          <w:color w:val="auto"/>
        </w:rPr>
        <w:t xml:space="preserve"> The amounts in this column also include the amounts of bonus irrevocably deferred in common stock units at the election of each named executive officer pursuant to Martin Marietta’s Incentive Stock Plan, which is discussed in further detail on page 37 under the heading </w:t>
      </w:r>
      <w:r>
        <w:rPr>
          <w:rFonts w:ascii="Arial" w:cs="Arial" w:eastAsia="Arial" w:hAnsi="Arial"/>
          <w:sz w:val="12"/>
          <w:szCs w:val="12"/>
          <w:i w:val="1"/>
          <w:iCs w:val="1"/>
          <w:color w:val="auto"/>
        </w:rPr>
        <w:t>“Annual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Incentive Feature: Performance-Based Stock Purchase Plan.” </w:t>
      </w:r>
      <w:r>
        <w:rPr>
          <w:rFonts w:ascii="Arial" w:cs="Arial" w:eastAsia="Arial" w:hAnsi="Arial"/>
          <w:sz w:val="12"/>
          <w:szCs w:val="12"/>
          <w:color w:val="auto"/>
        </w:rPr>
        <w:t>The number of stock units and the related grant date fair value attributable to the amounts of bonus so deferred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named executive officers appear in columns (i) and (l), respectively, of the Grants of Plan-Based Awards Table on page 43. Column (e) includes the amounts mandatorily deferred in</w:t>
      </w:r>
    </w:p>
    <w:p>
      <w:pPr>
        <w:spacing w:after="0" w:line="1" w:lineRule="exact"/>
        <w:rPr>
          <w:rFonts w:ascii="Arial" w:cs="Arial" w:eastAsia="Arial" w:hAnsi="Arial"/>
          <w:sz w:val="11"/>
          <w:szCs w:val="11"/>
          <w:color w:val="auto"/>
        </w:rPr>
      </w:pPr>
    </w:p>
    <w:p>
      <w:pPr>
        <w:ind w:left="340" w:right="40"/>
        <w:spacing w:after="0" w:line="231" w:lineRule="auto"/>
        <w:rPr>
          <w:rFonts w:ascii="Arial" w:cs="Arial" w:eastAsia="Arial" w:hAnsi="Arial"/>
          <w:sz w:val="11"/>
          <w:szCs w:val="11"/>
          <w:color w:val="auto"/>
        </w:rPr>
      </w:pPr>
      <w:r>
        <w:rPr>
          <w:rFonts w:ascii="Arial" w:cs="Arial" w:eastAsia="Arial" w:hAnsi="Arial"/>
          <w:sz w:val="14"/>
          <w:szCs w:val="14"/>
          <w:color w:val="auto"/>
        </w:rPr>
        <w:t>2015 under the Incentive Stock Plan. Column (d) also includes the amounts deferred in 2015 for each of the named executive officers at his or her election, which are as follows: Mr. Nye, $139,293; Ms. Lloyd, $19,963; Ms. Bar, $15,065; Mr. McCunniff, $0; and Mr. Grant, $22,549.</w:t>
      </w:r>
    </w:p>
    <w:p>
      <w:pPr>
        <w:spacing w:after="0" w:line="28" w:lineRule="exact"/>
        <w:rPr>
          <w:sz w:val="20"/>
          <w:szCs w:val="20"/>
          <w:color w:val="auto"/>
        </w:rPr>
      </w:pPr>
    </w:p>
    <w:p>
      <w:pPr>
        <w:jc w:val="both"/>
        <w:ind w:left="340" w:right="20" w:hanging="332"/>
        <w:spacing w:after="0" w:line="262" w:lineRule="auto"/>
        <w:tabs>
          <w:tab w:leader="none" w:pos="340" w:val="left"/>
        </w:tabs>
        <w:numPr>
          <w:ilvl w:val="0"/>
          <w:numId w:val="57"/>
        </w:numPr>
        <w:rPr>
          <w:rFonts w:ascii="Arial" w:cs="Arial" w:eastAsia="Arial" w:hAnsi="Arial"/>
          <w:sz w:val="11"/>
          <w:szCs w:val="11"/>
          <w:color w:val="auto"/>
        </w:rPr>
      </w:pPr>
      <w:r>
        <w:rPr>
          <w:rFonts w:ascii="Arial" w:cs="Arial" w:eastAsia="Arial" w:hAnsi="Arial"/>
          <w:sz w:val="12"/>
          <w:szCs w:val="12"/>
          <w:color w:val="auto"/>
        </w:rPr>
        <w:t xml:space="preserve">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2015); awards related to the amount of cash bonus irrevocably and mandatorily deferred in common stock units by each named executive officer pursuant to Martin Marietta’s Incentive Stock Plan, which is discussed in further detail on page 37 under the heading </w:t>
      </w:r>
      <w:r>
        <w:rPr>
          <w:rFonts w:ascii="Arial" w:cs="Arial" w:eastAsia="Arial" w:hAnsi="Arial"/>
          <w:sz w:val="12"/>
          <w:szCs w:val="12"/>
          <w:i w:val="1"/>
          <w:iCs w:val="1"/>
          <w:color w:val="auto"/>
        </w:rPr>
        <w:t>“Annual Incentive Feature: Performance-Based Stock Purchase Plan”</w:t>
      </w:r>
      <w:r>
        <w:rPr>
          <w:rFonts w:ascii="Arial" w:cs="Arial" w:eastAsia="Arial" w:hAnsi="Arial"/>
          <w:sz w:val="12"/>
          <w:szCs w:val="12"/>
          <w:color w:val="auto"/>
        </w:rPr>
        <w:t xml:space="preserve">; and, for 2015, awards of performance shares, which are described in more detail on pages 39 to 40 under the heading </w:t>
      </w:r>
      <w:r>
        <w:rPr>
          <w:rFonts w:ascii="Arial" w:cs="Arial" w:eastAsia="Arial" w:hAnsi="Arial"/>
          <w:sz w:val="12"/>
          <w:szCs w:val="12"/>
          <w:i w:val="1"/>
          <w:iCs w:val="1"/>
          <w:color w:val="auto"/>
        </w:rPr>
        <w:t>“Performance Share Unit Awards (PSUs).”</w:t>
      </w:r>
      <w:r>
        <w:rPr>
          <w:rFonts w:ascii="Arial" w:cs="Arial" w:eastAsia="Arial" w:hAnsi="Arial"/>
          <w:sz w:val="12"/>
          <w:szCs w:val="12"/>
          <w:color w:val="auto"/>
        </w:rPr>
        <w:t xml:space="preserve"> The amount included in the table for performance-based restricted stock unit awards granted in 2015 reflects the value of the units granted, which is subject to forfeiture if the executive does not remain in the employment of Martin Marietta for the requisite time period (generally three or four years). The amounts in column (e) do not include the 20% discount on the Incentive Stock Plan units, which is reported in column (i). The amount in column (e) also includes PSUs, which were first awarded in 2014, and assumes the number of shares based on the target level of performance. Assuming the maximum payout under the PSUs granted in 2015, which will be determined in January 2018 based on the Company’s performance in 2015-2017 for awards granted in 2015, the amounts reported above for 2015 would be as follows: Mr. Nye, $986,654; Ms. Lloyd, $530,204; Ms. Bar, $442,519; Mr. McCunniff, $362,756; and Mr. Grant, $342,269. Assumptions used in the calculation of these amounts are included in Note A to Martin Marietta’s audited financial statements for the fiscal year ended December 31, 2015, included in Martin Marietta’s Annual Report on Form 10-K filed with the SEC on February 23, 2016. The amounts of cash bonus deferred in 2015 at the election of each named executive officer are included in column (d). The amounts of cash bonus mandatorily deferred in 2015 for each of the named executive officers are as follows: Mr. Nye, $325,019; Ms. Lloyd, $79,849; Ms. Bar, $60,258; Mr. McCunniff, $47,804; and Mr. Grant, $45,098.</w:t>
      </w:r>
    </w:p>
    <w:p>
      <w:pPr>
        <w:spacing w:after="0" w:line="164" w:lineRule="exact"/>
        <w:rPr>
          <w:sz w:val="20"/>
          <w:szCs w:val="20"/>
          <w:color w:val="auto"/>
        </w:rPr>
      </w:pPr>
    </w:p>
    <w:p>
      <w:pPr>
        <w:jc w:val="both"/>
        <w:ind w:left="340" w:right="20" w:hanging="332"/>
        <w:spacing w:after="0" w:line="226" w:lineRule="auto"/>
        <w:tabs>
          <w:tab w:leader="none" w:pos="340" w:val="left"/>
        </w:tabs>
        <w:numPr>
          <w:ilvl w:val="0"/>
          <w:numId w:val="58"/>
        </w:numPr>
        <w:rPr>
          <w:rFonts w:ascii="Arial" w:cs="Arial" w:eastAsia="Arial" w:hAnsi="Arial"/>
          <w:sz w:val="11"/>
          <w:szCs w:val="11"/>
          <w:color w:val="auto"/>
        </w:rPr>
      </w:pPr>
      <w:r>
        <w:rPr>
          <w:rFonts w:ascii="Arial" w:cs="Arial" w:eastAsia="Arial" w:hAnsi="Arial"/>
          <w:sz w:val="14"/>
          <w:szCs w:val="14"/>
          <w:color w:val="auto"/>
        </w:rPr>
        <w:t>The amounts in column (f) reflect the grant date fair value, determined in accordance with FASB ASC Topic 718 (without any assumption for early forfeiture), of option awards made in the year reported. Assumptions used in the calculation of these amounts for the fiscal year ended December 31, 2015 are included in Note A to Martin Marietta’s audited financial statements for the fiscal year ended December 31, 2015, included in Martin Marietta’s Annual Report on Form 10-K filed with the Securities and Exchange Commission on February 23, 2016.</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sz w:val="1"/>
          <w:szCs w:val="1"/>
          <w:color w:val="auto"/>
        </w:rPr>
        <w:drawing>
          <wp:inline distT="0" distB="0" distL="0" distR="0">
            <wp:extent cx="342900" cy="20574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56" w:right="219" w:bottom="1440" w:gutter="0" w:footer="0" w:header="0"/>
        </w:sectPr>
      </w:pPr>
    </w:p>
    <w:bookmarkStart w:id="46" w:name="page47"/>
    <w:bookmarkEnd w:id="46"/>
    <w:p>
      <w:pPr>
        <w:jc w:val="both"/>
        <w:ind w:left="340" w:right="20" w:hanging="332"/>
        <w:spacing w:after="0" w:line="225" w:lineRule="auto"/>
        <w:tabs>
          <w:tab w:leader="none" w:pos="340" w:val="left"/>
        </w:tabs>
        <w:numPr>
          <w:ilvl w:val="0"/>
          <w:numId w:val="59"/>
        </w:numPr>
        <w:rPr>
          <w:rFonts w:ascii="Arial" w:cs="Arial" w:eastAsia="Arial" w:hAnsi="Arial"/>
          <w:sz w:val="11"/>
          <w:szCs w:val="11"/>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column (h) reflect the aggregate increase in the actuarial present value of the named executive officer’s accumulated benefits during 2015, 2014 and 2013,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 The change in pension value and non-qualified deferred compensation earnings decreased for Ms. Lloyd and Ms. Bar from 2013 to 2014: $(97,432) and $(106,571), respectively, due to the effect of the increase in interest rates used for accounting measurement purposes.</w:t>
      </w:r>
    </w:p>
    <w:p>
      <w:pPr>
        <w:spacing w:after="0" w:line="29" w:lineRule="exact"/>
        <w:rPr>
          <w:sz w:val="20"/>
          <w:szCs w:val="20"/>
          <w:color w:val="auto"/>
        </w:rPr>
      </w:pPr>
    </w:p>
    <w:p>
      <w:pPr>
        <w:jc w:val="both"/>
        <w:ind w:left="340" w:right="20" w:hanging="332"/>
        <w:spacing w:after="0" w:line="223" w:lineRule="auto"/>
        <w:tabs>
          <w:tab w:leader="none" w:pos="3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The amount shown in column (i) for 2015 reflects for each named executive officer: matching contributions allocated by Martin Marietta to each of the named executive officers pursuant to the Savings and Investment Plan, which is more fully described on page 46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the value attributable to life insurance benefits provided to the named executive officers, which is more fully described on page 46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and the value attributable to personal use of leased automobiles provided by Martin Marietta. There was no personal use of the corporate plane by any NEOs in 2015. These values are included as compensation on the W-2 of named executive officers who receive such benefits. Each such named executive officer is responsible for paying income tax on such amount.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2015, 2014 and 2013, and the dollar value of dividend equivalents on units credited under the equity awards as computed for financial statement reporting purposes for each fiscal year ended December 31, 2015, 2014 and 2013 in accordance with FASB ASC Topic 718.</w:t>
      </w:r>
    </w:p>
    <w:p>
      <w:pPr>
        <w:spacing w:after="0" w:line="3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Ms. Bar was promoted to Executive Vice President on November 15, 2015.</w:t>
      </w:r>
    </w:p>
    <w:p>
      <w:pPr>
        <w:spacing w:after="0" w:line="28"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1"/>
          <w:szCs w:val="11"/>
          <w:color w:val="auto"/>
        </w:rPr>
      </w:pPr>
      <w:r>
        <w:rPr>
          <w:rFonts w:ascii="Arial" w:cs="Arial" w:eastAsia="Arial" w:hAnsi="Arial"/>
          <w:sz w:val="14"/>
          <w:szCs w:val="14"/>
          <w:color w:val="auto"/>
        </w:rPr>
        <w:t>Mr. Grant was not a named executive officer for purposes of the Summary Compensation Table in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Plan-Based Awards</w:t>
      </w: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table below shows each grant of an award made to a named executive officer in the fiscal year ended December 31, 2015. This includes equity awards made to the named executive officers under Martin Marietta’s Stock-Based Award Plan and the Incentive Stock Plan.</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54875" cy="3207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3207385"/>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3580" w:type="dxa"/>
            <w:vAlign w:val="bottom"/>
            <w:tcBorders>
              <w:right w:val="single" w:sz="8" w:color="47829E"/>
            </w:tcBorders>
            <w:shd w:val="clear" w:color="auto" w:fill="47829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Arial" w:cs="Arial" w:eastAsia="Arial" w:hAnsi="Arial"/>
                <w:sz w:val="11"/>
                <w:szCs w:val="11"/>
                <w:b w:val="1"/>
                <w:bCs w:val="1"/>
                <w:color w:val="FFFFFF"/>
                <w:w w:val="98"/>
              </w:rPr>
              <w:t>Estimated Future Payouts</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shd w:val="clear" w:color="auto" w:fill="47829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FFFFFF"/>
                <w:w w:val="98"/>
              </w:rPr>
              <w:t>Under Non-Equity Incentive</w:t>
            </w:r>
          </w:p>
        </w:tc>
        <w:tc>
          <w:tcPr>
            <w:tcW w:w="0" w:type="dxa"/>
            <w:vAlign w:val="bottom"/>
          </w:tcPr>
          <w:p>
            <w:pPr>
              <w:spacing w:after="0"/>
              <w:rPr>
                <w:sz w:val="1"/>
                <w:szCs w:val="1"/>
                <w:color w:val="auto"/>
              </w:rPr>
            </w:pPr>
          </w:p>
        </w:tc>
      </w:tr>
      <w:tr>
        <w:trPr>
          <w:trHeight w:val="142"/>
        </w:trPr>
        <w:tc>
          <w:tcPr>
            <w:tcW w:w="3580" w:type="dxa"/>
            <w:vAlign w:val="bottom"/>
            <w:tcBorders>
              <w:right w:val="single" w:sz="8" w:color="47829E"/>
            </w:tcBorders>
            <w:shd w:val="clear" w:color="auto" w:fill="47829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FFFFFF"/>
                <w:w w:val="98"/>
              </w:rPr>
              <w:t>Plan Awards</w:t>
            </w:r>
            <w:r>
              <w:rPr>
                <w:rFonts w:ascii="Arial" w:cs="Arial" w:eastAsia="Arial" w:hAnsi="Arial"/>
                <w:sz w:val="9"/>
                <w:szCs w:val="9"/>
                <w:b w:val="1"/>
                <w:bCs w:val="1"/>
                <w:color w:val="FFFFFF"/>
                <w:w w:val="98"/>
              </w:rPr>
              <w:t>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80" w:type="dxa"/>
            <w:vAlign w:val="bottom"/>
            <w:tcBorders>
              <w:right w:val="single" w:sz="8" w:color="47829E"/>
            </w:tcBorders>
            <w:shd w:val="clear" w:color="auto" w:fill="47829E"/>
          </w:tcPr>
          <w:p>
            <w:pPr>
              <w:spacing w:after="0"/>
              <w:rPr>
                <w:sz w:val="13"/>
                <w:szCs w:val="13"/>
                <w:color w:val="auto"/>
              </w:rPr>
            </w:pPr>
          </w:p>
        </w:tc>
        <w:tc>
          <w:tcPr>
            <w:tcW w:w="40" w:type="dxa"/>
            <w:vAlign w:val="bottom"/>
            <w:shd w:val="clear" w:color="auto" w:fill="47829E"/>
          </w:tcPr>
          <w:p>
            <w:pPr>
              <w:spacing w:after="0"/>
              <w:rPr>
                <w:sz w:val="13"/>
                <w:szCs w:val="13"/>
                <w:color w:val="auto"/>
              </w:rPr>
            </w:pPr>
          </w:p>
        </w:tc>
        <w:tc>
          <w:tcPr>
            <w:tcW w:w="520" w:type="dxa"/>
            <w:vAlign w:val="bottom"/>
          </w:tcPr>
          <w:p>
            <w:pPr>
              <w:jc w:val="center"/>
              <w:ind w:left="7"/>
              <w:spacing w:after="0"/>
              <w:rPr>
                <w:sz w:val="20"/>
                <w:szCs w:val="20"/>
                <w:color w:val="auto"/>
              </w:rPr>
            </w:pPr>
            <w:r>
              <w:rPr>
                <w:rFonts w:ascii="Arial" w:cs="Arial" w:eastAsia="Arial" w:hAnsi="Arial"/>
                <w:sz w:val="11"/>
                <w:szCs w:val="11"/>
                <w:b w:val="1"/>
                <w:bCs w:val="1"/>
                <w:color w:val="FFFFFF"/>
                <w:w w:val="95"/>
              </w:rPr>
              <w:t>Grant</w:t>
            </w:r>
          </w:p>
        </w:tc>
        <w:tc>
          <w:tcPr>
            <w:tcW w:w="100" w:type="dxa"/>
            <w:vAlign w:val="bottom"/>
            <w:tcBorders>
              <w:right w:val="single" w:sz="8" w:color="47829E"/>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7"/>
              </w:rPr>
              <w:t>Threshold</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5"/>
              </w:rPr>
              <w:t>Target</w:t>
            </w: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FFFFFF"/>
                <w:w w:val="98"/>
              </w:rPr>
              <w:t>Maximum</w:t>
            </w:r>
          </w:p>
        </w:tc>
        <w:tc>
          <w:tcPr>
            <w:tcW w:w="0" w:type="dxa"/>
            <w:vAlign w:val="bottom"/>
          </w:tcPr>
          <w:p>
            <w:pPr>
              <w:spacing w:after="0"/>
              <w:rPr>
                <w:sz w:val="1"/>
                <w:szCs w:val="1"/>
                <w:color w:val="auto"/>
              </w:rPr>
            </w:pPr>
          </w:p>
        </w:tc>
      </w:tr>
      <w:tr>
        <w:trPr>
          <w:trHeight w:val="137"/>
        </w:trPr>
        <w:tc>
          <w:tcPr>
            <w:tcW w:w="3580" w:type="dxa"/>
            <w:vAlign w:val="bottom"/>
            <w:tcBorders>
              <w:right w:val="single" w:sz="8" w:color="47829E"/>
            </w:tcBorders>
            <w:shd w:val="clear" w:color="auto" w:fill="47829E"/>
          </w:tcPr>
          <w:p>
            <w:pPr>
              <w:ind w:left="160"/>
              <w:spacing w:after="0"/>
              <w:rPr>
                <w:sz w:val="20"/>
                <w:szCs w:val="20"/>
                <w:color w:val="auto"/>
              </w:rPr>
            </w:pPr>
            <w:r>
              <w:rPr>
                <w:rFonts w:ascii="Arial" w:cs="Arial" w:eastAsia="Arial" w:hAnsi="Arial"/>
                <w:sz w:val="11"/>
                <w:szCs w:val="11"/>
                <w:b w:val="1"/>
                <w:bCs w:val="1"/>
                <w:color w:val="FFFFFF"/>
              </w:rPr>
              <w:t>Name</w:t>
            </w:r>
          </w:p>
        </w:tc>
        <w:tc>
          <w:tcPr>
            <w:tcW w:w="40" w:type="dxa"/>
            <w:vAlign w:val="bottom"/>
            <w:shd w:val="clear" w:color="auto" w:fill="47829E"/>
          </w:tcPr>
          <w:p>
            <w:pPr>
              <w:spacing w:after="0"/>
              <w:rPr>
                <w:sz w:val="11"/>
                <w:szCs w:val="11"/>
                <w:color w:val="auto"/>
              </w:rPr>
            </w:pPr>
          </w:p>
        </w:tc>
        <w:tc>
          <w:tcPr>
            <w:tcW w:w="520" w:type="dxa"/>
            <w:vAlign w:val="bottom"/>
          </w:tcPr>
          <w:p>
            <w:pPr>
              <w:jc w:val="center"/>
              <w:ind w:left="7"/>
              <w:spacing w:after="0"/>
              <w:rPr>
                <w:sz w:val="20"/>
                <w:szCs w:val="20"/>
                <w:color w:val="auto"/>
              </w:rPr>
            </w:pPr>
            <w:r>
              <w:rPr>
                <w:rFonts w:ascii="Arial" w:cs="Arial" w:eastAsia="Arial" w:hAnsi="Arial"/>
                <w:sz w:val="11"/>
                <w:szCs w:val="11"/>
                <w:b w:val="1"/>
                <w:bCs w:val="1"/>
                <w:color w:val="FFFFFF"/>
              </w:rPr>
              <w:t>Date</w:t>
            </w:r>
          </w:p>
        </w:tc>
        <w:tc>
          <w:tcPr>
            <w:tcW w:w="100" w:type="dxa"/>
            <w:vAlign w:val="bottom"/>
            <w:tcBorders>
              <w:right w:val="single" w:sz="8" w:color="47829E"/>
            </w:tcBorders>
          </w:tcPr>
          <w:p>
            <w:pPr>
              <w:spacing w:after="0"/>
              <w:rPr>
                <w:sz w:val="11"/>
                <w:szCs w:val="11"/>
                <w:color w:val="auto"/>
              </w:rPr>
            </w:pPr>
          </w:p>
        </w:tc>
        <w:tc>
          <w:tcPr>
            <w:tcW w:w="740" w:type="dxa"/>
            <w:vAlign w:val="bottom"/>
            <w:tcBorders>
              <w:right w:val="single" w:sz="8" w:color="47829E"/>
            </w:tcBorders>
            <w:gridSpan w:val="2"/>
          </w:tcPr>
          <w:p>
            <w:pPr>
              <w:jc w:val="center"/>
              <w:ind w:left="6"/>
              <w:spacing w:after="0"/>
              <w:rPr>
                <w:sz w:val="20"/>
                <w:szCs w:val="20"/>
                <w:color w:val="auto"/>
              </w:rPr>
            </w:pPr>
            <w:r>
              <w:rPr>
                <w:rFonts w:ascii="Arial" w:cs="Arial" w:eastAsia="Arial" w:hAnsi="Arial"/>
                <w:sz w:val="11"/>
                <w:szCs w:val="11"/>
                <w:b w:val="1"/>
                <w:bCs w:val="1"/>
                <w:color w:val="FFFFFF"/>
                <w:w w:val="88"/>
              </w:rPr>
              <w:t>($)</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88"/>
              </w:rPr>
              <w:t>($)</w:t>
            </w:r>
          </w:p>
        </w:tc>
        <w:tc>
          <w:tcPr>
            <w:tcW w:w="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149"/>
        </w:trPr>
        <w:tc>
          <w:tcPr>
            <w:tcW w:w="3580" w:type="dxa"/>
            <w:vAlign w:val="bottom"/>
            <w:tcBorders>
              <w:right w:val="single" w:sz="8" w:color="47829E"/>
            </w:tcBorders>
            <w:shd w:val="clear" w:color="auto" w:fill="47829E"/>
          </w:tcPr>
          <w:p>
            <w:pPr>
              <w:ind w:left="160"/>
              <w:spacing w:after="0"/>
              <w:rPr>
                <w:sz w:val="20"/>
                <w:szCs w:val="20"/>
                <w:color w:val="auto"/>
              </w:rPr>
            </w:pPr>
            <w:r>
              <w:rPr>
                <w:rFonts w:ascii="Arial" w:cs="Arial" w:eastAsia="Arial" w:hAnsi="Arial"/>
                <w:sz w:val="11"/>
                <w:szCs w:val="11"/>
                <w:b w:val="1"/>
                <w:bCs w:val="1"/>
                <w:color w:val="FFFFFF"/>
              </w:rPr>
              <w:t>(a)</w:t>
            </w:r>
          </w:p>
        </w:tc>
        <w:tc>
          <w:tcPr>
            <w:tcW w:w="40" w:type="dxa"/>
            <w:vAlign w:val="bottom"/>
            <w:shd w:val="clear" w:color="auto" w:fill="47829E"/>
          </w:tcPr>
          <w:p>
            <w:pPr>
              <w:spacing w:after="0"/>
              <w:rPr>
                <w:sz w:val="12"/>
                <w:szCs w:val="12"/>
                <w:color w:val="auto"/>
              </w:rPr>
            </w:pPr>
          </w:p>
        </w:tc>
        <w:tc>
          <w:tcPr>
            <w:tcW w:w="520" w:type="dxa"/>
            <w:vAlign w:val="bottom"/>
          </w:tcPr>
          <w:p>
            <w:pPr>
              <w:jc w:val="center"/>
              <w:ind w:left="27"/>
              <w:spacing w:after="0"/>
              <w:rPr>
                <w:sz w:val="20"/>
                <w:szCs w:val="20"/>
                <w:color w:val="auto"/>
              </w:rPr>
            </w:pPr>
            <w:r>
              <w:rPr>
                <w:rFonts w:ascii="Arial" w:cs="Arial" w:eastAsia="Arial" w:hAnsi="Arial"/>
                <w:sz w:val="11"/>
                <w:szCs w:val="11"/>
                <w:b w:val="1"/>
                <w:bCs w:val="1"/>
                <w:color w:val="FFFFFF"/>
                <w:w w:val="99"/>
              </w:rPr>
              <w:t>(b)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FFFFFF"/>
                <w:w w:val="88"/>
              </w:rPr>
              <w:t>(c)</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FFFFFF"/>
                <w:w w:val="99"/>
              </w:rPr>
              <w:t>(d)</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FFFFFF"/>
              </w:rPr>
              <w:t>(e)</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tcPr>
          <w:p>
            <w:pPr>
              <w:ind w:left="160"/>
              <w:spacing w:after="0"/>
              <w:rPr>
                <w:sz w:val="20"/>
                <w:szCs w:val="20"/>
                <w:color w:val="auto"/>
              </w:rPr>
            </w:pPr>
            <w:r>
              <w:rPr>
                <w:rFonts w:ascii="Arial" w:cs="Arial" w:eastAsia="Arial" w:hAnsi="Arial"/>
                <w:sz w:val="11"/>
                <w:szCs w:val="11"/>
                <w:b w:val="1"/>
                <w:bCs w:val="1"/>
                <w:color w:val="auto"/>
              </w:rPr>
              <w:t>C. Howard Nye</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2"/>
        </w:trPr>
        <w:tc>
          <w:tcPr>
            <w:tcW w:w="3580" w:type="dxa"/>
            <w:vAlign w:val="bottom"/>
            <w:tcBorders>
              <w:right w:val="single" w:sz="8" w:color="47829E"/>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580" w:type="dxa"/>
            <w:vAlign w:val="bottom"/>
            <w:tcBorders>
              <w:right w:val="single" w:sz="8" w:color="47829E"/>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Borders>
              <w:right w:val="single" w:sz="8" w:color="47829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vMerge w:val="restart"/>
          </w:tcPr>
          <w:p>
            <w:pPr>
              <w:jc w:val="center"/>
              <w:spacing w:after="0" w:line="162" w:lineRule="exact"/>
              <w:rPr>
                <w:sz w:val="20"/>
                <w:szCs w:val="20"/>
                <w:color w:val="auto"/>
              </w:rPr>
            </w:pPr>
            <w:r>
              <w:rPr>
                <w:rFonts w:ascii="Arial" w:cs="Arial" w:eastAsia="Arial" w:hAnsi="Arial"/>
                <w:sz w:val="15"/>
                <w:szCs w:val="15"/>
                <w:color w:val="auto"/>
              </w:rPr>
              <w:t>420,260</w:t>
            </w:r>
          </w:p>
        </w:tc>
        <w:tc>
          <w:tcPr>
            <w:tcW w:w="80" w:type="dxa"/>
            <w:vAlign w:val="bottom"/>
          </w:tcPr>
          <w:p>
            <w:pPr>
              <w:spacing w:after="0"/>
              <w:rPr>
                <w:sz w:val="3"/>
                <w:szCs w:val="3"/>
                <w:color w:val="auto"/>
              </w:rPr>
            </w:pPr>
          </w:p>
        </w:tc>
        <w:tc>
          <w:tcPr>
            <w:tcW w:w="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9"/>
              </w:rPr>
              <w:t>630,390</w:t>
            </w: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shd w:val="clear" w:color="auto" w:fill="DAE6EB"/>
          </w:tcPr>
          <w:p>
            <w:pPr>
              <w:jc w:val="right"/>
              <w:spacing w:after="0" w:line="123"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shd w:val="clear" w:color="auto" w:fill="DAE6EB"/>
          </w:tcPr>
          <w:p>
            <w:pPr>
              <w:ind w:left="160"/>
              <w:spacing w:after="0"/>
              <w:rPr>
                <w:sz w:val="20"/>
                <w:szCs w:val="20"/>
                <w:color w:val="auto"/>
              </w:rPr>
            </w:pPr>
            <w:r>
              <w:rPr>
                <w:rFonts w:ascii="Arial" w:cs="Arial" w:eastAsia="Arial" w:hAnsi="Arial"/>
                <w:sz w:val="11"/>
                <w:szCs w:val="11"/>
                <w:b w:val="1"/>
                <w:bCs w:val="1"/>
                <w:color w:val="auto"/>
              </w:rPr>
              <w:t>Anne H. Lloyd</w:t>
            </w: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3580" w:type="dxa"/>
            <w:vAlign w:val="bottom"/>
            <w:tcBorders>
              <w:bottom w:val="single" w:sz="8" w:color="DAE6EB"/>
              <w:right w:val="single" w:sz="8" w:color="47829E"/>
            </w:tcBorders>
            <w:shd w:val="clear" w:color="auto" w:fill="DAE6EB"/>
          </w:tcPr>
          <w:p>
            <w:pPr>
              <w:spacing w:after="0"/>
              <w:rPr>
                <w:sz w:val="12"/>
                <w:szCs w:val="12"/>
                <w:color w:val="auto"/>
              </w:rPr>
            </w:pPr>
          </w:p>
        </w:tc>
        <w:tc>
          <w:tcPr>
            <w:tcW w:w="40" w:type="dxa"/>
            <w:vAlign w:val="bottom"/>
            <w:tcBorders>
              <w:bottom w:val="single" w:sz="8" w:color="DAE6EB"/>
            </w:tcBorders>
            <w:shd w:val="clear" w:color="auto" w:fill="DAE6EB"/>
          </w:tcPr>
          <w:p>
            <w:pPr>
              <w:spacing w:after="0"/>
              <w:rPr>
                <w:sz w:val="12"/>
                <w:szCs w:val="12"/>
                <w:color w:val="auto"/>
              </w:rPr>
            </w:pPr>
          </w:p>
        </w:tc>
        <w:tc>
          <w:tcPr>
            <w:tcW w:w="520" w:type="dxa"/>
            <w:vAlign w:val="bottom"/>
            <w:tcBorders>
              <w:bottom w:val="single" w:sz="8" w:color="DAE6EB"/>
            </w:tcBorders>
            <w:vMerge w:val="continue"/>
            <w:shd w:val="clear" w:color="auto" w:fill="DAE6EB"/>
          </w:tcPr>
          <w:p>
            <w:pPr>
              <w:spacing w:after="0"/>
              <w:rPr>
                <w:sz w:val="12"/>
                <w:szCs w:val="12"/>
                <w:color w:val="auto"/>
              </w:rPr>
            </w:pPr>
          </w:p>
        </w:tc>
        <w:tc>
          <w:tcPr>
            <w:tcW w:w="100" w:type="dxa"/>
            <w:vAlign w:val="bottom"/>
            <w:tcBorders>
              <w:bottom w:val="single" w:sz="8" w:color="DAE6EB"/>
              <w:right w:val="single" w:sz="8" w:color="47829E"/>
            </w:tcBorders>
            <w:shd w:val="clear" w:color="auto" w:fill="DAE6EB"/>
          </w:tcPr>
          <w:p>
            <w:pPr>
              <w:jc w:val="right"/>
              <w:spacing w:after="0" w:line="145" w:lineRule="exact"/>
              <w:rPr>
                <w:sz w:val="20"/>
                <w:szCs w:val="20"/>
                <w:color w:val="auto"/>
              </w:rPr>
            </w:pPr>
            <w:r>
              <w:rPr>
                <w:rFonts w:ascii="Arial" w:cs="Arial" w:eastAsia="Arial" w:hAnsi="Arial"/>
                <w:sz w:val="13"/>
                <w:szCs w:val="13"/>
                <w:color w:val="auto"/>
                <w:w w:val="82"/>
              </w:rPr>
              <w:t>4</w:t>
            </w:r>
          </w:p>
        </w:tc>
        <w:tc>
          <w:tcPr>
            <w:tcW w:w="80" w:type="dxa"/>
            <w:vAlign w:val="bottom"/>
            <w:tcBorders>
              <w:bottom w:val="single" w:sz="8" w:color="DAE6EB"/>
            </w:tcBorders>
            <w:shd w:val="clear" w:color="auto" w:fill="DAE6EB"/>
          </w:tcPr>
          <w:p>
            <w:pPr>
              <w:spacing w:after="0"/>
              <w:rPr>
                <w:sz w:val="12"/>
                <w:szCs w:val="12"/>
                <w:color w:val="auto"/>
              </w:rPr>
            </w:pPr>
          </w:p>
        </w:tc>
        <w:tc>
          <w:tcPr>
            <w:tcW w:w="660" w:type="dxa"/>
            <w:vAlign w:val="bottom"/>
            <w:tcBorders>
              <w:bottom w:val="single" w:sz="8" w:color="DAE6EB"/>
              <w:right w:val="single" w:sz="8" w:color="47829E"/>
            </w:tcBorders>
            <w:shd w:val="clear" w:color="auto" w:fill="DAE6EB"/>
          </w:tcPr>
          <w:p>
            <w:pPr>
              <w:spacing w:after="0"/>
              <w:rPr>
                <w:sz w:val="12"/>
                <w:szCs w:val="12"/>
                <w:color w:val="auto"/>
              </w:rPr>
            </w:pPr>
          </w:p>
        </w:tc>
        <w:tc>
          <w:tcPr>
            <w:tcW w:w="66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317,149</w:t>
            </w: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5"/>
                <w:szCs w:val="15"/>
                <w:color w:val="auto"/>
                <w:w w:val="99"/>
              </w:rPr>
              <w:t>475,724</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tcPr>
          <w:p>
            <w:pPr>
              <w:ind w:left="160"/>
              <w:spacing w:after="0"/>
              <w:rPr>
                <w:sz w:val="20"/>
                <w:szCs w:val="20"/>
                <w:color w:val="auto"/>
              </w:rPr>
            </w:pPr>
            <w:r>
              <w:rPr>
                <w:rFonts w:ascii="Arial" w:cs="Arial" w:eastAsia="Arial" w:hAnsi="Arial"/>
                <w:sz w:val="11"/>
                <w:szCs w:val="11"/>
                <w:b w:val="1"/>
                <w:bCs w:val="1"/>
                <w:color w:val="auto"/>
              </w:rPr>
              <w:t>Roselyn R. Bar</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vMerge w:val="restart"/>
          </w:tcPr>
          <w:p>
            <w:pPr>
              <w:jc w:val="center"/>
              <w:spacing w:after="0" w:line="162" w:lineRule="exact"/>
              <w:rPr>
                <w:sz w:val="20"/>
                <w:szCs w:val="20"/>
                <w:color w:val="auto"/>
              </w:rPr>
            </w:pPr>
            <w:r>
              <w:rPr>
                <w:rFonts w:ascii="Arial" w:cs="Arial" w:eastAsia="Arial" w:hAnsi="Arial"/>
                <w:sz w:val="15"/>
                <w:szCs w:val="15"/>
                <w:color w:val="auto"/>
              </w:rPr>
              <w:t>251,598</w:t>
            </w:r>
          </w:p>
        </w:tc>
        <w:tc>
          <w:tcPr>
            <w:tcW w:w="80" w:type="dxa"/>
            <w:vAlign w:val="bottom"/>
          </w:tcPr>
          <w:p>
            <w:pPr>
              <w:spacing w:after="0"/>
              <w:rPr>
                <w:sz w:val="3"/>
                <w:szCs w:val="3"/>
                <w:color w:val="auto"/>
              </w:rPr>
            </w:pPr>
          </w:p>
        </w:tc>
        <w:tc>
          <w:tcPr>
            <w:tcW w:w="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9"/>
              </w:rPr>
              <w:t>377,397</w:t>
            </w: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shd w:val="clear" w:color="auto" w:fill="DAE6EB"/>
          </w:tcPr>
          <w:p>
            <w:pPr>
              <w:jc w:val="right"/>
              <w:spacing w:after="0" w:line="123"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shd w:val="clear" w:color="auto" w:fill="DAE6EB"/>
          </w:tcPr>
          <w:p>
            <w:pPr>
              <w:ind w:left="160"/>
              <w:spacing w:after="0"/>
              <w:rPr>
                <w:sz w:val="20"/>
                <w:szCs w:val="20"/>
                <w:color w:val="auto"/>
              </w:rPr>
            </w:pPr>
            <w:r>
              <w:rPr>
                <w:rFonts w:ascii="Arial" w:cs="Arial" w:eastAsia="Arial" w:hAnsi="Arial"/>
                <w:sz w:val="11"/>
                <w:szCs w:val="11"/>
                <w:b w:val="1"/>
                <w:bCs w:val="1"/>
                <w:color w:val="auto"/>
              </w:rPr>
              <w:t>Donald A. McCunniff</w:t>
            </w: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3580" w:type="dxa"/>
            <w:vAlign w:val="bottom"/>
            <w:tcBorders>
              <w:bottom w:val="single" w:sz="8" w:color="DAE6EB"/>
              <w:right w:val="single" w:sz="8" w:color="47829E"/>
            </w:tcBorders>
            <w:shd w:val="clear" w:color="auto" w:fill="DAE6EB"/>
          </w:tcPr>
          <w:p>
            <w:pPr>
              <w:spacing w:after="0"/>
              <w:rPr>
                <w:sz w:val="12"/>
                <w:szCs w:val="12"/>
                <w:color w:val="auto"/>
              </w:rPr>
            </w:pPr>
          </w:p>
        </w:tc>
        <w:tc>
          <w:tcPr>
            <w:tcW w:w="40" w:type="dxa"/>
            <w:vAlign w:val="bottom"/>
            <w:tcBorders>
              <w:bottom w:val="single" w:sz="8" w:color="DAE6EB"/>
            </w:tcBorders>
            <w:shd w:val="clear" w:color="auto" w:fill="DAE6EB"/>
          </w:tcPr>
          <w:p>
            <w:pPr>
              <w:spacing w:after="0"/>
              <w:rPr>
                <w:sz w:val="12"/>
                <w:szCs w:val="12"/>
                <w:color w:val="auto"/>
              </w:rPr>
            </w:pPr>
          </w:p>
        </w:tc>
        <w:tc>
          <w:tcPr>
            <w:tcW w:w="520" w:type="dxa"/>
            <w:vAlign w:val="bottom"/>
            <w:tcBorders>
              <w:bottom w:val="single" w:sz="8" w:color="DAE6EB"/>
            </w:tcBorders>
            <w:vMerge w:val="continue"/>
            <w:shd w:val="clear" w:color="auto" w:fill="DAE6EB"/>
          </w:tcPr>
          <w:p>
            <w:pPr>
              <w:spacing w:after="0"/>
              <w:rPr>
                <w:sz w:val="12"/>
                <w:szCs w:val="12"/>
                <w:color w:val="auto"/>
              </w:rPr>
            </w:pPr>
          </w:p>
        </w:tc>
        <w:tc>
          <w:tcPr>
            <w:tcW w:w="100" w:type="dxa"/>
            <w:vAlign w:val="bottom"/>
            <w:tcBorders>
              <w:bottom w:val="single" w:sz="8" w:color="DAE6EB"/>
              <w:right w:val="single" w:sz="8" w:color="47829E"/>
            </w:tcBorders>
            <w:shd w:val="clear" w:color="auto" w:fill="DAE6EB"/>
          </w:tcPr>
          <w:p>
            <w:pPr>
              <w:jc w:val="right"/>
              <w:spacing w:after="0" w:line="145" w:lineRule="exact"/>
              <w:rPr>
                <w:sz w:val="20"/>
                <w:szCs w:val="20"/>
                <w:color w:val="auto"/>
              </w:rPr>
            </w:pPr>
            <w:r>
              <w:rPr>
                <w:rFonts w:ascii="Arial" w:cs="Arial" w:eastAsia="Arial" w:hAnsi="Arial"/>
                <w:sz w:val="13"/>
                <w:szCs w:val="13"/>
                <w:color w:val="auto"/>
                <w:w w:val="82"/>
              </w:rPr>
              <w:t>4</w:t>
            </w:r>
          </w:p>
        </w:tc>
        <w:tc>
          <w:tcPr>
            <w:tcW w:w="80" w:type="dxa"/>
            <w:vAlign w:val="bottom"/>
            <w:tcBorders>
              <w:bottom w:val="single" w:sz="8" w:color="DAE6EB"/>
            </w:tcBorders>
            <w:shd w:val="clear" w:color="auto" w:fill="DAE6EB"/>
          </w:tcPr>
          <w:p>
            <w:pPr>
              <w:spacing w:after="0"/>
              <w:rPr>
                <w:sz w:val="12"/>
                <w:szCs w:val="12"/>
                <w:color w:val="auto"/>
              </w:rPr>
            </w:pPr>
          </w:p>
        </w:tc>
        <w:tc>
          <w:tcPr>
            <w:tcW w:w="660" w:type="dxa"/>
            <w:vAlign w:val="bottom"/>
            <w:tcBorders>
              <w:bottom w:val="single" w:sz="8" w:color="DAE6EB"/>
              <w:right w:val="single" w:sz="8" w:color="47829E"/>
            </w:tcBorders>
            <w:shd w:val="clear" w:color="auto" w:fill="DAE6EB"/>
          </w:tcPr>
          <w:p>
            <w:pPr>
              <w:spacing w:after="0"/>
              <w:rPr>
                <w:sz w:val="12"/>
                <w:szCs w:val="12"/>
                <w:color w:val="auto"/>
              </w:rPr>
            </w:pPr>
          </w:p>
        </w:tc>
        <w:tc>
          <w:tcPr>
            <w:tcW w:w="66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237,358</w:t>
            </w: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5"/>
                <w:szCs w:val="15"/>
                <w:color w:val="auto"/>
                <w:w w:val="99"/>
              </w:rPr>
              <w:t>356,037</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tcPr>
          <w:p>
            <w:pPr>
              <w:ind w:left="160"/>
              <w:spacing w:after="0"/>
              <w:rPr>
                <w:sz w:val="20"/>
                <w:szCs w:val="20"/>
                <w:color w:val="auto"/>
              </w:rPr>
            </w:pPr>
            <w:r>
              <w:rPr>
                <w:rFonts w:ascii="Arial" w:cs="Arial" w:eastAsia="Arial" w:hAnsi="Arial"/>
                <w:sz w:val="11"/>
                <w:szCs w:val="11"/>
                <w:b w:val="1"/>
                <w:bCs w:val="1"/>
                <w:color w:val="auto"/>
              </w:rPr>
              <w:t>Daniel L. Grant</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580" w:type="dxa"/>
            <w:vAlign w:val="bottom"/>
            <w:tcBorders>
              <w:right w:val="single" w:sz="8" w:color="47829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right w:val="single" w:sz="8" w:color="47829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right w:val="single" w:sz="8" w:color="47829E"/>
            </w:tcBorders>
          </w:tcPr>
          <w:p>
            <w:pPr>
              <w:spacing w:after="0"/>
              <w:rPr>
                <w:sz w:val="4"/>
                <w:szCs w:val="4"/>
                <w:color w:val="auto"/>
              </w:rPr>
            </w:pPr>
          </w:p>
        </w:tc>
        <w:tc>
          <w:tcPr>
            <w:tcW w:w="660" w:type="dxa"/>
            <w:vAlign w:val="bottom"/>
            <w:tcBorders>
              <w:right w:val="single" w:sz="8" w:color="47829E"/>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spacing w:after="0"/>
              <w:rPr>
                <w:sz w:val="10"/>
                <w:szCs w:val="10"/>
                <w:color w:val="auto"/>
              </w:rPr>
            </w:pP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660" w:type="dxa"/>
            <w:vAlign w:val="bottom"/>
            <w:tcBorders>
              <w:right w:val="single" w:sz="8" w:color="47829E"/>
            </w:tcBorders>
            <w:shd w:val="clear" w:color="auto" w:fill="47829E"/>
          </w:tcPr>
          <w:p>
            <w:pPr>
              <w:spacing w:after="0"/>
              <w:rPr>
                <w:sz w:val="10"/>
                <w:szCs w:val="10"/>
                <w:color w:val="auto"/>
              </w:rPr>
            </w:pPr>
          </w:p>
        </w:tc>
        <w:tc>
          <w:tcPr>
            <w:tcW w:w="900" w:type="dxa"/>
            <w:vAlign w:val="bottom"/>
            <w:shd w:val="clear" w:color="auto" w:fill="47829E"/>
          </w:tcPr>
          <w:p>
            <w:pPr>
              <w:spacing w:after="0"/>
              <w:rPr>
                <w:sz w:val="10"/>
                <w:szCs w:val="10"/>
                <w:color w:val="auto"/>
              </w:rPr>
            </w:pP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3" w:lineRule="exact"/>
              <w:rPr>
                <w:sz w:val="20"/>
                <w:szCs w:val="20"/>
                <w:color w:val="auto"/>
              </w:rPr>
            </w:pPr>
            <w:r>
              <w:rPr>
                <w:rFonts w:ascii="Arial" w:cs="Arial" w:eastAsia="Arial" w:hAnsi="Arial"/>
                <w:sz w:val="11"/>
                <w:szCs w:val="11"/>
                <w:b w:val="1"/>
                <w:bCs w:val="1"/>
                <w:color w:val="FFFFFF"/>
              </w:rPr>
              <w:t>All Other</w:t>
            </w:r>
          </w:p>
        </w:tc>
        <w:tc>
          <w:tcPr>
            <w:tcW w:w="780" w:type="dxa"/>
            <w:vAlign w:val="bottom"/>
            <w:tcBorders>
              <w:right w:val="single" w:sz="8" w:color="47829E"/>
            </w:tcBorders>
            <w:shd w:val="clear" w:color="auto" w:fill="47829E"/>
          </w:tcPr>
          <w:p>
            <w:pPr>
              <w:jc w:val="center"/>
              <w:spacing w:after="0" w:line="123" w:lineRule="exact"/>
              <w:rPr>
                <w:sz w:val="20"/>
                <w:szCs w:val="20"/>
                <w:color w:val="auto"/>
              </w:rPr>
            </w:pPr>
            <w:r>
              <w:rPr>
                <w:rFonts w:ascii="Arial" w:cs="Arial" w:eastAsia="Arial" w:hAnsi="Arial"/>
                <w:sz w:val="11"/>
                <w:szCs w:val="11"/>
                <w:b w:val="1"/>
                <w:bCs w:val="1"/>
                <w:color w:val="FFFFFF"/>
                <w:w w:val="95"/>
              </w:rPr>
              <w:t>Option</w:t>
            </w:r>
          </w:p>
        </w:tc>
        <w:tc>
          <w:tcPr>
            <w:tcW w:w="660" w:type="dxa"/>
            <w:vAlign w:val="bottom"/>
            <w:tcBorders>
              <w:right w:val="single" w:sz="8" w:color="47829E"/>
            </w:tcBorders>
            <w:shd w:val="clear" w:color="auto" w:fill="47829E"/>
          </w:tcPr>
          <w:p>
            <w:pPr>
              <w:spacing w:after="0"/>
              <w:rPr>
                <w:sz w:val="10"/>
                <w:szCs w:val="10"/>
                <w:color w:val="auto"/>
              </w:rPr>
            </w:pPr>
          </w:p>
        </w:tc>
        <w:tc>
          <w:tcPr>
            <w:tcW w:w="900" w:type="dxa"/>
            <w:vAlign w:val="bottom"/>
            <w:shd w:val="clear" w:color="auto" w:fill="47829E"/>
          </w:tcPr>
          <w:p>
            <w:pPr>
              <w:spacing w:after="0"/>
              <w:rPr>
                <w:sz w:val="10"/>
                <w:szCs w:val="10"/>
                <w:color w:val="auto"/>
              </w:rPr>
            </w:pP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Borders>
              <w:right w:val="single" w:sz="8" w:color="47829E"/>
            </w:tcBorders>
            <w:gridSpan w:val="5"/>
            <w:vMerge w:val="restart"/>
          </w:tcPr>
          <w:p>
            <w:pPr>
              <w:jc w:val="center"/>
              <w:ind w:right="12"/>
              <w:spacing w:after="0"/>
              <w:rPr>
                <w:sz w:val="20"/>
                <w:szCs w:val="20"/>
                <w:color w:val="auto"/>
              </w:rPr>
            </w:pPr>
            <w:r>
              <w:rPr>
                <w:rFonts w:ascii="Arial" w:cs="Arial" w:eastAsia="Arial" w:hAnsi="Arial"/>
                <w:sz w:val="11"/>
                <w:szCs w:val="11"/>
                <w:b w:val="1"/>
                <w:bCs w:val="1"/>
                <w:color w:val="FFFFFF"/>
                <w:w w:val="98"/>
              </w:rPr>
              <w:t>Estimated Future Payouts</w:t>
            </w: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Stock</w:t>
            </w:r>
          </w:p>
        </w:tc>
        <w:tc>
          <w:tcPr>
            <w:tcW w:w="78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66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7"/>
              </w:rPr>
              <w:t>Exercise</w:t>
            </w:r>
          </w:p>
        </w:tc>
        <w:tc>
          <w:tcPr>
            <w:tcW w:w="900" w:type="dxa"/>
            <w:vAlign w:val="bottom"/>
            <w:shd w:val="clear" w:color="auto" w:fill="47829E"/>
          </w:tcPr>
          <w:p>
            <w:pPr>
              <w:spacing w:after="0"/>
              <w:rPr>
                <w:sz w:val="10"/>
                <w:szCs w:val="10"/>
                <w:color w:val="auto"/>
              </w:rPr>
            </w:pP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Borders>
              <w:right w:val="single" w:sz="8" w:color="47829E"/>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78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66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or Base</w:t>
            </w:r>
          </w:p>
        </w:tc>
        <w:tc>
          <w:tcPr>
            <w:tcW w:w="900" w:type="dxa"/>
            <w:vAlign w:val="bottom"/>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Grant Date</w:t>
            </w: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Borders>
              <w:right w:val="single" w:sz="8" w:color="47829E"/>
            </w:tcBorders>
            <w:gridSpan w:val="5"/>
          </w:tcPr>
          <w:p>
            <w:pPr>
              <w:jc w:val="center"/>
              <w:ind w:right="12"/>
              <w:spacing w:after="0" w:line="122" w:lineRule="exact"/>
              <w:rPr>
                <w:sz w:val="20"/>
                <w:szCs w:val="20"/>
                <w:color w:val="auto"/>
              </w:rPr>
            </w:pPr>
            <w:r>
              <w:rPr>
                <w:rFonts w:ascii="Arial" w:cs="Arial" w:eastAsia="Arial" w:hAnsi="Arial"/>
                <w:sz w:val="11"/>
                <w:szCs w:val="11"/>
                <w:b w:val="1"/>
                <w:bCs w:val="1"/>
                <w:color w:val="FFFFFF"/>
                <w:w w:val="98"/>
              </w:rPr>
              <w:t>Under Equity Incentive</w:t>
            </w: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rPr>
              <w:t>Number</w:t>
            </w:r>
          </w:p>
        </w:tc>
        <w:tc>
          <w:tcPr>
            <w:tcW w:w="78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66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Price of</w:t>
            </w:r>
          </w:p>
        </w:tc>
        <w:tc>
          <w:tcPr>
            <w:tcW w:w="900" w:type="dxa"/>
            <w:vAlign w:val="bottom"/>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6"/>
              </w:rPr>
              <w:t>Fair Value of</w:t>
            </w: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1"/>
                <w:szCs w:val="11"/>
                <w:b w:val="1"/>
                <w:bCs w:val="1"/>
                <w:color w:val="FFFFFF"/>
                <w:w w:val="75"/>
              </w:rPr>
              <w:t>Plan Awards</w:t>
            </w:r>
          </w:p>
        </w:tc>
        <w:tc>
          <w:tcPr>
            <w:tcW w:w="100" w:type="dxa"/>
            <w:vAlign w:val="bottom"/>
          </w:tcPr>
          <w:p>
            <w:pPr>
              <w:spacing w:after="0"/>
              <w:rPr>
                <w:sz w:val="9"/>
                <w:szCs w:val="9"/>
                <w:color w:val="auto"/>
              </w:rPr>
            </w:pPr>
          </w:p>
        </w:tc>
        <w:tc>
          <w:tcPr>
            <w:tcW w:w="620" w:type="dxa"/>
            <w:vAlign w:val="bottom"/>
            <w:tcBorders>
              <w:right w:val="single" w:sz="8" w:color="47829E"/>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right w:val="single" w:sz="8" w:color="47829E"/>
            </w:tcBorders>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w w:val="99"/>
              </w:rPr>
              <w:t>of Shares</w:t>
            </w:r>
          </w:p>
        </w:tc>
        <w:tc>
          <w:tcPr>
            <w:tcW w:w="780" w:type="dxa"/>
            <w:vAlign w:val="bottom"/>
            <w:tcBorders>
              <w:right w:val="single" w:sz="8" w:color="47829E"/>
            </w:tcBorders>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w w:val="97"/>
              </w:rPr>
              <w:t>Underlying</w:t>
            </w:r>
          </w:p>
        </w:tc>
        <w:tc>
          <w:tcPr>
            <w:tcW w:w="660" w:type="dxa"/>
            <w:vAlign w:val="bottom"/>
            <w:tcBorders>
              <w:right w:val="single" w:sz="8" w:color="47829E"/>
            </w:tcBorders>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rPr>
              <w:t>Option</w:t>
            </w:r>
          </w:p>
        </w:tc>
        <w:tc>
          <w:tcPr>
            <w:tcW w:w="900" w:type="dxa"/>
            <w:vAlign w:val="bottom"/>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w w:val="98"/>
              </w:rPr>
              <w:t>Stock and</w:t>
            </w:r>
          </w:p>
        </w:tc>
        <w:tc>
          <w:tcPr>
            <w:tcW w:w="20" w:type="dxa"/>
            <w:vAlign w:val="bottom"/>
            <w:shd w:val="clear" w:color="auto" w:fill="47829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0" w:type="dxa"/>
            <w:vAlign w:val="bottom"/>
          </w:tcPr>
          <w:p>
            <w:pPr>
              <w:jc w:val="center"/>
              <w:spacing w:after="0"/>
              <w:rPr>
                <w:sz w:val="20"/>
                <w:szCs w:val="20"/>
                <w:color w:val="auto"/>
              </w:rPr>
            </w:pPr>
            <w:r>
              <w:rPr>
                <w:rFonts w:ascii="Arial" w:cs="Arial" w:eastAsia="Arial" w:hAnsi="Arial"/>
                <w:sz w:val="11"/>
                <w:szCs w:val="11"/>
                <w:b w:val="1"/>
                <w:bCs w:val="1"/>
                <w:color w:val="FFFFFF"/>
                <w:w w:val="97"/>
              </w:rPr>
              <w:t>Threshold</w:t>
            </w:r>
          </w:p>
        </w:tc>
        <w:tc>
          <w:tcPr>
            <w:tcW w:w="60" w:type="dxa"/>
            <w:vAlign w:val="bottom"/>
            <w:tcBorders>
              <w:right w:val="single" w:sz="8" w:color="47829E"/>
            </w:tcBorders>
          </w:tcPr>
          <w:p>
            <w:pPr>
              <w:spacing w:after="0"/>
              <w:rPr>
                <w:sz w:val="11"/>
                <w:szCs w:val="11"/>
                <w:color w:val="auto"/>
              </w:rPr>
            </w:pPr>
          </w:p>
        </w:tc>
        <w:tc>
          <w:tcPr>
            <w:tcW w:w="54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5"/>
              </w:rPr>
              <w:t>Target</w:t>
            </w:r>
          </w:p>
        </w:tc>
        <w:tc>
          <w:tcPr>
            <w:tcW w:w="100" w:type="dxa"/>
            <w:vAlign w:val="bottom"/>
          </w:tcPr>
          <w:p>
            <w:pPr>
              <w:spacing w:after="0"/>
              <w:rPr>
                <w:sz w:val="11"/>
                <w:szCs w:val="11"/>
                <w:color w:val="auto"/>
              </w:rPr>
            </w:pPr>
          </w:p>
        </w:tc>
        <w:tc>
          <w:tcPr>
            <w:tcW w:w="62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8"/>
              </w:rPr>
              <w:t>Maximum</w:t>
            </w:r>
          </w:p>
        </w:tc>
        <w:tc>
          <w:tcPr>
            <w:tcW w:w="80" w:type="dxa"/>
            <w:vAlign w:val="bottom"/>
          </w:tcPr>
          <w:p>
            <w:pPr>
              <w:spacing w:after="0"/>
              <w:rPr>
                <w:sz w:val="11"/>
                <w:szCs w:val="11"/>
                <w:color w:val="auto"/>
              </w:rPr>
            </w:pPr>
          </w:p>
        </w:tc>
        <w:tc>
          <w:tcPr>
            <w:tcW w:w="6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7"/>
              </w:rPr>
              <w:t>of Stock or</w:t>
            </w: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6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rPr>
              <w:t>Awards</w:t>
            </w:r>
          </w:p>
        </w:tc>
        <w:tc>
          <w:tcPr>
            <w:tcW w:w="900" w:type="dxa"/>
            <w:vAlign w:val="bottom"/>
            <w:shd w:val="clear" w:color="auto" w:fill="47829E"/>
          </w:tcPr>
          <w:p>
            <w:pPr>
              <w:jc w:val="center"/>
              <w:spacing w:after="0"/>
              <w:rPr>
                <w:sz w:val="20"/>
                <w:szCs w:val="20"/>
                <w:color w:val="auto"/>
              </w:rPr>
            </w:pPr>
            <w:r>
              <w:rPr>
                <w:rFonts w:ascii="Arial" w:cs="Arial" w:eastAsia="Arial" w:hAnsi="Arial"/>
                <w:sz w:val="11"/>
                <w:szCs w:val="11"/>
                <w:b w:val="1"/>
                <w:bCs w:val="1"/>
                <w:color w:val="FFFFFF"/>
              </w:rPr>
              <w:t>Option</w:t>
            </w:r>
          </w:p>
        </w:tc>
        <w:tc>
          <w:tcPr>
            <w:tcW w:w="20" w:type="dxa"/>
            <w:vAlign w:val="bottom"/>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jc w:val="center"/>
              <w:spacing w:after="0"/>
              <w:rPr>
                <w:sz w:val="20"/>
                <w:szCs w:val="20"/>
                <w:color w:val="auto"/>
              </w:rPr>
            </w:pPr>
            <w:r>
              <w:rPr>
                <w:rFonts w:ascii="Arial" w:cs="Arial" w:eastAsia="Arial" w:hAnsi="Arial"/>
                <w:sz w:val="11"/>
                <w:szCs w:val="11"/>
                <w:b w:val="1"/>
                <w:bCs w:val="1"/>
                <w:color w:val="FFFFFF"/>
                <w:w w:val="88"/>
              </w:rPr>
              <w:t>(#)</w:t>
            </w: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88"/>
              </w:rPr>
              <w:t>(#)</w:t>
            </w:r>
          </w:p>
        </w:tc>
        <w:tc>
          <w:tcPr>
            <w:tcW w:w="100" w:type="dxa"/>
            <w:vAlign w:val="bottom"/>
          </w:tcPr>
          <w:p>
            <w:pPr>
              <w:spacing w:after="0"/>
              <w:rPr>
                <w:sz w:val="12"/>
                <w:szCs w:val="12"/>
                <w:color w:val="auto"/>
              </w:rPr>
            </w:pPr>
          </w:p>
        </w:tc>
        <w:tc>
          <w:tcPr>
            <w:tcW w:w="62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rPr>
              <w:t>(#)</w:t>
            </w:r>
          </w:p>
        </w:tc>
        <w:tc>
          <w:tcPr>
            <w:tcW w:w="80" w:type="dxa"/>
            <w:vAlign w:val="bottom"/>
          </w:tcPr>
          <w:p>
            <w:pPr>
              <w:spacing w:after="0"/>
              <w:rPr>
                <w:sz w:val="12"/>
                <w:szCs w:val="12"/>
                <w:color w:val="auto"/>
              </w:rPr>
            </w:pPr>
          </w:p>
        </w:tc>
        <w:tc>
          <w:tcPr>
            <w:tcW w:w="6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9"/>
              </w:rPr>
              <w:t>Units (#)</w:t>
            </w: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rPr>
              <w:t>(#)</w:t>
            </w:r>
          </w:p>
        </w:tc>
        <w:tc>
          <w:tcPr>
            <w:tcW w:w="6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8"/>
              </w:rPr>
              <w:t>($/Sh)</w:t>
            </w:r>
          </w:p>
        </w:tc>
        <w:tc>
          <w:tcPr>
            <w:tcW w:w="900" w:type="dxa"/>
            <w:vAlign w:val="bottom"/>
            <w:shd w:val="clear" w:color="auto" w:fill="47829E"/>
          </w:tcPr>
          <w:p>
            <w:pPr>
              <w:jc w:val="center"/>
              <w:spacing w:after="0"/>
              <w:rPr>
                <w:sz w:val="20"/>
                <w:szCs w:val="20"/>
                <w:color w:val="auto"/>
              </w:rPr>
            </w:pPr>
            <w:r>
              <w:rPr>
                <w:rFonts w:ascii="Arial" w:cs="Arial" w:eastAsia="Arial" w:hAnsi="Arial"/>
                <w:sz w:val="11"/>
                <w:szCs w:val="11"/>
                <w:b w:val="1"/>
                <w:bCs w:val="1"/>
                <w:color w:val="FFFFFF"/>
                <w:w w:val="98"/>
              </w:rPr>
              <w:t>Awards</w:t>
            </w:r>
            <w:r>
              <w:rPr>
                <w:rFonts w:ascii="Arial" w:cs="Arial" w:eastAsia="Arial" w:hAnsi="Arial"/>
                <w:sz w:val="9"/>
                <w:szCs w:val="9"/>
                <w:b w:val="1"/>
                <w:bCs w:val="1"/>
                <w:color w:val="FFFFFF"/>
                <w:w w:val="98"/>
              </w:rPr>
              <w:t>7</w:t>
            </w:r>
          </w:p>
        </w:tc>
        <w:tc>
          <w:tcPr>
            <w:tcW w:w="20" w:type="dxa"/>
            <w:vAlign w:val="bottom"/>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jc w:val="center"/>
              <w:spacing w:after="0"/>
              <w:rPr>
                <w:sz w:val="20"/>
                <w:szCs w:val="20"/>
                <w:color w:val="auto"/>
              </w:rPr>
            </w:pPr>
            <w:r>
              <w:rPr>
                <w:rFonts w:ascii="Arial" w:cs="Arial" w:eastAsia="Arial" w:hAnsi="Arial"/>
                <w:sz w:val="11"/>
                <w:szCs w:val="11"/>
                <w:b w:val="1"/>
                <w:bCs w:val="1"/>
                <w:color w:val="FFFFFF"/>
              </w:rPr>
              <w:t>(f)</w:t>
            </w:r>
          </w:p>
        </w:tc>
        <w:tc>
          <w:tcPr>
            <w:tcW w:w="60" w:type="dxa"/>
            <w:vAlign w:val="bottom"/>
          </w:tcPr>
          <w:p>
            <w:pPr>
              <w:spacing w:after="0"/>
              <w:rPr>
                <w:sz w:val="12"/>
                <w:szCs w:val="12"/>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FFFFFF"/>
                <w:w w:val="99"/>
              </w:rPr>
              <w:t>(g)</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FFFFFF"/>
                <w:w w:val="99"/>
              </w:rPr>
              <w:t>(h)</w:t>
            </w:r>
          </w:p>
        </w:tc>
        <w:tc>
          <w:tcPr>
            <w:tcW w:w="6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5"/>
              </w:rPr>
              <w:t>(i)</w:t>
            </w: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5"/>
              </w:rPr>
              <w:t>(j)</w:t>
            </w:r>
          </w:p>
        </w:tc>
        <w:tc>
          <w:tcPr>
            <w:tcW w:w="6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88"/>
              </w:rPr>
              <w:t>(k)</w:t>
            </w:r>
          </w:p>
        </w:tc>
        <w:tc>
          <w:tcPr>
            <w:tcW w:w="900" w:type="dxa"/>
            <w:vAlign w:val="bottom"/>
            <w:shd w:val="clear" w:color="auto" w:fill="47829E"/>
          </w:tcPr>
          <w:p>
            <w:pPr>
              <w:jc w:val="center"/>
              <w:ind w:right="10"/>
              <w:spacing w:after="0"/>
              <w:rPr>
                <w:sz w:val="20"/>
                <w:szCs w:val="20"/>
                <w:color w:val="auto"/>
              </w:rPr>
            </w:pPr>
            <w:r>
              <w:rPr>
                <w:rFonts w:ascii="Arial" w:cs="Arial" w:eastAsia="Arial" w:hAnsi="Arial"/>
                <w:sz w:val="11"/>
                <w:szCs w:val="11"/>
                <w:b w:val="1"/>
                <w:bCs w:val="1"/>
                <w:color w:val="FFFFFF"/>
                <w:w w:val="95"/>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1,806</w:t>
            </w: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3,612</w:t>
            </w:r>
          </w:p>
        </w:tc>
        <w:tc>
          <w:tcPr>
            <w:tcW w:w="100" w:type="dxa"/>
            <w:vAlign w:val="bottom"/>
          </w:tcPr>
          <w:p>
            <w:pPr>
              <w:spacing w:after="0"/>
              <w:rPr>
                <w:sz w:val="16"/>
                <w:szCs w:val="16"/>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7,224</w:t>
            </w:r>
          </w:p>
        </w:tc>
        <w:tc>
          <w:tcPr>
            <w:tcW w:w="80" w:type="dxa"/>
            <w:vAlign w:val="bottom"/>
          </w:tcPr>
          <w:p>
            <w:pPr>
              <w:spacing w:after="0"/>
              <w:rPr>
                <w:sz w:val="16"/>
                <w:szCs w:val="16"/>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4,666</w:t>
            </w:r>
          </w:p>
        </w:tc>
        <w:tc>
          <w:tcPr>
            <w:tcW w:w="780" w:type="dxa"/>
            <w:vAlign w:val="bottom"/>
            <w:tcBorders>
              <w:right w:val="single" w:sz="8" w:color="47829E"/>
            </w:tcBorders>
          </w:tcPr>
          <w:p>
            <w:pPr>
              <w:spacing w:after="0"/>
              <w:rPr>
                <w:sz w:val="16"/>
                <w:szCs w:val="16"/>
                <w:color w:val="auto"/>
              </w:rPr>
            </w:pPr>
          </w:p>
        </w:tc>
        <w:tc>
          <w:tcPr>
            <w:tcW w:w="660" w:type="dxa"/>
            <w:vAlign w:val="bottom"/>
            <w:tcBorders>
              <w:right w:val="single" w:sz="8" w:color="47829E"/>
            </w:tcBorders>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580,497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40" w:type="dxa"/>
            <w:vAlign w:val="bottom"/>
            <w:vMerge w:val="continue"/>
          </w:tcPr>
          <w:p>
            <w:pPr>
              <w:spacing w:after="0"/>
              <w:rPr>
                <w:sz w:val="13"/>
                <w:szCs w:val="13"/>
                <w:color w:val="auto"/>
              </w:rPr>
            </w:pPr>
          </w:p>
        </w:tc>
        <w:tc>
          <w:tcPr>
            <w:tcW w:w="60" w:type="dxa"/>
            <w:vAlign w:val="bottom"/>
            <w:tcBorders>
              <w:right w:val="single" w:sz="8" w:color="47829E"/>
            </w:tcBorders>
          </w:tcPr>
          <w:p>
            <w:pPr>
              <w:spacing w:after="0"/>
              <w:rPr>
                <w:sz w:val="13"/>
                <w:szCs w:val="13"/>
                <w:color w:val="auto"/>
              </w:rPr>
            </w:pPr>
          </w:p>
        </w:tc>
        <w:tc>
          <w:tcPr>
            <w:tcW w:w="540" w:type="dxa"/>
            <w:vAlign w:val="bottom"/>
            <w:tcBorders>
              <w:right w:val="single" w:sz="8" w:color="47829E"/>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right w:val="single" w:sz="8" w:color="47829E"/>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6,340</w:t>
            </w:r>
          </w:p>
        </w:tc>
        <w:tc>
          <w:tcPr>
            <w:tcW w:w="780" w:type="dxa"/>
            <w:vAlign w:val="bottom"/>
            <w:tcBorders>
              <w:right w:val="single" w:sz="8" w:color="47829E"/>
            </w:tcBorders>
          </w:tcPr>
          <w:p>
            <w:pPr>
              <w:spacing w:after="0"/>
              <w:rPr>
                <w:sz w:val="13"/>
                <w:szCs w:val="13"/>
                <w:color w:val="auto"/>
              </w:rPr>
            </w:pPr>
          </w:p>
        </w:tc>
        <w:tc>
          <w:tcPr>
            <w:tcW w:w="660" w:type="dxa"/>
            <w:vAlign w:val="bottom"/>
            <w:tcBorders>
              <w:right w:val="single" w:sz="8" w:color="47829E"/>
            </w:tcBorders>
          </w:tcPr>
          <w:p>
            <w:pPr>
              <w:spacing w:after="0"/>
              <w:rPr>
                <w:sz w:val="13"/>
                <w:szCs w:val="13"/>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980,037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12,680</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731,763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971</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1,941</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3,882</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1,003</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124,783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2,025</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313,025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4,049</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233,668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810</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1,620</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3,240</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757</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94,178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1,653</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255,521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3,305</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190,732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664</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2,656</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481</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59,841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1,332</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205,901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2,663</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153,682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627</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1,253</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2,506</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680</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84,599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718</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110,988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60" w:type="dxa"/>
            <w:vAlign w:val="bottom"/>
            <w:tcBorders>
              <w:right w:val="single" w:sz="8" w:color="47829E"/>
            </w:tcBorders>
          </w:tcPr>
          <w:p>
            <w:pPr>
              <w:spacing w:after="0"/>
              <w:rPr>
                <w:sz w:val="15"/>
                <w:szCs w:val="15"/>
                <w:color w:val="auto"/>
              </w:rPr>
            </w:pPr>
          </w:p>
        </w:tc>
        <w:tc>
          <w:tcPr>
            <w:tcW w:w="540" w:type="dxa"/>
            <w:vAlign w:val="bottom"/>
            <w:tcBorders>
              <w:right w:val="single" w:sz="8" w:color="47829E"/>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right w:val="single" w:sz="8" w:color="47829E"/>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47829E"/>
            </w:tcBorders>
          </w:tcPr>
          <w:p>
            <w:pPr>
              <w:spacing w:after="0"/>
              <w:rPr>
                <w:sz w:val="15"/>
                <w:szCs w:val="15"/>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1,435</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82,814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6300" w:space="200"/>
            <w:col w:w="4940"/>
          </w:cols>
          <w:pgMar w:left="240" w:top="287" w:right="219" w:bottom="1440" w:gutter="0" w:footer="0" w:header="0"/>
          <w:type w:val="continuous"/>
        </w:sectPr>
      </w:pPr>
    </w:p>
    <w:p>
      <w:pPr>
        <w:ind w:left="340" w:right="20" w:hanging="332"/>
        <w:spacing w:after="0" w:line="231" w:lineRule="auto"/>
        <w:tabs>
          <w:tab w:leader="none" w:pos="34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amounts shown in column (d) reflect the target level of annual bonus that could have been earned in 2015 that was paid in 2016 pursuant to the Executive Incentive Plan. The amounts shown in column (e) reflect the maximum level of annual bonus that could have been earned in 2015. There is no threshold amount</w:t>
      </w:r>
    </w:p>
    <w:p>
      <w:pPr>
        <w:spacing w:after="0" w:line="112" w:lineRule="exact"/>
        <w:rPr>
          <w:sz w:val="20"/>
          <w:szCs w:val="20"/>
          <w:color w:val="auto"/>
        </w:rPr>
      </w:pPr>
    </w:p>
    <w:p>
      <w:pPr>
        <w:jc w:val="right"/>
        <w:ind w:right="2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type w:val="continuous"/>
        </w:sectPr>
      </w:pPr>
    </w:p>
    <w:bookmarkStart w:id="47" w:name="page48"/>
    <w:bookmarkEnd w:id="47"/>
    <w:p>
      <w:pPr>
        <w:jc w:val="both"/>
        <w:ind w:left="34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Mandatory deferrals of payments under the Incentive Stock Plan into common stock units are included in column (e) of the Summary Compensation Table on page 42. Mr. Nye does not participate in the Executive Incentive Plan.</w:t>
      </w:r>
    </w:p>
    <w:p>
      <w:pPr>
        <w:spacing w:after="0" w:line="90" w:lineRule="exact"/>
        <w:rPr>
          <w:sz w:val="20"/>
          <w:szCs w:val="20"/>
          <w:color w:val="auto"/>
        </w:rPr>
      </w:pPr>
    </w:p>
    <w:p>
      <w:pPr>
        <w:jc w:val="both"/>
        <w:ind w:left="340" w:hanging="332"/>
        <w:spacing w:after="0" w:line="228" w:lineRule="auto"/>
        <w:tabs>
          <w:tab w:leader="none" w:pos="3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The amounts shown in column (i) include the amount of cash bonus earned in 2015 but paid in 2016 that was deferred in units of common stock under the Incentive Stock Plan. Participants in this program for 2015 were approved on May 22, 2015. These awards are discussed under the heading “</w:t>
      </w:r>
      <w:r>
        <w:rPr>
          <w:rFonts w:ascii="Arial" w:cs="Arial" w:eastAsia="Arial" w:hAnsi="Arial"/>
          <w:sz w:val="14"/>
          <w:szCs w:val="14"/>
          <w:i w:val="1"/>
          <w:iCs w:val="1"/>
          <w:color w:val="auto"/>
        </w:rPr>
        <w:t>Annual Incentive Feature: Performance-Based Stock Purchase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Plan” </w:t>
      </w:r>
      <w:r>
        <w:rPr>
          <w:rFonts w:ascii="Arial" w:cs="Arial" w:eastAsia="Arial" w:hAnsi="Arial"/>
          <w:sz w:val="14"/>
          <w:szCs w:val="14"/>
          <w:color w:val="auto"/>
        </w:rPr>
        <w:t>on page 37. These awards are also included in columns (d) and (e) of this table and the Summary Compensation Table on page 42.</w:t>
      </w:r>
    </w:p>
    <w:p>
      <w:pPr>
        <w:spacing w:after="0" w:line="108" w:lineRule="exact"/>
        <w:rPr>
          <w:sz w:val="20"/>
          <w:szCs w:val="20"/>
          <w:color w:val="auto"/>
        </w:rPr>
      </w:pPr>
    </w:p>
    <w:p>
      <w:pPr>
        <w:ind w:left="340" w:hanging="332"/>
        <w:spacing w:after="0" w:line="300" w:lineRule="auto"/>
        <w:tabs>
          <w:tab w:leader="none" w:pos="340" w:val="left"/>
        </w:tabs>
        <w:numPr>
          <w:ilvl w:val="0"/>
          <w:numId w:val="65"/>
        </w:numPr>
        <w:rPr>
          <w:rFonts w:ascii="Arial" w:cs="Arial" w:eastAsia="Arial" w:hAnsi="Arial"/>
          <w:sz w:val="11"/>
          <w:szCs w:val="11"/>
          <w:color w:val="auto"/>
        </w:rPr>
      </w:pPr>
      <w:r>
        <w:rPr>
          <w:rFonts w:ascii="Arial" w:cs="Arial" w:eastAsia="Arial" w:hAnsi="Arial"/>
          <w:sz w:val="12"/>
          <w:szCs w:val="12"/>
          <w:color w:val="auto"/>
        </w:rPr>
        <w:t>The amounts shown in column (i) reflect the number of shares of restricted stock units granted in 2015 to each of the named executive officers pursuant to the Stock-Based Award Plan. These awards are discussed under the heading “</w:t>
      </w:r>
      <w:r>
        <w:rPr>
          <w:rFonts w:ascii="Arial" w:cs="Arial" w:eastAsia="Arial" w:hAnsi="Arial"/>
          <w:sz w:val="12"/>
          <w:szCs w:val="12"/>
          <w:i w:val="1"/>
          <w:iCs w:val="1"/>
          <w:color w:val="auto"/>
        </w:rPr>
        <w:t>LTIP Grants”</w:t>
      </w:r>
      <w:r>
        <w:rPr>
          <w:rFonts w:ascii="Arial" w:cs="Arial" w:eastAsia="Arial" w:hAnsi="Arial"/>
          <w:sz w:val="12"/>
          <w:szCs w:val="12"/>
          <w:color w:val="auto"/>
        </w:rPr>
        <w:t xml:space="preserve"> on pages 38 to 39. These awards are also included in column (e) of the Summary Compensation Table on page 42.</w:t>
      </w:r>
    </w:p>
    <w:p>
      <w:pPr>
        <w:spacing w:after="0" w:line="74" w:lineRule="exact"/>
        <w:rPr>
          <w:sz w:val="20"/>
          <w:szCs w:val="20"/>
          <w:color w:val="auto"/>
        </w:rPr>
      </w:pPr>
    </w:p>
    <w:p>
      <w:pPr>
        <w:jc w:val="both"/>
        <w:ind w:left="340" w:hanging="332"/>
        <w:spacing w:after="0" w:line="228" w:lineRule="auto"/>
        <w:tabs>
          <w:tab w:leader="none" w:pos="3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The amounts shown in column (j) reflect the number of options to purchase shares of Martin Marietta’s common stock granted in 2015 to each of the named executive officers pursuant to the Stock-Based Award Plan. These awards are discussed under the heading “</w:t>
      </w:r>
      <w:r>
        <w:rPr>
          <w:rFonts w:ascii="Arial" w:cs="Arial" w:eastAsia="Arial" w:hAnsi="Arial"/>
          <w:sz w:val="14"/>
          <w:szCs w:val="14"/>
          <w:i w:val="1"/>
          <w:iCs w:val="1"/>
          <w:color w:val="auto"/>
        </w:rPr>
        <w:t>LTIP Grants”</w:t>
      </w:r>
      <w:r>
        <w:rPr>
          <w:rFonts w:ascii="Arial" w:cs="Arial" w:eastAsia="Arial" w:hAnsi="Arial"/>
          <w:sz w:val="14"/>
          <w:szCs w:val="14"/>
          <w:color w:val="auto"/>
        </w:rPr>
        <w:t xml:space="preserve"> on pages 38 to 39. These awards are also included in column (f) of the Summary Compensation Table on page 42.</w:t>
      </w:r>
    </w:p>
    <w:p>
      <w:pPr>
        <w:spacing w:after="0" w:line="108" w:lineRule="exact"/>
        <w:rPr>
          <w:sz w:val="20"/>
          <w:szCs w:val="20"/>
          <w:color w:val="auto"/>
        </w:rPr>
      </w:pPr>
    </w:p>
    <w:p>
      <w:pPr>
        <w:ind w:left="340" w:hanging="332"/>
        <w:spacing w:after="0" w:line="231" w:lineRule="auto"/>
        <w:tabs>
          <w:tab w:leader="none" w:pos="34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2015-2017. These awards are discussed under the heading “</w:t>
      </w:r>
      <w:r>
        <w:rPr>
          <w:rFonts w:ascii="Arial" w:cs="Arial" w:eastAsia="Arial" w:hAnsi="Arial"/>
          <w:sz w:val="14"/>
          <w:szCs w:val="14"/>
          <w:i w:val="1"/>
          <w:iCs w:val="1"/>
          <w:color w:val="auto"/>
        </w:rPr>
        <w:t>Performance Share Unit Awards</w:t>
      </w:r>
      <w:r>
        <w:rPr>
          <w:rFonts w:ascii="Arial" w:cs="Arial" w:eastAsia="Arial" w:hAnsi="Arial"/>
          <w:sz w:val="14"/>
          <w:szCs w:val="14"/>
          <w:color w:val="auto"/>
        </w:rPr>
        <w:t>” on pages 39 to 40.</w:t>
      </w:r>
    </w:p>
    <w:p>
      <w:pPr>
        <w:spacing w:after="0" w:line="109" w:lineRule="exact"/>
        <w:rPr>
          <w:sz w:val="20"/>
          <w:szCs w:val="20"/>
          <w:color w:val="auto"/>
        </w:rPr>
      </w:pPr>
    </w:p>
    <w:p>
      <w:pPr>
        <w:ind w:left="340" w:hanging="332"/>
        <w:spacing w:after="0" w:line="231" w:lineRule="auto"/>
        <w:tabs>
          <w:tab w:leader="none" w:pos="340" w:val="left"/>
        </w:tabs>
        <w:numPr>
          <w:ilvl w:val="0"/>
          <w:numId w:val="68"/>
        </w:numPr>
        <w:rPr>
          <w:rFonts w:ascii="Arial" w:cs="Arial" w:eastAsia="Arial" w:hAnsi="Arial"/>
          <w:sz w:val="11"/>
          <w:szCs w:val="11"/>
          <w:color w:val="auto"/>
        </w:rPr>
      </w:pPr>
      <w:r>
        <w:rPr>
          <w:rFonts w:ascii="Arial" w:cs="Arial" w:eastAsia="Arial" w:hAnsi="Arial"/>
          <w:sz w:val="14"/>
          <w:szCs w:val="14"/>
          <w:color w:val="auto"/>
        </w:rPr>
        <w:t>The amounts shown in column (i) reflect the number of shares of restricted stock units granted in 2015 as a one-time equity grant, with five-year cliff vesting. These awards are also included in column (e) of the Summary Compensation Table on page 42.</w:t>
      </w:r>
    </w:p>
    <w:p>
      <w:pPr>
        <w:spacing w:after="0" w:line="109" w:lineRule="exact"/>
        <w:rPr>
          <w:sz w:val="20"/>
          <w:szCs w:val="20"/>
          <w:color w:val="auto"/>
        </w:rPr>
      </w:pPr>
    </w:p>
    <w:p>
      <w:pPr>
        <w:ind w:left="340" w:hanging="332"/>
        <w:spacing w:after="0" w:line="231" w:lineRule="auto"/>
        <w:tabs>
          <w:tab w:leader="none" w:pos="340" w:val="left"/>
        </w:tabs>
        <w:numPr>
          <w:ilvl w:val="0"/>
          <w:numId w:val="69"/>
        </w:numPr>
        <w:rPr>
          <w:rFonts w:ascii="Arial" w:cs="Arial" w:eastAsia="Arial" w:hAnsi="Arial"/>
          <w:sz w:val="11"/>
          <w:szCs w:val="11"/>
          <w:color w:val="auto"/>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42.</w:t>
      </w:r>
    </w:p>
    <w:p>
      <w:pPr>
        <w:sectPr>
          <w:pgSz w:w="11900" w:h="16838" w:orient="portrait"/>
          <w:cols w:equalWidth="0" w:num="1">
            <w:col w:w="11420"/>
          </w:cols>
          <w:pgMar w:left="240" w:top="287" w:right="239" w:bottom="1440" w:gutter="0" w:footer="0" w:header="0"/>
        </w:sectPr>
      </w:pPr>
    </w:p>
    <w:p>
      <w:pPr>
        <w:spacing w:after="0" w:line="2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Stock-based incentive awards have been a significant component of Martin Marietta’s management compensation. In 1998, the Board of Directors adopted and Martin Marietta’s shareholders approved the Stock-Based Award Plan. In 2006, the shareholders approved amendments to the plan increasing the number of shares of Martin Marietta’s common stock available for restricted stock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The plan also provides for the automatic grant of non-qualified stock options to non-employee Directors of Martin Marietta on an annual basis, or as otherwise determined by the Board of Directors. Since 2005, Martin Marietta’s long-term compensation program consists of a mix of options and restricted stock units for senior level employees and restricted stock for other select employees.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awards granted in 2015 were based on the achievement by Martin Marietta of performance measures described under “</w:t>
      </w:r>
      <w:r>
        <w:rPr>
          <w:rFonts w:ascii="Arial" w:cs="Arial" w:eastAsia="Arial" w:hAnsi="Arial"/>
          <w:sz w:val="17"/>
          <w:szCs w:val="17"/>
          <w:i w:val="1"/>
          <w:iCs w:val="1"/>
          <w:color w:val="auto"/>
        </w:rPr>
        <w:t>LTIP Grants”</w:t>
      </w:r>
      <w:r>
        <w:rPr>
          <w:rFonts w:ascii="Arial" w:cs="Arial" w:eastAsia="Arial" w:hAnsi="Arial"/>
          <w:sz w:val="17"/>
          <w:szCs w:val="17"/>
          <w:color w:val="auto"/>
        </w:rPr>
        <w:t xml:space="preserve"> on pages 38 to 39.</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maximum of 5,000,000 shares of Martin Marietta’s common stock are authorized under the plan for grants to key employees. Of that amount, 1,500,000 shares are available under the Plan for restricted stock awards. Each award under the plan is evidenced by an award agreement setting forth the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204"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Stock option awards to the named executive officers are made by the Committee, upon the recommendation of management of Martin Marietta, except for Mr. Nye, for whom the Committee formulates its own decision, and may be awarded based on past performance or as incentive for future efforts. Under the applicable award agreements, the 2015 options will vest and become exercisable in four equal increments on May 22, 2016, 2017, 2018, and 2019, and expire 10 years from the date of grant. Options awarded in 2015 expire 90 days following termination of employment, except in instances following death, disability or retirement. In the event of death, all outstanding options vest immediately and will expire one year following the date of death. For options awarded in 2015,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Martin Marietta’s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835" w:lineRule="exact"/>
        <w:rPr>
          <w:sz w:val="20"/>
          <w:szCs w:val="20"/>
          <w:color w:val="auto"/>
        </w:rPr>
      </w:pPr>
    </w:p>
    <w:p>
      <w:pPr>
        <w:sectPr>
          <w:pgSz w:w="11900" w:h="16838" w:orient="portrait"/>
          <w:cols w:equalWidth="0" w:num="2">
            <w:col w:w="5480" w:space="340"/>
            <w:col w:w="5600"/>
          </w:cols>
          <w:pgMar w:left="240" w:top="287"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  </w:t>
      </w:r>
      <w:r>
        <w:rPr>
          <w:sz w:val="1"/>
          <w:szCs w:val="1"/>
          <w:color w:val="auto"/>
        </w:rPr>
        <w:drawing>
          <wp:inline distT="0" distB="0" distL="0" distR="0">
            <wp:extent cx="342900" cy="20574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87"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2015.</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40" w:type="dxa"/>
            <w:vAlign w:val="bottom"/>
            <w:tcBorders>
              <w:left w:val="single" w:sz="8" w:color="47829E"/>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2080" w:type="dxa"/>
            <w:vAlign w:val="bottom"/>
            <w:tcBorders>
              <w:right w:val="single" w:sz="8" w:color="47829E"/>
            </w:tcBorders>
            <w:gridSpan w:val="2"/>
            <w:shd w:val="clear" w:color="auto" w:fill="47829E"/>
          </w:tcPr>
          <w:p>
            <w:pPr>
              <w:ind w:left="960"/>
              <w:spacing w:after="0"/>
              <w:rPr>
                <w:sz w:val="20"/>
                <w:szCs w:val="20"/>
                <w:color w:val="auto"/>
              </w:rPr>
            </w:pPr>
            <w:r>
              <w:rPr>
                <w:rFonts w:ascii="Arial" w:cs="Arial" w:eastAsia="Arial" w:hAnsi="Arial"/>
                <w:sz w:val="12"/>
                <w:szCs w:val="12"/>
                <w:b w:val="1"/>
                <w:bCs w:val="1"/>
                <w:color w:val="FFFFFF"/>
              </w:rPr>
              <w:t>OPTION AWARDS</w:t>
            </w:r>
          </w:p>
        </w:tc>
        <w:tc>
          <w:tcPr>
            <w:tcW w:w="780" w:type="dxa"/>
            <w:vAlign w:val="bottom"/>
            <w:tcBorders>
              <w:right w:val="single" w:sz="8" w:color="47829E"/>
            </w:tcBorders>
            <w:shd w:val="clear" w:color="auto" w:fill="47829E"/>
          </w:tcPr>
          <w:p>
            <w:pPr>
              <w:spacing w:after="0"/>
              <w:rPr>
                <w:sz w:val="12"/>
                <w:szCs w:val="12"/>
                <w:color w:val="auto"/>
              </w:rPr>
            </w:pPr>
          </w:p>
        </w:tc>
        <w:tc>
          <w:tcPr>
            <w:tcW w:w="860" w:type="dxa"/>
            <w:vAlign w:val="bottom"/>
            <w:tcBorders>
              <w:right w:val="single" w:sz="8" w:color="47829E"/>
            </w:tcBorders>
            <w:shd w:val="clear" w:color="auto" w:fill="47829E"/>
          </w:tcPr>
          <w:p>
            <w:pPr>
              <w:spacing w:after="0"/>
              <w:rPr>
                <w:sz w:val="12"/>
                <w:szCs w:val="12"/>
                <w:color w:val="auto"/>
              </w:rPr>
            </w:pPr>
          </w:p>
        </w:tc>
        <w:tc>
          <w:tcPr>
            <w:tcW w:w="900" w:type="dxa"/>
            <w:vAlign w:val="bottom"/>
            <w:tcBorders>
              <w:right w:val="single" w:sz="8" w:color="47829E"/>
            </w:tcBorders>
            <w:shd w:val="clear" w:color="auto" w:fill="47829E"/>
          </w:tcPr>
          <w:p>
            <w:pPr>
              <w:spacing w:after="0"/>
              <w:rPr>
                <w:sz w:val="12"/>
                <w:szCs w:val="12"/>
                <w:color w:val="auto"/>
              </w:rPr>
            </w:pPr>
          </w:p>
        </w:tc>
        <w:tc>
          <w:tcPr>
            <w:tcW w:w="1920" w:type="dxa"/>
            <w:vAlign w:val="bottom"/>
            <w:tcBorders>
              <w:right w:val="single" w:sz="8" w:color="47829E"/>
            </w:tcBorders>
            <w:gridSpan w:val="2"/>
            <w:shd w:val="clear" w:color="auto" w:fill="47829E"/>
          </w:tcPr>
          <w:p>
            <w:pPr>
              <w:jc w:val="right"/>
              <w:ind w:right="317"/>
              <w:spacing w:after="0"/>
              <w:rPr>
                <w:sz w:val="20"/>
                <w:szCs w:val="20"/>
                <w:color w:val="auto"/>
              </w:rPr>
            </w:pPr>
            <w:r>
              <w:rPr>
                <w:rFonts w:ascii="Arial" w:cs="Arial" w:eastAsia="Arial" w:hAnsi="Arial"/>
                <w:sz w:val="12"/>
                <w:szCs w:val="12"/>
                <w:b w:val="1"/>
                <w:bCs w:val="1"/>
                <w:color w:val="FFFFFF"/>
              </w:rPr>
              <w:t>STOCK AWARDS</w:t>
            </w:r>
          </w:p>
        </w:tc>
        <w:tc>
          <w:tcPr>
            <w:tcW w:w="1140" w:type="dxa"/>
            <w:vAlign w:val="bottom"/>
            <w:tcBorders>
              <w:right w:val="single" w:sz="8" w:color="47829E"/>
            </w:tcBorders>
            <w:vMerge w:val="restart"/>
            <w:shd w:val="clear" w:color="auto" w:fill="47829E"/>
          </w:tcPr>
          <w:p>
            <w:pPr>
              <w:jc w:val="center"/>
              <w:spacing w:after="0"/>
              <w:rPr>
                <w:sz w:val="20"/>
                <w:szCs w:val="20"/>
                <w:color w:val="auto"/>
              </w:rPr>
            </w:pPr>
            <w:r>
              <w:rPr>
                <w:rFonts w:ascii="Arial" w:cs="Arial" w:eastAsia="Arial" w:hAnsi="Arial"/>
                <w:sz w:val="12"/>
                <w:szCs w:val="12"/>
                <w:b w:val="1"/>
                <w:bCs w:val="1"/>
                <w:color w:val="FFFFFF"/>
                <w:w w:val="98"/>
              </w:rPr>
              <w:t>Equity</w:t>
            </w:r>
          </w:p>
        </w:tc>
        <w:tc>
          <w:tcPr>
            <w:tcW w:w="0" w:type="dxa"/>
            <w:vAlign w:val="bottom"/>
          </w:tcPr>
          <w:p>
            <w:pPr>
              <w:spacing w:after="0"/>
              <w:rPr>
                <w:sz w:val="1"/>
                <w:szCs w:val="1"/>
                <w:color w:val="auto"/>
              </w:rPr>
            </w:pPr>
          </w:p>
        </w:tc>
      </w:tr>
      <w:tr>
        <w:trPr>
          <w:trHeight w:val="137"/>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vMerge w:val="continue"/>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9"/>
              </w:rPr>
              <w:t>Incentive Plan</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8"/>
              </w:rPr>
              <w:t>Equity</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jc w:val="center"/>
              <w:ind w:left="37"/>
              <w:spacing w:after="0" w:line="135" w:lineRule="exact"/>
              <w:rPr>
                <w:sz w:val="20"/>
                <w:szCs w:val="20"/>
                <w:color w:val="auto"/>
              </w:rPr>
            </w:pPr>
            <w:r>
              <w:rPr>
                <w:rFonts w:ascii="Arial" w:cs="Arial" w:eastAsia="Arial" w:hAnsi="Arial"/>
                <w:sz w:val="12"/>
                <w:szCs w:val="12"/>
                <w:b w:val="1"/>
                <w:bCs w:val="1"/>
                <w:color w:val="FFFFFF"/>
                <w:w w:val="98"/>
              </w:rPr>
              <w:t>Equity</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6"/>
              </w:rPr>
              <w:t>Incentive Plan</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8"/>
              </w:rPr>
              <w:t>Market</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6"/>
              </w:rPr>
              <w:t>Incentive Plan</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Market or</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7"/>
              </w:rPr>
              <w:t>Awards:</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8"/>
              </w:rPr>
              <w:t>Value of</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7"/>
              </w:rPr>
              <w:t>Awards:</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5"/>
              </w:rPr>
              <w:t>Payout Value</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6"/>
              </w:rPr>
              <w:t>Number of</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6"/>
              </w:rPr>
              <w:t>Number</w:t>
            </w: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7"/>
              </w:rPr>
              <w:t>Shares or</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or Unearned</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10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7"/>
              </w:rPr>
              <w:t>of Shares or</w:t>
            </w:r>
          </w:p>
        </w:tc>
        <w:tc>
          <w:tcPr>
            <w:tcW w:w="7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8"/>
              </w:rPr>
              <w:t>Units of</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7"/>
              </w:rPr>
              <w:t>Unearned</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Shares, Units</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10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8"/>
              </w:rPr>
              <w:t>Units of</w:t>
            </w:r>
          </w:p>
        </w:tc>
        <w:tc>
          <w:tcPr>
            <w:tcW w:w="7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7"/>
              </w:rPr>
              <w:t>Stock</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6"/>
              </w:rPr>
              <w:t>Shares, Units</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9"/>
              </w:rPr>
              <w:t>or</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78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8"/>
              </w:rPr>
              <w:t>Option</w:t>
            </w: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7"/>
              </w:rPr>
              <w:t>Stock</w:t>
            </w:r>
          </w:p>
        </w:tc>
        <w:tc>
          <w:tcPr>
            <w:tcW w:w="7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7"/>
              </w:rPr>
              <w:t>That Have</w:t>
            </w:r>
          </w:p>
        </w:tc>
        <w:tc>
          <w:tcPr>
            <w:tcW w:w="1140" w:type="dxa"/>
            <w:vAlign w:val="bottom"/>
            <w:tcBorders>
              <w:right w:val="single" w:sz="8" w:color="47829E"/>
            </w:tcBorders>
            <w:shd w:val="clear" w:color="auto" w:fill="47829E"/>
          </w:tcPr>
          <w:p>
            <w:pPr>
              <w:jc w:val="center"/>
              <w:ind w:left="37"/>
              <w:spacing w:after="0" w:line="135" w:lineRule="exact"/>
              <w:rPr>
                <w:sz w:val="20"/>
                <w:szCs w:val="20"/>
                <w:color w:val="auto"/>
              </w:rPr>
            </w:pPr>
            <w:r>
              <w:rPr>
                <w:rFonts w:ascii="Arial" w:cs="Arial" w:eastAsia="Arial" w:hAnsi="Arial"/>
                <w:sz w:val="12"/>
                <w:szCs w:val="12"/>
                <w:b w:val="1"/>
                <w:bCs w:val="1"/>
                <w:color w:val="FFFFFF"/>
                <w:w w:val="97"/>
              </w:rPr>
              <w:t>or other Rights</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Other Rights</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6"/>
              </w:rPr>
              <w:t>Options</w:t>
            </w:r>
          </w:p>
        </w:tc>
        <w:tc>
          <w:tcPr>
            <w:tcW w:w="10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6"/>
              </w:rPr>
              <w:t>Options</w:t>
            </w: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7"/>
              </w:rPr>
              <w:t>Unearned</w:t>
            </w:r>
          </w:p>
        </w:tc>
        <w:tc>
          <w:tcPr>
            <w:tcW w:w="78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7"/>
              </w:rPr>
              <w:t>Exercise</w:t>
            </w:r>
          </w:p>
        </w:tc>
        <w:tc>
          <w:tcPr>
            <w:tcW w:w="86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8"/>
              </w:rPr>
              <w:t>Option</w:t>
            </w: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7"/>
              </w:rPr>
              <w:t>That Have</w:t>
            </w:r>
          </w:p>
        </w:tc>
        <w:tc>
          <w:tcPr>
            <w:tcW w:w="780" w:type="dxa"/>
            <w:vAlign w:val="bottom"/>
            <w:tcBorders>
              <w:right w:val="single" w:sz="8" w:color="47829E"/>
            </w:tcBorders>
            <w:shd w:val="clear" w:color="auto" w:fill="47829E"/>
          </w:tcPr>
          <w:p>
            <w:pPr>
              <w:jc w:val="center"/>
              <w:ind w:left="95"/>
              <w:spacing w:after="0" w:line="135" w:lineRule="exact"/>
              <w:rPr>
                <w:sz w:val="20"/>
                <w:szCs w:val="20"/>
                <w:color w:val="auto"/>
              </w:rPr>
            </w:pPr>
            <w:r>
              <w:rPr>
                <w:rFonts w:ascii="Arial" w:cs="Arial" w:eastAsia="Arial" w:hAnsi="Arial"/>
                <w:sz w:val="12"/>
                <w:szCs w:val="12"/>
                <w:b w:val="1"/>
                <w:bCs w:val="1"/>
                <w:color w:val="FFFFFF"/>
                <w:w w:val="89"/>
              </w:rPr>
              <w:t>Not</w:t>
            </w:r>
          </w:p>
        </w:tc>
        <w:tc>
          <w:tcPr>
            <w:tcW w:w="1140" w:type="dxa"/>
            <w:vAlign w:val="bottom"/>
            <w:tcBorders>
              <w:right w:val="single" w:sz="8" w:color="47829E"/>
            </w:tcBorders>
            <w:shd w:val="clear" w:color="auto" w:fill="47829E"/>
          </w:tcPr>
          <w:p>
            <w:pPr>
              <w:jc w:val="center"/>
              <w:ind w:left="37"/>
              <w:spacing w:after="0" w:line="135" w:lineRule="exact"/>
              <w:rPr>
                <w:sz w:val="20"/>
                <w:szCs w:val="20"/>
                <w:color w:val="auto"/>
              </w:rPr>
            </w:pPr>
            <w:r>
              <w:rPr>
                <w:rFonts w:ascii="Arial" w:cs="Arial" w:eastAsia="Arial" w:hAnsi="Arial"/>
                <w:sz w:val="12"/>
                <w:szCs w:val="12"/>
                <w:b w:val="1"/>
                <w:bCs w:val="1"/>
                <w:color w:val="FFFFFF"/>
                <w:w w:val="97"/>
              </w:rPr>
              <w:t>That Have</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7"/>
              </w:rPr>
              <w:t>That Have</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5"/>
              </w:rPr>
              <w:t>(#)</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5"/>
              </w:rPr>
              <w:t>(#)</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6"/>
              </w:rPr>
              <w:t>Options</w:t>
            </w:r>
          </w:p>
        </w:tc>
        <w:tc>
          <w:tcPr>
            <w:tcW w:w="78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rPr>
              <w:t>Price</w:t>
            </w:r>
          </w:p>
        </w:tc>
        <w:tc>
          <w:tcPr>
            <w:tcW w:w="86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8"/>
              </w:rPr>
              <w:t>Expiration</w:t>
            </w: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5"/>
              </w:rPr>
              <w:t>Not Vested</w:t>
            </w:r>
          </w:p>
        </w:tc>
        <w:tc>
          <w:tcPr>
            <w:tcW w:w="780" w:type="dxa"/>
            <w:vAlign w:val="bottom"/>
            <w:tcBorders>
              <w:right w:val="single" w:sz="8" w:color="47829E"/>
            </w:tcBorders>
            <w:shd w:val="clear" w:color="auto" w:fill="47829E"/>
          </w:tcPr>
          <w:p>
            <w:pPr>
              <w:jc w:val="right"/>
              <w:ind w:right="75"/>
              <w:spacing w:after="0" w:line="135"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9"/>
                <w:szCs w:val="9"/>
                <w:b w:val="1"/>
                <w:bCs w:val="1"/>
                <w:color w:val="FFFFFF"/>
              </w:rPr>
              <w:t>1</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7"/>
              </w:rPr>
              <w:t>Not Vested</w:t>
            </w:r>
            <w:r>
              <w:rPr>
                <w:rFonts w:ascii="Arial" w:cs="Arial" w:eastAsia="Arial" w:hAnsi="Arial"/>
                <w:sz w:val="9"/>
                <w:szCs w:val="9"/>
                <w:b w:val="1"/>
                <w:bCs w:val="1"/>
                <w:color w:val="FFFFFF"/>
                <w:w w:val="97"/>
              </w:rPr>
              <w:t>2</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5"/>
              </w:rPr>
              <w:t>Not Vested</w:t>
            </w:r>
          </w:p>
        </w:tc>
        <w:tc>
          <w:tcPr>
            <w:tcW w:w="0" w:type="dxa"/>
            <w:vAlign w:val="bottom"/>
          </w:tcPr>
          <w:p>
            <w:pPr>
              <w:spacing w:after="0"/>
              <w:rPr>
                <w:sz w:val="1"/>
                <w:szCs w:val="1"/>
                <w:color w:val="auto"/>
              </w:rPr>
            </w:pPr>
          </w:p>
        </w:tc>
      </w:tr>
      <w:tr>
        <w:trPr>
          <w:trHeight w:val="160"/>
        </w:trPr>
        <w:tc>
          <w:tcPr>
            <w:tcW w:w="28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2"/>
                <w:szCs w:val="12"/>
                <w:b w:val="1"/>
                <w:bCs w:val="1"/>
                <w:color w:val="FFFFFF"/>
              </w:rPr>
              <w:t>Name</w:t>
            </w:r>
          </w:p>
        </w:tc>
        <w:tc>
          <w:tcPr>
            <w:tcW w:w="92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5"/>
              </w:rPr>
              <w:t>Exercisable</w:t>
            </w:r>
          </w:p>
        </w:tc>
        <w:tc>
          <w:tcPr>
            <w:tcW w:w="1080" w:type="dxa"/>
            <w:vAlign w:val="bottom"/>
            <w:tcBorders>
              <w:right w:val="single" w:sz="8" w:color="47829E"/>
            </w:tcBorders>
            <w:shd w:val="clear" w:color="auto" w:fill="47829E"/>
          </w:tcPr>
          <w:p>
            <w:pPr>
              <w:jc w:val="center"/>
              <w:ind w:left="55"/>
              <w:spacing w:after="0"/>
              <w:rPr>
                <w:sz w:val="20"/>
                <w:szCs w:val="20"/>
                <w:color w:val="auto"/>
              </w:rPr>
            </w:pPr>
            <w:r>
              <w:rPr>
                <w:rFonts w:ascii="Arial" w:cs="Arial" w:eastAsia="Arial" w:hAnsi="Arial"/>
                <w:sz w:val="12"/>
                <w:szCs w:val="12"/>
                <w:b w:val="1"/>
                <w:bCs w:val="1"/>
                <w:color w:val="FFFFFF"/>
                <w:w w:val="98"/>
              </w:rPr>
              <w:t>Unexercisable</w:t>
            </w:r>
          </w:p>
        </w:tc>
        <w:tc>
          <w:tcPr>
            <w:tcW w:w="1000" w:type="dxa"/>
            <w:vAlign w:val="bottom"/>
            <w:tcBorders>
              <w:right w:val="single" w:sz="8" w:color="47829E"/>
            </w:tcBorders>
            <w:shd w:val="clear" w:color="auto" w:fill="47829E"/>
          </w:tcPr>
          <w:p>
            <w:pPr>
              <w:jc w:val="center"/>
              <w:ind w:left="42"/>
              <w:spacing w:after="0"/>
              <w:rPr>
                <w:sz w:val="20"/>
                <w:szCs w:val="20"/>
                <w:color w:val="auto"/>
              </w:rPr>
            </w:pPr>
            <w:r>
              <w:rPr>
                <w:rFonts w:ascii="Arial" w:cs="Arial" w:eastAsia="Arial" w:hAnsi="Arial"/>
                <w:sz w:val="12"/>
                <w:szCs w:val="12"/>
                <w:b w:val="1"/>
                <w:bCs w:val="1"/>
                <w:color w:val="FFFFFF"/>
                <w:w w:val="95"/>
              </w:rPr>
              <w:t>(#)</w:t>
            </w:r>
          </w:p>
        </w:tc>
        <w:tc>
          <w:tcPr>
            <w:tcW w:w="78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5"/>
              </w:rPr>
              <w:t>($)</w:t>
            </w:r>
          </w:p>
        </w:tc>
        <w:tc>
          <w:tcPr>
            <w:tcW w:w="86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9"/>
              </w:rPr>
              <w:t>Date</w:t>
            </w:r>
          </w:p>
        </w:tc>
        <w:tc>
          <w:tcPr>
            <w:tcW w:w="90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5"/>
              </w:rPr>
              <w:t>(#)</w:t>
            </w:r>
          </w:p>
        </w:tc>
        <w:tc>
          <w:tcPr>
            <w:tcW w:w="780" w:type="dxa"/>
            <w:vAlign w:val="bottom"/>
            <w:tcBorders>
              <w:right w:val="single" w:sz="8" w:color="47829E"/>
            </w:tcBorders>
            <w:shd w:val="clear" w:color="auto" w:fill="47829E"/>
          </w:tcPr>
          <w:p>
            <w:pPr>
              <w:jc w:val="center"/>
              <w:ind w:left="55"/>
              <w:spacing w:after="0"/>
              <w:rPr>
                <w:sz w:val="20"/>
                <w:szCs w:val="20"/>
                <w:color w:val="auto"/>
              </w:rPr>
            </w:pPr>
            <w:r>
              <w:rPr>
                <w:rFonts w:ascii="Arial" w:cs="Arial" w:eastAsia="Arial" w:hAnsi="Arial"/>
                <w:sz w:val="12"/>
                <w:szCs w:val="12"/>
                <w:b w:val="1"/>
                <w:bCs w:val="1"/>
                <w:color w:val="FFFFFF"/>
                <w:w w:val="95"/>
              </w:rPr>
              <w:t>($)</w:t>
            </w:r>
          </w:p>
        </w:tc>
        <w:tc>
          <w:tcPr>
            <w:tcW w:w="1140" w:type="dxa"/>
            <w:vAlign w:val="bottom"/>
            <w:tcBorders>
              <w:right w:val="single" w:sz="8" w:color="47829E"/>
            </w:tcBorders>
            <w:shd w:val="clear" w:color="auto" w:fill="47829E"/>
          </w:tcPr>
          <w:p>
            <w:pPr>
              <w:jc w:val="center"/>
              <w:ind w:left="57"/>
              <w:spacing w:after="0"/>
              <w:rPr>
                <w:sz w:val="20"/>
                <w:szCs w:val="20"/>
                <w:color w:val="auto"/>
              </w:rPr>
            </w:pPr>
            <w:r>
              <w:rPr>
                <w:rFonts w:ascii="Arial" w:cs="Arial" w:eastAsia="Arial" w:hAnsi="Arial"/>
                <w:sz w:val="12"/>
                <w:szCs w:val="12"/>
                <w:b w:val="1"/>
                <w:bCs w:val="1"/>
                <w:color w:val="FFFFFF"/>
                <w:w w:val="95"/>
              </w:rPr>
              <w:t>(#)</w:t>
            </w:r>
          </w:p>
        </w:tc>
        <w:tc>
          <w:tcPr>
            <w:tcW w:w="11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ind w:left="160"/>
              <w:spacing w:after="0" w:line="135" w:lineRule="exact"/>
              <w:rPr>
                <w:sz w:val="20"/>
                <w:szCs w:val="20"/>
                <w:color w:val="auto"/>
              </w:rPr>
            </w:pPr>
            <w:r>
              <w:rPr>
                <w:rFonts w:ascii="Arial" w:cs="Arial" w:eastAsia="Arial" w:hAnsi="Arial"/>
                <w:sz w:val="12"/>
                <w:szCs w:val="12"/>
                <w:b w:val="1"/>
                <w:bCs w:val="1"/>
                <w:color w:val="FFFFFF"/>
              </w:rPr>
              <w:t>(a)</w:t>
            </w: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rPr>
              <w:t>(b)</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5"/>
              </w:rPr>
              <w:t>(c)</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rPr>
              <w:t>(d)</w:t>
            </w:r>
          </w:p>
        </w:tc>
        <w:tc>
          <w:tcPr>
            <w:tcW w:w="78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5"/>
              </w:rPr>
              <w:t>(e)</w:t>
            </w:r>
          </w:p>
        </w:tc>
        <w:tc>
          <w:tcPr>
            <w:tcW w:w="86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9"/>
              </w:rPr>
              <w:t>(f)</w:t>
            </w: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rPr>
              <w:t>(g)</w:t>
            </w: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1"/>
              </w:rPr>
              <w:t>(h)</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87"/>
              </w:rPr>
              <w:t>(i)</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rPr>
              <w:t>(j)</w:t>
            </w: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2"/>
                <w:szCs w:val="12"/>
                <w:b w:val="1"/>
                <w:bCs w:val="1"/>
                <w:color w:val="auto"/>
              </w:rPr>
              <w:t>C. Howard Nye</w:t>
            </w:r>
          </w:p>
        </w:tc>
        <w:tc>
          <w:tcPr>
            <w:tcW w:w="920" w:type="dxa"/>
            <w:vAlign w:val="bottom"/>
            <w:tcBorders>
              <w:right w:val="single" w:sz="8" w:color="47829E"/>
            </w:tcBorders>
          </w:tcPr>
          <w:p>
            <w:pPr>
              <w:jc w:val="right"/>
              <w:ind w:right="134"/>
              <w:spacing w:after="0" w:line="148" w:lineRule="exact"/>
              <w:rPr>
                <w:sz w:val="20"/>
                <w:szCs w:val="20"/>
                <w:color w:val="auto"/>
              </w:rPr>
            </w:pPr>
            <w:r>
              <w:rPr>
                <w:rFonts w:ascii="Arial" w:cs="Arial" w:eastAsia="Arial" w:hAnsi="Arial"/>
                <w:sz w:val="14"/>
                <w:szCs w:val="14"/>
                <w:color w:val="auto"/>
              </w:rPr>
              <w:t>15,707</w:t>
            </w:r>
          </w:p>
        </w:tc>
        <w:tc>
          <w:tcPr>
            <w:tcW w:w="1080" w:type="dxa"/>
            <w:vAlign w:val="bottom"/>
            <w:tcBorders>
              <w:right w:val="single" w:sz="8" w:color="47829E"/>
            </w:tcBorders>
          </w:tcPr>
          <w:p>
            <w:pPr>
              <w:jc w:val="right"/>
              <w:ind w:right="235"/>
              <w:spacing w:after="0" w:line="148"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8" w:lineRule="exact"/>
              <w:rPr>
                <w:sz w:val="20"/>
                <w:szCs w:val="20"/>
                <w:color w:val="auto"/>
              </w:rPr>
            </w:pPr>
            <w:r>
              <w:rPr>
                <w:rFonts w:ascii="Arial" w:cs="Arial" w:eastAsia="Arial" w:hAnsi="Arial"/>
                <w:sz w:val="14"/>
                <w:szCs w:val="14"/>
                <w:color w:val="auto"/>
              </w:rPr>
              <w:t>117.77</w:t>
            </w:r>
          </w:p>
        </w:tc>
        <w:tc>
          <w:tcPr>
            <w:tcW w:w="860" w:type="dxa"/>
            <w:vAlign w:val="bottom"/>
            <w:tcBorders>
              <w:right w:val="single" w:sz="8" w:color="47829E"/>
            </w:tcBorders>
          </w:tcPr>
          <w:p>
            <w:pPr>
              <w:jc w:val="center"/>
              <w:ind w:left="74"/>
              <w:spacing w:after="0" w:line="148" w:lineRule="exact"/>
              <w:rPr>
                <w:sz w:val="20"/>
                <w:szCs w:val="20"/>
                <w:color w:val="auto"/>
              </w:rPr>
            </w:pPr>
            <w:r>
              <w:rPr>
                <w:rFonts w:ascii="Arial" w:cs="Arial" w:eastAsia="Arial" w:hAnsi="Arial"/>
                <w:sz w:val="14"/>
                <w:szCs w:val="14"/>
                <w:color w:val="auto"/>
                <w:w w:val="96"/>
              </w:rPr>
              <w:t>5/28/2016</w:t>
            </w:r>
          </w:p>
        </w:tc>
        <w:tc>
          <w:tcPr>
            <w:tcW w:w="900" w:type="dxa"/>
            <w:vAlign w:val="bottom"/>
            <w:tcBorders>
              <w:right w:val="single" w:sz="8" w:color="47829E"/>
            </w:tcBorders>
          </w:tcPr>
          <w:p>
            <w:pPr>
              <w:jc w:val="right"/>
              <w:ind w:right="74"/>
              <w:spacing w:after="0" w:line="148" w:lineRule="exact"/>
              <w:rPr>
                <w:sz w:val="20"/>
                <w:szCs w:val="20"/>
                <w:color w:val="auto"/>
              </w:rPr>
            </w:pPr>
            <w:r>
              <w:rPr>
                <w:rFonts w:ascii="Arial" w:cs="Arial" w:eastAsia="Arial" w:hAnsi="Arial"/>
                <w:sz w:val="14"/>
                <w:szCs w:val="14"/>
                <w:color w:val="auto"/>
              </w:rPr>
              <w:t>7,238</w:t>
            </w:r>
            <w:r>
              <w:rPr>
                <w:rFonts w:ascii="Arial" w:cs="Arial" w:eastAsia="Arial" w:hAnsi="Arial"/>
                <w:sz w:val="11"/>
                <w:szCs w:val="11"/>
                <w:color w:val="auto"/>
              </w:rPr>
              <w:t>6</w:t>
            </w:r>
          </w:p>
        </w:tc>
        <w:tc>
          <w:tcPr>
            <w:tcW w:w="780" w:type="dxa"/>
            <w:vAlign w:val="bottom"/>
            <w:tcBorders>
              <w:right w:val="single" w:sz="8" w:color="47829E"/>
            </w:tcBorders>
          </w:tcPr>
          <w:p>
            <w:pPr>
              <w:jc w:val="right"/>
              <w:spacing w:after="0" w:line="148" w:lineRule="exact"/>
              <w:rPr>
                <w:sz w:val="20"/>
                <w:szCs w:val="20"/>
                <w:color w:val="auto"/>
              </w:rPr>
            </w:pPr>
            <w:r>
              <w:rPr>
                <w:rFonts w:ascii="Arial" w:cs="Arial" w:eastAsia="Arial" w:hAnsi="Arial"/>
                <w:sz w:val="14"/>
                <w:szCs w:val="14"/>
                <w:color w:val="auto"/>
              </w:rPr>
              <w:t>988,566</w:t>
            </w:r>
          </w:p>
        </w:tc>
        <w:tc>
          <w:tcPr>
            <w:tcW w:w="1140" w:type="dxa"/>
            <w:vAlign w:val="bottom"/>
            <w:tcBorders>
              <w:right w:val="single" w:sz="8" w:color="47829E"/>
            </w:tcBorders>
          </w:tcPr>
          <w:p>
            <w:pPr>
              <w:jc w:val="right"/>
              <w:ind w:right="277"/>
              <w:spacing w:after="0" w:line="148" w:lineRule="exact"/>
              <w:rPr>
                <w:sz w:val="20"/>
                <w:szCs w:val="20"/>
                <w:color w:val="auto"/>
              </w:rPr>
            </w:pPr>
            <w:r>
              <w:rPr>
                <w:rFonts w:ascii="Arial" w:cs="Arial" w:eastAsia="Arial" w:hAnsi="Arial"/>
                <w:sz w:val="14"/>
                <w:szCs w:val="14"/>
                <w:color w:val="auto"/>
              </w:rPr>
              <w:t>1,400</w:t>
            </w:r>
          </w:p>
        </w:tc>
        <w:tc>
          <w:tcPr>
            <w:tcW w:w="1140" w:type="dxa"/>
            <w:vAlign w:val="bottom"/>
            <w:tcBorders>
              <w:right w:val="single" w:sz="8" w:color="47829E"/>
            </w:tcBorders>
          </w:tcPr>
          <w:p>
            <w:pPr>
              <w:jc w:val="right"/>
              <w:ind w:right="198"/>
              <w:spacing w:after="0" w:line="148" w:lineRule="exact"/>
              <w:rPr>
                <w:sz w:val="20"/>
                <w:szCs w:val="20"/>
                <w:color w:val="auto"/>
              </w:rPr>
            </w:pPr>
            <w:r>
              <w:rPr>
                <w:rFonts w:ascii="Arial" w:cs="Arial" w:eastAsia="Arial" w:hAnsi="Arial"/>
                <w:sz w:val="14"/>
                <w:szCs w:val="14"/>
                <w:color w:val="auto"/>
              </w:rPr>
              <w:t>191,212</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15,039</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79.79</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5/27/2017</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6,792</w:t>
            </w:r>
            <w:r>
              <w:rPr>
                <w:rFonts w:ascii="Arial" w:cs="Arial" w:eastAsia="Arial" w:hAnsi="Arial"/>
                <w:sz w:val="11"/>
                <w:szCs w:val="11"/>
                <w:color w:val="auto"/>
              </w:rPr>
              <w:t>7</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927,651</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11,196</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95.27</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5/27/2018</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22,070</w:t>
            </w:r>
            <w:r>
              <w:rPr>
                <w:rFonts w:ascii="Arial" w:cs="Arial" w:eastAsia="Arial" w:hAnsi="Arial"/>
                <w:sz w:val="11"/>
                <w:szCs w:val="11"/>
                <w:color w:val="auto"/>
              </w:rPr>
              <w:t>8</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3,014,321</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12,609</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86.90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5/12/2019</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6,340</w:t>
            </w:r>
            <w:r>
              <w:rPr>
                <w:rFonts w:ascii="Arial" w:cs="Arial" w:eastAsia="Arial" w:hAnsi="Arial"/>
                <w:sz w:val="11"/>
                <w:szCs w:val="11"/>
                <w:color w:val="auto"/>
              </w:rPr>
              <w:t>9</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865,917</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12,240</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4,077</w:t>
            </w:r>
            <w:r>
              <w:rPr>
                <w:rFonts w:ascii="Arial" w:cs="Arial" w:eastAsia="Arial" w:hAnsi="Arial"/>
                <w:sz w:val="11"/>
                <w:szCs w:val="11"/>
                <w:color w:val="auto"/>
              </w:rPr>
              <w:t>2</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4,008</w:t>
            </w:r>
            <w:r>
              <w:rPr>
                <w:rFonts w:ascii="Arial" w:cs="Arial" w:eastAsia="Arial" w:hAnsi="Arial"/>
                <w:sz w:val="11"/>
                <w:szCs w:val="11"/>
                <w:color w:val="auto"/>
              </w:rPr>
              <w:t>10</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547,413</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7,238</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7,237</w:t>
            </w:r>
            <w:r>
              <w:rPr>
                <w:rFonts w:ascii="Arial" w:cs="Arial" w:eastAsia="Arial" w:hAnsi="Arial"/>
                <w:sz w:val="11"/>
                <w:szCs w:val="11"/>
                <w:color w:val="auto"/>
              </w:rPr>
              <w:t>3</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6,335</w:t>
            </w:r>
            <w:r>
              <w:rPr>
                <w:rFonts w:ascii="Arial" w:cs="Arial" w:eastAsia="Arial" w:hAnsi="Arial"/>
                <w:sz w:val="11"/>
                <w:szCs w:val="11"/>
                <w:color w:val="auto"/>
              </w:rPr>
              <w:t>11</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865,917</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3,396</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10,188</w:t>
            </w:r>
            <w:r>
              <w:rPr>
                <w:rFonts w:ascii="Arial" w:cs="Arial" w:eastAsia="Arial" w:hAnsi="Arial"/>
                <w:sz w:val="11"/>
                <w:szCs w:val="11"/>
                <w:color w:val="auto"/>
              </w:rPr>
              <w:t>4</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47829E"/>
              <w:right w:val="single" w:sz="8" w:color="47829E"/>
            </w:tcBorders>
          </w:tcPr>
          <w:p>
            <w:pPr>
              <w:spacing w:after="0"/>
              <w:rPr>
                <w:sz w:val="14"/>
                <w:szCs w:val="14"/>
                <w:color w:val="auto"/>
              </w:rPr>
            </w:pPr>
          </w:p>
        </w:tc>
        <w:tc>
          <w:tcPr>
            <w:tcW w:w="920" w:type="dxa"/>
            <w:vAlign w:val="bottom"/>
            <w:tcBorders>
              <w:right w:val="single" w:sz="8" w:color="47829E"/>
            </w:tcBorders>
          </w:tcPr>
          <w:p>
            <w:pPr>
              <w:jc w:val="right"/>
              <w:ind w:right="134"/>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jc w:val="right"/>
              <w:ind w:right="175"/>
              <w:spacing w:after="0"/>
              <w:rPr>
                <w:sz w:val="20"/>
                <w:szCs w:val="20"/>
                <w:color w:val="auto"/>
              </w:rPr>
            </w:pPr>
            <w:r>
              <w:rPr>
                <w:rFonts w:ascii="Arial" w:cs="Arial" w:eastAsia="Arial" w:hAnsi="Arial"/>
                <w:sz w:val="14"/>
                <w:szCs w:val="14"/>
                <w:color w:val="auto"/>
              </w:rPr>
              <w:t>12,680</w:t>
            </w:r>
            <w:r>
              <w:rPr>
                <w:rFonts w:ascii="Arial" w:cs="Arial" w:eastAsia="Arial" w:hAnsi="Arial"/>
                <w:sz w:val="11"/>
                <w:szCs w:val="11"/>
                <w:color w:val="auto"/>
              </w:rPr>
              <w:t>5</w:t>
            </w:r>
          </w:p>
        </w:tc>
        <w:tc>
          <w:tcPr>
            <w:tcW w:w="10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jc w:val="right"/>
              <w:ind w:right="54"/>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tcPr>
          <w:p>
            <w:pPr>
              <w:jc w:val="center"/>
              <w:ind w:left="74"/>
              <w:spacing w:after="0"/>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2"/>
                <w:szCs w:val="12"/>
                <w:b w:val="1"/>
                <w:bCs w:val="1"/>
                <w:color w:val="auto"/>
              </w:rPr>
              <w:t>Anne H. Lloyd</w:t>
            </w:r>
          </w:p>
        </w:tc>
        <w:tc>
          <w:tcPr>
            <w:tcW w:w="920" w:type="dxa"/>
            <w:vAlign w:val="bottom"/>
            <w:tcBorders>
              <w:right w:val="single" w:sz="8" w:color="47829E"/>
            </w:tcBorders>
            <w:shd w:val="clear" w:color="auto" w:fill="DAE6EB"/>
          </w:tcPr>
          <w:p>
            <w:pPr>
              <w:jc w:val="right"/>
              <w:ind w:right="134"/>
              <w:spacing w:after="0" w:line="148" w:lineRule="exact"/>
              <w:rPr>
                <w:sz w:val="20"/>
                <w:szCs w:val="20"/>
                <w:color w:val="auto"/>
              </w:rPr>
            </w:pPr>
            <w:r>
              <w:rPr>
                <w:rFonts w:ascii="Arial" w:cs="Arial" w:eastAsia="Arial" w:hAnsi="Arial"/>
                <w:sz w:val="14"/>
                <w:szCs w:val="14"/>
                <w:color w:val="auto"/>
              </w:rPr>
              <w:t>10,263</w:t>
            </w:r>
          </w:p>
        </w:tc>
        <w:tc>
          <w:tcPr>
            <w:tcW w:w="1080" w:type="dxa"/>
            <w:vAlign w:val="bottom"/>
            <w:tcBorders>
              <w:right w:val="single" w:sz="8" w:color="47829E"/>
            </w:tcBorders>
            <w:shd w:val="clear" w:color="auto" w:fill="DAE6EB"/>
          </w:tcPr>
          <w:p>
            <w:pPr>
              <w:jc w:val="right"/>
              <w:ind w:right="235"/>
              <w:spacing w:after="0" w:line="148"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8" w:lineRule="exact"/>
              <w:rPr>
                <w:sz w:val="20"/>
                <w:szCs w:val="20"/>
                <w:color w:val="auto"/>
              </w:rPr>
            </w:pPr>
            <w:r>
              <w:rPr>
                <w:rFonts w:ascii="Arial" w:cs="Arial" w:eastAsia="Arial" w:hAnsi="Arial"/>
                <w:sz w:val="14"/>
                <w:szCs w:val="14"/>
                <w:color w:val="auto"/>
              </w:rPr>
              <w:t>117.77</w:t>
            </w:r>
          </w:p>
        </w:tc>
        <w:tc>
          <w:tcPr>
            <w:tcW w:w="860" w:type="dxa"/>
            <w:vAlign w:val="bottom"/>
            <w:tcBorders>
              <w:right w:val="single" w:sz="8" w:color="47829E"/>
            </w:tcBorders>
            <w:shd w:val="clear" w:color="auto" w:fill="DAE6EB"/>
          </w:tcPr>
          <w:p>
            <w:pPr>
              <w:jc w:val="center"/>
              <w:ind w:left="74"/>
              <w:spacing w:after="0" w:line="148" w:lineRule="exact"/>
              <w:rPr>
                <w:sz w:val="20"/>
                <w:szCs w:val="20"/>
                <w:color w:val="auto"/>
              </w:rPr>
            </w:pPr>
            <w:r>
              <w:rPr>
                <w:rFonts w:ascii="Arial" w:cs="Arial" w:eastAsia="Arial" w:hAnsi="Arial"/>
                <w:sz w:val="14"/>
                <w:szCs w:val="14"/>
                <w:color w:val="auto"/>
                <w:w w:val="96"/>
              </w:rPr>
              <w:t>5/28/2016</w:t>
            </w:r>
          </w:p>
        </w:tc>
        <w:tc>
          <w:tcPr>
            <w:tcW w:w="900" w:type="dxa"/>
            <w:vAlign w:val="bottom"/>
            <w:tcBorders>
              <w:right w:val="single" w:sz="8" w:color="47829E"/>
            </w:tcBorders>
            <w:shd w:val="clear" w:color="auto" w:fill="DAE6EB"/>
          </w:tcPr>
          <w:p>
            <w:pPr>
              <w:jc w:val="right"/>
              <w:ind w:right="74"/>
              <w:spacing w:after="0" w:line="148" w:lineRule="exact"/>
              <w:rPr>
                <w:sz w:val="20"/>
                <w:szCs w:val="20"/>
                <w:color w:val="auto"/>
              </w:rPr>
            </w:pPr>
            <w:r>
              <w:rPr>
                <w:rFonts w:ascii="Arial" w:cs="Arial" w:eastAsia="Arial" w:hAnsi="Arial"/>
                <w:sz w:val="14"/>
                <w:szCs w:val="14"/>
                <w:color w:val="auto"/>
              </w:rPr>
              <w:t>2,453</w:t>
            </w:r>
            <w:r>
              <w:rPr>
                <w:rFonts w:ascii="Arial" w:cs="Arial" w:eastAsia="Arial" w:hAnsi="Arial"/>
                <w:sz w:val="11"/>
                <w:szCs w:val="11"/>
                <w:color w:val="auto"/>
              </w:rPr>
              <w:t>6</w:t>
            </w:r>
          </w:p>
        </w:tc>
        <w:tc>
          <w:tcPr>
            <w:tcW w:w="780" w:type="dxa"/>
            <w:vAlign w:val="bottom"/>
            <w:tcBorders>
              <w:right w:val="single" w:sz="8" w:color="47829E"/>
            </w:tcBorders>
            <w:shd w:val="clear" w:color="auto" w:fill="DAE6EB"/>
          </w:tcPr>
          <w:p>
            <w:pPr>
              <w:jc w:val="right"/>
              <w:spacing w:after="0" w:line="148" w:lineRule="exact"/>
              <w:rPr>
                <w:sz w:val="20"/>
                <w:szCs w:val="20"/>
                <w:color w:val="auto"/>
              </w:rPr>
            </w:pPr>
            <w:r>
              <w:rPr>
                <w:rFonts w:ascii="Arial" w:cs="Arial" w:eastAsia="Arial" w:hAnsi="Arial"/>
                <w:sz w:val="14"/>
                <w:szCs w:val="14"/>
                <w:color w:val="auto"/>
              </w:rPr>
              <w:t>335,031</w:t>
            </w:r>
          </w:p>
        </w:tc>
        <w:tc>
          <w:tcPr>
            <w:tcW w:w="1140" w:type="dxa"/>
            <w:vAlign w:val="bottom"/>
            <w:tcBorders>
              <w:right w:val="single" w:sz="8" w:color="47829E"/>
            </w:tcBorders>
            <w:shd w:val="clear" w:color="auto" w:fill="DAE6EB"/>
          </w:tcPr>
          <w:p>
            <w:pPr>
              <w:jc w:val="right"/>
              <w:ind w:right="277"/>
              <w:spacing w:after="0" w:line="148" w:lineRule="exact"/>
              <w:rPr>
                <w:sz w:val="20"/>
                <w:szCs w:val="20"/>
                <w:color w:val="auto"/>
              </w:rPr>
            </w:pPr>
            <w:r>
              <w:rPr>
                <w:rFonts w:ascii="Arial" w:cs="Arial" w:eastAsia="Arial" w:hAnsi="Arial"/>
                <w:sz w:val="14"/>
                <w:szCs w:val="14"/>
                <w:color w:val="auto"/>
              </w:rPr>
              <w:t>1,806</w:t>
            </w:r>
          </w:p>
        </w:tc>
        <w:tc>
          <w:tcPr>
            <w:tcW w:w="1140" w:type="dxa"/>
            <w:vAlign w:val="bottom"/>
            <w:tcBorders>
              <w:right w:val="single" w:sz="8" w:color="47829E"/>
            </w:tcBorders>
            <w:shd w:val="clear" w:color="auto" w:fill="DAE6EB"/>
          </w:tcPr>
          <w:p>
            <w:pPr>
              <w:jc w:val="right"/>
              <w:ind w:right="198"/>
              <w:spacing w:after="0" w:line="148" w:lineRule="exact"/>
              <w:rPr>
                <w:sz w:val="20"/>
                <w:szCs w:val="20"/>
                <w:color w:val="auto"/>
              </w:rPr>
            </w:pPr>
            <w:r>
              <w:rPr>
                <w:rFonts w:ascii="Arial" w:cs="Arial" w:eastAsia="Arial" w:hAnsi="Arial"/>
                <w:sz w:val="14"/>
                <w:szCs w:val="14"/>
                <w:color w:val="auto"/>
              </w:rPr>
              <w:t>246,663</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9,060</w:t>
            </w:r>
          </w:p>
        </w:tc>
        <w:tc>
          <w:tcPr>
            <w:tcW w:w="1080" w:type="dxa"/>
            <w:vAlign w:val="bottom"/>
            <w:tcBorders>
              <w:right w:val="single" w:sz="8" w:color="47829E"/>
            </w:tcBorders>
            <w:shd w:val="clear" w:color="auto" w:fill="DAE6EB"/>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79.79</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5/27/2017</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2,302</w:t>
            </w:r>
            <w:r>
              <w:rPr>
                <w:rFonts w:ascii="Arial" w:cs="Arial" w:eastAsia="Arial" w:hAnsi="Arial"/>
                <w:sz w:val="11"/>
                <w:szCs w:val="11"/>
                <w:color w:val="auto"/>
              </w:rPr>
              <w:t>7</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314,407</w:t>
            </w:r>
          </w:p>
        </w:tc>
        <w:tc>
          <w:tcPr>
            <w:tcW w:w="1140" w:type="dxa"/>
            <w:vAlign w:val="bottom"/>
            <w:tcBorders>
              <w:right w:val="single" w:sz="8" w:color="47829E"/>
            </w:tcBorders>
            <w:shd w:val="clear" w:color="auto" w:fill="DAE6EB"/>
          </w:tcPr>
          <w:p>
            <w:pPr>
              <w:jc w:val="right"/>
              <w:ind w:right="277"/>
              <w:spacing w:after="0" w:line="149" w:lineRule="exact"/>
              <w:rPr>
                <w:sz w:val="20"/>
                <w:szCs w:val="20"/>
                <w:color w:val="auto"/>
              </w:rPr>
            </w:pPr>
            <w:r>
              <w:rPr>
                <w:rFonts w:ascii="Arial" w:cs="Arial" w:eastAsia="Arial" w:hAnsi="Arial"/>
                <w:sz w:val="14"/>
                <w:szCs w:val="14"/>
                <w:color w:val="auto"/>
              </w:rPr>
              <w:t>792</w:t>
            </w:r>
          </w:p>
        </w:tc>
        <w:tc>
          <w:tcPr>
            <w:tcW w:w="1140" w:type="dxa"/>
            <w:vAlign w:val="bottom"/>
            <w:tcBorders>
              <w:right w:val="single" w:sz="8" w:color="47829E"/>
            </w:tcBorders>
            <w:shd w:val="clear" w:color="auto" w:fill="DAE6EB"/>
          </w:tcPr>
          <w:p>
            <w:pPr>
              <w:jc w:val="right"/>
              <w:ind w:right="198"/>
              <w:spacing w:after="0" w:line="149" w:lineRule="exact"/>
              <w:rPr>
                <w:sz w:val="20"/>
                <w:szCs w:val="20"/>
                <w:color w:val="auto"/>
              </w:rPr>
            </w:pPr>
            <w:r>
              <w:rPr>
                <w:rFonts w:ascii="Arial" w:cs="Arial" w:eastAsia="Arial" w:hAnsi="Arial"/>
                <w:sz w:val="14"/>
                <w:szCs w:val="14"/>
                <w:color w:val="auto"/>
              </w:rPr>
              <w:t>108,171</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3,794</w:t>
            </w:r>
          </w:p>
        </w:tc>
        <w:tc>
          <w:tcPr>
            <w:tcW w:w="1080" w:type="dxa"/>
            <w:vAlign w:val="bottom"/>
            <w:tcBorders>
              <w:right w:val="single" w:sz="8" w:color="47829E"/>
            </w:tcBorders>
            <w:shd w:val="clear" w:color="auto" w:fill="DAE6EB"/>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95.27</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5/27/2018</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11,878</w:t>
            </w:r>
            <w:r>
              <w:rPr>
                <w:rFonts w:ascii="Arial" w:cs="Arial" w:eastAsia="Arial" w:hAnsi="Arial"/>
                <w:sz w:val="11"/>
                <w:szCs w:val="11"/>
                <w:color w:val="auto"/>
              </w:rPr>
              <w:t>8</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1,622,297</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4,274</w:t>
            </w:r>
          </w:p>
        </w:tc>
        <w:tc>
          <w:tcPr>
            <w:tcW w:w="1080" w:type="dxa"/>
            <w:vAlign w:val="bottom"/>
            <w:tcBorders>
              <w:right w:val="single" w:sz="8" w:color="47829E"/>
            </w:tcBorders>
            <w:shd w:val="clear" w:color="auto" w:fill="DAE6EB"/>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86.90</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5/12/2019</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2,025</w:t>
            </w:r>
            <w:r>
              <w:rPr>
                <w:rFonts w:ascii="Arial" w:cs="Arial" w:eastAsia="Arial" w:hAnsi="Arial"/>
                <w:sz w:val="11"/>
                <w:szCs w:val="11"/>
                <w:color w:val="auto"/>
              </w:rPr>
              <w:t>9</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276,575</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4,419</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1,381</w:t>
            </w:r>
            <w:r>
              <w:rPr>
                <w:rFonts w:ascii="Arial" w:cs="Arial" w:eastAsia="Arial" w:hAnsi="Arial"/>
                <w:sz w:val="11"/>
                <w:szCs w:val="11"/>
                <w:color w:val="auto"/>
              </w:rPr>
              <w:t>2</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937</w:t>
            </w:r>
            <w:r>
              <w:rPr>
                <w:rFonts w:ascii="Arial" w:cs="Arial" w:eastAsia="Arial" w:hAnsi="Arial"/>
                <w:sz w:val="11"/>
                <w:szCs w:val="11"/>
                <w:color w:val="auto"/>
              </w:rPr>
              <w:t>10</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127,975</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2,454</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2,451</w:t>
            </w:r>
            <w:r>
              <w:rPr>
                <w:rFonts w:ascii="Arial" w:cs="Arial" w:eastAsia="Arial" w:hAnsi="Arial"/>
                <w:sz w:val="11"/>
                <w:szCs w:val="11"/>
                <w:color w:val="auto"/>
              </w:rPr>
              <w:t>3</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1,328</w:t>
            </w:r>
            <w:r>
              <w:rPr>
                <w:rFonts w:ascii="Arial" w:cs="Arial" w:eastAsia="Arial" w:hAnsi="Arial"/>
                <w:sz w:val="11"/>
                <w:szCs w:val="11"/>
                <w:color w:val="auto"/>
              </w:rPr>
              <w:t>11</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181,378</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1,151</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3,453</w:t>
            </w:r>
            <w:r>
              <w:rPr>
                <w:rFonts w:ascii="Arial" w:cs="Arial" w:eastAsia="Arial" w:hAnsi="Arial"/>
                <w:sz w:val="11"/>
                <w:szCs w:val="11"/>
                <w:color w:val="auto"/>
              </w:rPr>
              <w:t>4</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47829E"/>
              <w:right w:val="single" w:sz="8" w:color="47829E"/>
            </w:tcBorders>
            <w:shd w:val="clear" w:color="auto" w:fill="DAE6EB"/>
          </w:tcPr>
          <w:p>
            <w:pPr>
              <w:spacing w:after="0"/>
              <w:rPr>
                <w:sz w:val="14"/>
                <w:szCs w:val="14"/>
                <w:color w:val="auto"/>
              </w:rPr>
            </w:pPr>
          </w:p>
        </w:tc>
        <w:tc>
          <w:tcPr>
            <w:tcW w:w="920" w:type="dxa"/>
            <w:vAlign w:val="bottom"/>
            <w:tcBorders>
              <w:right w:val="single" w:sz="8" w:color="47829E"/>
            </w:tcBorders>
            <w:shd w:val="clear" w:color="auto" w:fill="DAE6EB"/>
          </w:tcPr>
          <w:p>
            <w:pPr>
              <w:jc w:val="right"/>
              <w:ind w:right="134"/>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DAE6EB"/>
          </w:tcPr>
          <w:p>
            <w:pPr>
              <w:jc w:val="right"/>
              <w:ind w:right="175"/>
              <w:spacing w:after="0"/>
              <w:rPr>
                <w:sz w:val="20"/>
                <w:szCs w:val="20"/>
                <w:color w:val="auto"/>
              </w:rPr>
            </w:pPr>
            <w:r>
              <w:rPr>
                <w:rFonts w:ascii="Arial" w:cs="Arial" w:eastAsia="Arial" w:hAnsi="Arial"/>
                <w:sz w:val="14"/>
                <w:szCs w:val="14"/>
                <w:color w:val="auto"/>
              </w:rPr>
              <w:t>4,049</w:t>
            </w:r>
            <w:r>
              <w:rPr>
                <w:rFonts w:ascii="Arial" w:cs="Arial" w:eastAsia="Arial" w:hAnsi="Arial"/>
                <w:sz w:val="11"/>
                <w:szCs w:val="11"/>
                <w:color w:val="auto"/>
              </w:rPr>
              <w:t>5</w:t>
            </w:r>
          </w:p>
        </w:tc>
        <w:tc>
          <w:tcPr>
            <w:tcW w:w="1000" w:type="dxa"/>
            <w:vAlign w:val="bottom"/>
            <w:tcBorders>
              <w:right w:val="single" w:sz="8" w:color="47829E"/>
            </w:tcBorders>
            <w:shd w:val="clear" w:color="auto" w:fill="DAE6EB"/>
          </w:tcPr>
          <w:p>
            <w:pPr>
              <w:spacing w:after="0"/>
              <w:rPr>
                <w:sz w:val="14"/>
                <w:szCs w:val="14"/>
                <w:color w:val="auto"/>
              </w:rPr>
            </w:pPr>
          </w:p>
        </w:tc>
        <w:tc>
          <w:tcPr>
            <w:tcW w:w="780" w:type="dxa"/>
            <w:vAlign w:val="bottom"/>
            <w:tcBorders>
              <w:right w:val="single" w:sz="8" w:color="47829E"/>
            </w:tcBorders>
            <w:shd w:val="clear" w:color="auto" w:fill="DAE6EB"/>
          </w:tcPr>
          <w:p>
            <w:pPr>
              <w:jc w:val="right"/>
              <w:ind w:right="54"/>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shd w:val="clear" w:color="auto" w:fill="DAE6EB"/>
          </w:tcPr>
          <w:p>
            <w:pPr>
              <w:jc w:val="center"/>
              <w:ind w:left="74"/>
              <w:spacing w:after="0"/>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shd w:val="clear" w:color="auto" w:fill="DAE6EB"/>
          </w:tcPr>
          <w:p>
            <w:pPr>
              <w:spacing w:after="0"/>
              <w:rPr>
                <w:sz w:val="14"/>
                <w:szCs w:val="14"/>
                <w:color w:val="auto"/>
              </w:rPr>
            </w:pPr>
          </w:p>
        </w:tc>
        <w:tc>
          <w:tcPr>
            <w:tcW w:w="780" w:type="dxa"/>
            <w:vAlign w:val="bottom"/>
            <w:tcBorders>
              <w:right w:val="single" w:sz="8" w:color="47829E"/>
            </w:tcBorders>
            <w:shd w:val="clear" w:color="auto" w:fill="DAE6EB"/>
          </w:tcPr>
          <w:p>
            <w:pPr>
              <w:spacing w:after="0"/>
              <w:rPr>
                <w:sz w:val="14"/>
                <w:szCs w:val="14"/>
                <w:color w:val="auto"/>
              </w:rPr>
            </w:pPr>
          </w:p>
        </w:tc>
        <w:tc>
          <w:tcPr>
            <w:tcW w:w="1140" w:type="dxa"/>
            <w:vAlign w:val="bottom"/>
            <w:tcBorders>
              <w:right w:val="single" w:sz="8" w:color="47829E"/>
            </w:tcBorders>
            <w:shd w:val="clear" w:color="auto" w:fill="DAE6EB"/>
          </w:tcPr>
          <w:p>
            <w:pPr>
              <w:spacing w:after="0"/>
              <w:rPr>
                <w:sz w:val="14"/>
                <w:szCs w:val="14"/>
                <w:color w:val="auto"/>
              </w:rPr>
            </w:pPr>
          </w:p>
        </w:tc>
        <w:tc>
          <w:tcPr>
            <w:tcW w:w="1140" w:type="dxa"/>
            <w:vAlign w:val="bottom"/>
            <w:tcBorders>
              <w:right w:val="single" w:sz="8" w:color="47829E"/>
            </w:tcBorders>
            <w:shd w:val="clear" w:color="auto" w:fill="DAE6E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2"/>
                <w:szCs w:val="12"/>
                <w:b w:val="1"/>
                <w:bCs w:val="1"/>
                <w:color w:val="auto"/>
              </w:rPr>
              <w:t>Roselyn R. Bar</w:t>
            </w:r>
          </w:p>
        </w:tc>
        <w:tc>
          <w:tcPr>
            <w:tcW w:w="920" w:type="dxa"/>
            <w:vAlign w:val="bottom"/>
            <w:tcBorders>
              <w:right w:val="single" w:sz="8" w:color="47829E"/>
            </w:tcBorders>
          </w:tcPr>
          <w:p>
            <w:pPr>
              <w:jc w:val="right"/>
              <w:ind w:right="134"/>
              <w:spacing w:after="0" w:line="148" w:lineRule="exact"/>
              <w:rPr>
                <w:sz w:val="20"/>
                <w:szCs w:val="20"/>
                <w:color w:val="auto"/>
              </w:rPr>
            </w:pPr>
            <w:r>
              <w:rPr>
                <w:rFonts w:ascii="Arial" w:cs="Arial" w:eastAsia="Arial" w:hAnsi="Arial"/>
                <w:sz w:val="14"/>
                <w:szCs w:val="14"/>
                <w:color w:val="auto"/>
              </w:rPr>
              <w:t>8,377</w:t>
            </w:r>
          </w:p>
        </w:tc>
        <w:tc>
          <w:tcPr>
            <w:tcW w:w="1080" w:type="dxa"/>
            <w:vAlign w:val="bottom"/>
            <w:tcBorders>
              <w:right w:val="single" w:sz="8" w:color="47829E"/>
            </w:tcBorders>
          </w:tcPr>
          <w:p>
            <w:pPr>
              <w:jc w:val="right"/>
              <w:ind w:right="235"/>
              <w:spacing w:after="0" w:line="148"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8" w:lineRule="exact"/>
              <w:rPr>
                <w:sz w:val="20"/>
                <w:szCs w:val="20"/>
                <w:color w:val="auto"/>
              </w:rPr>
            </w:pPr>
            <w:r>
              <w:rPr>
                <w:rFonts w:ascii="Arial" w:cs="Arial" w:eastAsia="Arial" w:hAnsi="Arial"/>
                <w:sz w:val="14"/>
                <w:szCs w:val="14"/>
                <w:color w:val="auto"/>
              </w:rPr>
              <w:t>117.77</w:t>
            </w:r>
          </w:p>
        </w:tc>
        <w:tc>
          <w:tcPr>
            <w:tcW w:w="860" w:type="dxa"/>
            <w:vAlign w:val="bottom"/>
            <w:tcBorders>
              <w:right w:val="single" w:sz="8" w:color="47829E"/>
            </w:tcBorders>
          </w:tcPr>
          <w:p>
            <w:pPr>
              <w:jc w:val="center"/>
              <w:ind w:left="74"/>
              <w:spacing w:after="0" w:line="148" w:lineRule="exact"/>
              <w:rPr>
                <w:sz w:val="20"/>
                <w:szCs w:val="20"/>
                <w:color w:val="auto"/>
              </w:rPr>
            </w:pPr>
            <w:r>
              <w:rPr>
                <w:rFonts w:ascii="Arial" w:cs="Arial" w:eastAsia="Arial" w:hAnsi="Arial"/>
                <w:sz w:val="14"/>
                <w:szCs w:val="14"/>
                <w:color w:val="auto"/>
                <w:w w:val="96"/>
              </w:rPr>
              <w:t>5/28/2016</w:t>
            </w:r>
          </w:p>
        </w:tc>
        <w:tc>
          <w:tcPr>
            <w:tcW w:w="900" w:type="dxa"/>
            <w:vAlign w:val="bottom"/>
            <w:tcBorders>
              <w:right w:val="single" w:sz="8" w:color="47829E"/>
            </w:tcBorders>
          </w:tcPr>
          <w:p>
            <w:pPr>
              <w:jc w:val="right"/>
              <w:ind w:right="74"/>
              <w:spacing w:after="0" w:line="148" w:lineRule="exact"/>
              <w:rPr>
                <w:sz w:val="20"/>
                <w:szCs w:val="20"/>
                <w:color w:val="auto"/>
              </w:rPr>
            </w:pPr>
            <w:r>
              <w:rPr>
                <w:rFonts w:ascii="Arial" w:cs="Arial" w:eastAsia="Arial" w:hAnsi="Arial"/>
                <w:sz w:val="14"/>
                <w:szCs w:val="14"/>
                <w:color w:val="auto"/>
              </w:rPr>
              <w:t>2,002</w:t>
            </w:r>
            <w:r>
              <w:rPr>
                <w:rFonts w:ascii="Arial" w:cs="Arial" w:eastAsia="Arial" w:hAnsi="Arial"/>
                <w:sz w:val="11"/>
                <w:szCs w:val="11"/>
                <w:color w:val="auto"/>
              </w:rPr>
              <w:t>6</w:t>
            </w:r>
          </w:p>
        </w:tc>
        <w:tc>
          <w:tcPr>
            <w:tcW w:w="780" w:type="dxa"/>
            <w:vAlign w:val="bottom"/>
            <w:tcBorders>
              <w:right w:val="single" w:sz="8" w:color="47829E"/>
            </w:tcBorders>
          </w:tcPr>
          <w:p>
            <w:pPr>
              <w:jc w:val="right"/>
              <w:spacing w:after="0" w:line="148" w:lineRule="exact"/>
              <w:rPr>
                <w:sz w:val="20"/>
                <w:szCs w:val="20"/>
                <w:color w:val="auto"/>
              </w:rPr>
            </w:pPr>
            <w:r>
              <w:rPr>
                <w:rFonts w:ascii="Arial" w:cs="Arial" w:eastAsia="Arial" w:hAnsi="Arial"/>
                <w:sz w:val="14"/>
                <w:szCs w:val="14"/>
                <w:color w:val="auto"/>
              </w:rPr>
              <w:t>273,433</w:t>
            </w:r>
          </w:p>
        </w:tc>
        <w:tc>
          <w:tcPr>
            <w:tcW w:w="1140" w:type="dxa"/>
            <w:vAlign w:val="bottom"/>
            <w:tcBorders>
              <w:right w:val="single" w:sz="8" w:color="47829E"/>
            </w:tcBorders>
          </w:tcPr>
          <w:p>
            <w:pPr>
              <w:jc w:val="right"/>
              <w:ind w:right="277"/>
              <w:spacing w:after="0" w:line="148" w:lineRule="exact"/>
              <w:rPr>
                <w:sz w:val="20"/>
                <w:szCs w:val="20"/>
                <w:color w:val="auto"/>
              </w:rPr>
            </w:pPr>
            <w:r>
              <w:rPr>
                <w:rFonts w:ascii="Arial" w:cs="Arial" w:eastAsia="Arial" w:hAnsi="Arial"/>
                <w:sz w:val="14"/>
                <w:szCs w:val="14"/>
                <w:color w:val="auto"/>
              </w:rPr>
              <w:t>971</w:t>
            </w:r>
          </w:p>
        </w:tc>
        <w:tc>
          <w:tcPr>
            <w:tcW w:w="1140" w:type="dxa"/>
            <w:vAlign w:val="bottom"/>
            <w:tcBorders>
              <w:right w:val="single" w:sz="8" w:color="47829E"/>
            </w:tcBorders>
          </w:tcPr>
          <w:p>
            <w:pPr>
              <w:jc w:val="right"/>
              <w:ind w:right="198"/>
              <w:spacing w:after="0" w:line="148" w:lineRule="exact"/>
              <w:rPr>
                <w:sz w:val="20"/>
                <w:szCs w:val="20"/>
                <w:color w:val="auto"/>
              </w:rPr>
            </w:pPr>
            <w:r>
              <w:rPr>
                <w:rFonts w:ascii="Arial" w:cs="Arial" w:eastAsia="Arial" w:hAnsi="Arial"/>
                <w:sz w:val="14"/>
                <w:szCs w:val="14"/>
                <w:color w:val="auto"/>
              </w:rPr>
              <w:t>132,619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7,394</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79.79</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5/27/2017</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1,879</w:t>
            </w:r>
            <w:r>
              <w:rPr>
                <w:rFonts w:ascii="Arial" w:cs="Arial" w:eastAsia="Arial" w:hAnsi="Arial"/>
                <w:sz w:val="11"/>
                <w:szCs w:val="11"/>
                <w:color w:val="auto"/>
              </w:rPr>
              <w:t>7</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256,634</w:t>
            </w:r>
          </w:p>
        </w:tc>
        <w:tc>
          <w:tcPr>
            <w:tcW w:w="1140" w:type="dxa"/>
            <w:vAlign w:val="bottom"/>
            <w:tcBorders>
              <w:right w:val="single" w:sz="8" w:color="47829E"/>
            </w:tcBorders>
          </w:tcPr>
          <w:p>
            <w:pPr>
              <w:jc w:val="right"/>
              <w:ind w:right="277"/>
              <w:spacing w:after="0" w:line="149" w:lineRule="exact"/>
              <w:rPr>
                <w:sz w:val="20"/>
                <w:szCs w:val="20"/>
                <w:color w:val="auto"/>
              </w:rPr>
            </w:pPr>
            <w:r>
              <w:rPr>
                <w:rFonts w:ascii="Arial" w:cs="Arial" w:eastAsia="Arial" w:hAnsi="Arial"/>
                <w:sz w:val="14"/>
                <w:szCs w:val="14"/>
                <w:color w:val="auto"/>
              </w:rPr>
              <w:t>661</w:t>
            </w:r>
          </w:p>
        </w:tc>
        <w:tc>
          <w:tcPr>
            <w:tcW w:w="1140" w:type="dxa"/>
            <w:vAlign w:val="bottom"/>
            <w:tcBorders>
              <w:right w:val="single" w:sz="8" w:color="47829E"/>
            </w:tcBorders>
          </w:tcPr>
          <w:p>
            <w:pPr>
              <w:jc w:val="right"/>
              <w:ind w:right="198"/>
              <w:spacing w:after="0" w:line="149" w:lineRule="exact"/>
              <w:rPr>
                <w:sz w:val="20"/>
                <w:szCs w:val="20"/>
                <w:color w:val="auto"/>
              </w:rPr>
            </w:pPr>
            <w:r>
              <w:rPr>
                <w:rFonts w:ascii="Arial" w:cs="Arial" w:eastAsia="Arial" w:hAnsi="Arial"/>
                <w:sz w:val="14"/>
                <w:szCs w:val="14"/>
                <w:color w:val="auto"/>
              </w:rPr>
              <w:t>90,279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3,096</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95.27</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5/27/2018</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9,913</w:t>
            </w:r>
            <w:r>
              <w:rPr>
                <w:rFonts w:ascii="Arial" w:cs="Arial" w:eastAsia="Arial" w:hAnsi="Arial"/>
                <w:sz w:val="11"/>
                <w:szCs w:val="11"/>
                <w:color w:val="auto"/>
              </w:rPr>
              <w:t>8</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1,353,918</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3,485</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86.90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5/12/2019</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1,653</w:t>
            </w:r>
            <w:r>
              <w:rPr>
                <w:rFonts w:ascii="Arial" w:cs="Arial" w:eastAsia="Arial" w:hAnsi="Arial"/>
                <w:sz w:val="11"/>
                <w:szCs w:val="11"/>
                <w:color w:val="auto"/>
              </w:rPr>
              <w:t>9</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225,767</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3,387</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1,126</w:t>
            </w:r>
            <w:r>
              <w:rPr>
                <w:rFonts w:ascii="Arial" w:cs="Arial" w:eastAsia="Arial" w:hAnsi="Arial"/>
                <w:sz w:val="11"/>
                <w:szCs w:val="11"/>
                <w:color w:val="auto"/>
              </w:rPr>
              <w:t>2</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815</w:t>
            </w:r>
            <w:r>
              <w:rPr>
                <w:rFonts w:ascii="Arial" w:cs="Arial" w:eastAsia="Arial" w:hAnsi="Arial"/>
                <w:sz w:val="11"/>
                <w:szCs w:val="11"/>
                <w:color w:val="auto"/>
              </w:rPr>
              <w:t>10</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111,313</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2,002</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2,002</w:t>
            </w:r>
            <w:r>
              <w:rPr>
                <w:rFonts w:ascii="Arial" w:cs="Arial" w:eastAsia="Arial" w:hAnsi="Arial"/>
                <w:sz w:val="11"/>
                <w:szCs w:val="11"/>
                <w:color w:val="auto"/>
              </w:rPr>
              <w:t>3</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978</w:t>
            </w:r>
            <w:r>
              <w:rPr>
                <w:rFonts w:ascii="Arial" w:cs="Arial" w:eastAsia="Arial" w:hAnsi="Arial"/>
                <w:sz w:val="11"/>
                <w:szCs w:val="11"/>
                <w:color w:val="auto"/>
              </w:rPr>
              <w:t>11</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133,575</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940</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2,817</w:t>
            </w:r>
            <w:r>
              <w:rPr>
                <w:rFonts w:ascii="Arial" w:cs="Arial" w:eastAsia="Arial" w:hAnsi="Arial"/>
                <w:sz w:val="11"/>
                <w:szCs w:val="11"/>
                <w:color w:val="auto"/>
              </w:rPr>
              <w:t>4</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47829E"/>
              <w:right w:val="single" w:sz="8" w:color="47829E"/>
            </w:tcBorders>
          </w:tcPr>
          <w:p>
            <w:pPr>
              <w:spacing w:after="0"/>
              <w:rPr>
                <w:sz w:val="14"/>
                <w:szCs w:val="14"/>
                <w:color w:val="auto"/>
              </w:rPr>
            </w:pPr>
          </w:p>
        </w:tc>
        <w:tc>
          <w:tcPr>
            <w:tcW w:w="920" w:type="dxa"/>
            <w:vAlign w:val="bottom"/>
            <w:tcBorders>
              <w:right w:val="single" w:sz="8" w:color="47829E"/>
            </w:tcBorders>
          </w:tcPr>
          <w:p>
            <w:pPr>
              <w:jc w:val="right"/>
              <w:ind w:right="134"/>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jc w:val="right"/>
              <w:ind w:right="175"/>
              <w:spacing w:after="0"/>
              <w:rPr>
                <w:sz w:val="20"/>
                <w:szCs w:val="20"/>
                <w:color w:val="auto"/>
              </w:rPr>
            </w:pPr>
            <w:r>
              <w:rPr>
                <w:rFonts w:ascii="Arial" w:cs="Arial" w:eastAsia="Arial" w:hAnsi="Arial"/>
                <w:sz w:val="14"/>
                <w:szCs w:val="14"/>
                <w:color w:val="auto"/>
              </w:rPr>
              <w:t>3,305</w:t>
            </w:r>
            <w:r>
              <w:rPr>
                <w:rFonts w:ascii="Arial" w:cs="Arial" w:eastAsia="Arial" w:hAnsi="Arial"/>
                <w:sz w:val="11"/>
                <w:szCs w:val="11"/>
                <w:color w:val="auto"/>
              </w:rPr>
              <w:t>5</w:t>
            </w:r>
          </w:p>
        </w:tc>
        <w:tc>
          <w:tcPr>
            <w:tcW w:w="10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jc w:val="right"/>
              <w:ind w:right="54"/>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tcPr>
          <w:p>
            <w:pPr>
              <w:jc w:val="center"/>
              <w:ind w:left="74"/>
              <w:spacing w:after="0"/>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2"/>
                <w:szCs w:val="12"/>
                <w:b w:val="1"/>
                <w:bCs w:val="1"/>
                <w:color w:val="auto"/>
              </w:rPr>
              <w:t>Donald A. McCunniff</w:t>
            </w:r>
          </w:p>
        </w:tc>
        <w:tc>
          <w:tcPr>
            <w:tcW w:w="920" w:type="dxa"/>
            <w:vAlign w:val="bottom"/>
            <w:tcBorders>
              <w:right w:val="single" w:sz="8" w:color="47829E"/>
            </w:tcBorders>
            <w:shd w:val="clear" w:color="auto" w:fill="DAE6EB"/>
          </w:tcPr>
          <w:p>
            <w:pPr>
              <w:jc w:val="right"/>
              <w:ind w:right="134"/>
              <w:spacing w:after="0" w:line="148" w:lineRule="exact"/>
              <w:rPr>
                <w:sz w:val="20"/>
                <w:szCs w:val="20"/>
                <w:color w:val="auto"/>
              </w:rPr>
            </w:pPr>
            <w:r>
              <w:rPr>
                <w:rFonts w:ascii="Arial" w:cs="Arial" w:eastAsia="Arial" w:hAnsi="Arial"/>
                <w:sz w:val="14"/>
                <w:szCs w:val="14"/>
                <w:color w:val="auto"/>
              </w:rPr>
              <w:t>2,730</w:t>
            </w:r>
          </w:p>
        </w:tc>
        <w:tc>
          <w:tcPr>
            <w:tcW w:w="1080" w:type="dxa"/>
            <w:vAlign w:val="bottom"/>
            <w:tcBorders>
              <w:right w:val="single" w:sz="8" w:color="47829E"/>
            </w:tcBorders>
            <w:shd w:val="clear" w:color="auto" w:fill="DAE6EB"/>
          </w:tcPr>
          <w:p>
            <w:pPr>
              <w:jc w:val="right"/>
              <w:ind w:right="175"/>
              <w:spacing w:after="0" w:line="148" w:lineRule="exact"/>
              <w:rPr>
                <w:sz w:val="20"/>
                <w:szCs w:val="20"/>
                <w:color w:val="auto"/>
              </w:rPr>
            </w:pPr>
            <w:r>
              <w:rPr>
                <w:rFonts w:ascii="Arial" w:cs="Arial" w:eastAsia="Arial" w:hAnsi="Arial"/>
                <w:sz w:val="14"/>
                <w:szCs w:val="14"/>
                <w:color w:val="auto"/>
              </w:rPr>
              <w:t>907</w:t>
            </w:r>
            <w:r>
              <w:rPr>
                <w:rFonts w:ascii="Arial" w:cs="Arial" w:eastAsia="Arial" w:hAnsi="Arial"/>
                <w:sz w:val="11"/>
                <w:szCs w:val="11"/>
                <w:color w:val="auto"/>
              </w:rPr>
              <w:t>2</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8"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shd w:val="clear" w:color="auto" w:fill="DAE6EB"/>
          </w:tcPr>
          <w:p>
            <w:pPr>
              <w:jc w:val="center"/>
              <w:ind w:left="74"/>
              <w:spacing w:after="0" w:line="148"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shd w:val="clear" w:color="auto" w:fill="DAE6EB"/>
          </w:tcPr>
          <w:p>
            <w:pPr>
              <w:jc w:val="right"/>
              <w:ind w:right="74"/>
              <w:spacing w:after="0" w:line="148" w:lineRule="exact"/>
              <w:rPr>
                <w:sz w:val="20"/>
                <w:szCs w:val="20"/>
                <w:color w:val="auto"/>
              </w:rPr>
            </w:pPr>
            <w:r>
              <w:rPr>
                <w:rFonts w:ascii="Arial" w:cs="Arial" w:eastAsia="Arial" w:hAnsi="Arial"/>
                <w:sz w:val="14"/>
                <w:szCs w:val="14"/>
                <w:color w:val="auto"/>
              </w:rPr>
              <w:t>1,613</w:t>
            </w:r>
            <w:r>
              <w:rPr>
                <w:rFonts w:ascii="Arial" w:cs="Arial" w:eastAsia="Arial" w:hAnsi="Arial"/>
                <w:sz w:val="11"/>
                <w:szCs w:val="11"/>
                <w:color w:val="auto"/>
              </w:rPr>
              <w:t>6</w:t>
            </w:r>
          </w:p>
        </w:tc>
        <w:tc>
          <w:tcPr>
            <w:tcW w:w="780" w:type="dxa"/>
            <w:vAlign w:val="bottom"/>
            <w:tcBorders>
              <w:right w:val="single" w:sz="8" w:color="47829E"/>
            </w:tcBorders>
            <w:shd w:val="clear" w:color="auto" w:fill="DAE6EB"/>
          </w:tcPr>
          <w:p>
            <w:pPr>
              <w:jc w:val="right"/>
              <w:spacing w:after="0" w:line="148" w:lineRule="exact"/>
              <w:rPr>
                <w:sz w:val="20"/>
                <w:szCs w:val="20"/>
                <w:color w:val="auto"/>
              </w:rPr>
            </w:pPr>
            <w:r>
              <w:rPr>
                <w:rFonts w:ascii="Arial" w:cs="Arial" w:eastAsia="Arial" w:hAnsi="Arial"/>
                <w:sz w:val="14"/>
                <w:szCs w:val="14"/>
                <w:color w:val="auto"/>
              </w:rPr>
              <w:t>220,304</w:t>
            </w:r>
          </w:p>
        </w:tc>
        <w:tc>
          <w:tcPr>
            <w:tcW w:w="1140" w:type="dxa"/>
            <w:vAlign w:val="bottom"/>
            <w:tcBorders>
              <w:right w:val="single" w:sz="8" w:color="47829E"/>
            </w:tcBorders>
            <w:shd w:val="clear" w:color="auto" w:fill="DAE6EB"/>
          </w:tcPr>
          <w:p>
            <w:pPr>
              <w:jc w:val="right"/>
              <w:ind w:right="277"/>
              <w:spacing w:after="0" w:line="148" w:lineRule="exact"/>
              <w:rPr>
                <w:sz w:val="20"/>
                <w:szCs w:val="20"/>
                <w:color w:val="auto"/>
              </w:rPr>
            </w:pPr>
            <w:r>
              <w:rPr>
                <w:rFonts w:ascii="Arial" w:cs="Arial" w:eastAsia="Arial" w:hAnsi="Arial"/>
                <w:sz w:val="14"/>
                <w:szCs w:val="14"/>
                <w:color w:val="auto"/>
              </w:rPr>
              <w:t>810</w:t>
            </w:r>
          </w:p>
        </w:tc>
        <w:tc>
          <w:tcPr>
            <w:tcW w:w="1140" w:type="dxa"/>
            <w:vAlign w:val="bottom"/>
            <w:tcBorders>
              <w:right w:val="single" w:sz="8" w:color="47829E"/>
            </w:tcBorders>
            <w:shd w:val="clear" w:color="auto" w:fill="DAE6EB"/>
          </w:tcPr>
          <w:p>
            <w:pPr>
              <w:jc w:val="right"/>
              <w:ind w:right="198"/>
              <w:spacing w:after="0" w:line="148" w:lineRule="exact"/>
              <w:rPr>
                <w:sz w:val="20"/>
                <w:szCs w:val="20"/>
                <w:color w:val="auto"/>
              </w:rPr>
            </w:pPr>
            <w:r>
              <w:rPr>
                <w:rFonts w:ascii="Arial" w:cs="Arial" w:eastAsia="Arial" w:hAnsi="Arial"/>
                <w:sz w:val="14"/>
                <w:szCs w:val="14"/>
                <w:color w:val="auto"/>
              </w:rPr>
              <w:t>110,630</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1,614</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1,612</w:t>
            </w:r>
            <w:r>
              <w:rPr>
                <w:rFonts w:ascii="Arial" w:cs="Arial" w:eastAsia="Arial" w:hAnsi="Arial"/>
                <w:sz w:val="11"/>
                <w:szCs w:val="11"/>
                <w:color w:val="auto"/>
              </w:rPr>
              <w:t>3</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1,514</w:t>
            </w:r>
            <w:r>
              <w:rPr>
                <w:rFonts w:ascii="Arial" w:cs="Arial" w:eastAsia="Arial" w:hAnsi="Arial"/>
                <w:sz w:val="11"/>
                <w:szCs w:val="11"/>
                <w:color w:val="auto"/>
              </w:rPr>
              <w:t>7</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206,782</w:t>
            </w:r>
          </w:p>
        </w:tc>
        <w:tc>
          <w:tcPr>
            <w:tcW w:w="1140" w:type="dxa"/>
            <w:vAlign w:val="bottom"/>
            <w:tcBorders>
              <w:right w:val="single" w:sz="8" w:color="47829E"/>
            </w:tcBorders>
            <w:shd w:val="clear" w:color="auto" w:fill="DAE6EB"/>
          </w:tcPr>
          <w:p>
            <w:pPr>
              <w:jc w:val="right"/>
              <w:ind w:right="277"/>
              <w:spacing w:after="0" w:line="149" w:lineRule="exact"/>
              <w:rPr>
                <w:sz w:val="20"/>
                <w:szCs w:val="20"/>
                <w:color w:val="auto"/>
              </w:rPr>
            </w:pPr>
            <w:r>
              <w:rPr>
                <w:rFonts w:ascii="Arial" w:cs="Arial" w:eastAsia="Arial" w:hAnsi="Arial"/>
                <w:sz w:val="14"/>
                <w:szCs w:val="14"/>
                <w:color w:val="auto"/>
              </w:rPr>
              <w:t>542</w:t>
            </w:r>
          </w:p>
        </w:tc>
        <w:tc>
          <w:tcPr>
            <w:tcW w:w="1140" w:type="dxa"/>
            <w:vAlign w:val="bottom"/>
            <w:tcBorders>
              <w:right w:val="single" w:sz="8" w:color="47829E"/>
            </w:tcBorders>
            <w:shd w:val="clear" w:color="auto" w:fill="DAE6EB"/>
          </w:tcPr>
          <w:p>
            <w:pPr>
              <w:jc w:val="right"/>
              <w:ind w:right="198"/>
              <w:spacing w:after="0" w:line="149" w:lineRule="exact"/>
              <w:rPr>
                <w:sz w:val="20"/>
                <w:szCs w:val="20"/>
                <w:color w:val="auto"/>
              </w:rPr>
            </w:pPr>
            <w:r>
              <w:rPr>
                <w:rFonts w:ascii="Arial" w:cs="Arial" w:eastAsia="Arial" w:hAnsi="Arial"/>
                <w:sz w:val="14"/>
                <w:szCs w:val="14"/>
                <w:color w:val="auto"/>
              </w:rPr>
              <w:t>74,026</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757</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2,270</w:t>
            </w:r>
            <w:r>
              <w:rPr>
                <w:rFonts w:ascii="Arial" w:cs="Arial" w:eastAsia="Arial" w:hAnsi="Arial"/>
                <w:sz w:val="11"/>
                <w:szCs w:val="11"/>
                <w:color w:val="auto"/>
              </w:rPr>
              <w:t>4</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8,127</w:t>
            </w:r>
            <w:r>
              <w:rPr>
                <w:rFonts w:ascii="Arial" w:cs="Arial" w:eastAsia="Arial" w:hAnsi="Arial"/>
                <w:sz w:val="11"/>
                <w:szCs w:val="11"/>
                <w:color w:val="auto"/>
              </w:rPr>
              <w:t>8</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1,109,986</w:t>
            </w:r>
          </w:p>
        </w:tc>
        <w:tc>
          <w:tcPr>
            <w:tcW w:w="1140" w:type="dxa"/>
            <w:vAlign w:val="bottom"/>
            <w:tcBorders>
              <w:right w:val="single" w:sz="8" w:color="47829E"/>
            </w:tcBorders>
            <w:shd w:val="clear" w:color="auto" w:fill="DAE6EB"/>
          </w:tcPr>
          <w:p>
            <w:pPr>
              <w:jc w:val="right"/>
              <w:ind w:right="277"/>
              <w:spacing w:after="0" w:line="149" w:lineRule="exact"/>
              <w:rPr>
                <w:sz w:val="20"/>
                <w:szCs w:val="20"/>
                <w:color w:val="auto"/>
              </w:rPr>
            </w:pPr>
            <w:r>
              <w:rPr>
                <w:rFonts w:ascii="Arial" w:cs="Arial" w:eastAsia="Arial" w:hAnsi="Arial"/>
                <w:sz w:val="14"/>
                <w:szCs w:val="14"/>
                <w:color w:val="auto"/>
              </w:rPr>
              <w:t>664</w:t>
            </w:r>
          </w:p>
        </w:tc>
        <w:tc>
          <w:tcPr>
            <w:tcW w:w="1140" w:type="dxa"/>
            <w:vAlign w:val="bottom"/>
            <w:tcBorders>
              <w:right w:val="single" w:sz="8" w:color="47829E"/>
            </w:tcBorders>
            <w:shd w:val="clear" w:color="auto" w:fill="DAE6EB"/>
          </w:tcPr>
          <w:p>
            <w:pPr>
              <w:jc w:val="right"/>
              <w:ind w:right="198"/>
              <w:spacing w:after="0" w:line="149" w:lineRule="exact"/>
              <w:rPr>
                <w:sz w:val="20"/>
                <w:szCs w:val="20"/>
                <w:color w:val="auto"/>
              </w:rPr>
            </w:pPr>
            <w:r>
              <w:rPr>
                <w:rFonts w:ascii="Arial" w:cs="Arial" w:eastAsia="Arial" w:hAnsi="Arial"/>
                <w:sz w:val="14"/>
                <w:szCs w:val="14"/>
                <w:color w:val="auto"/>
              </w:rPr>
              <w:t>90,689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2,663</w:t>
            </w:r>
            <w:r>
              <w:rPr>
                <w:rFonts w:ascii="Arial" w:cs="Arial" w:eastAsia="Arial" w:hAnsi="Arial"/>
                <w:sz w:val="11"/>
                <w:szCs w:val="11"/>
                <w:color w:val="auto"/>
              </w:rPr>
              <w:t>5</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1,332</w:t>
            </w:r>
            <w:r>
              <w:rPr>
                <w:rFonts w:ascii="Arial" w:cs="Arial" w:eastAsia="Arial" w:hAnsi="Arial"/>
                <w:sz w:val="11"/>
                <w:szCs w:val="11"/>
                <w:color w:val="auto"/>
              </w:rPr>
              <w:t>9</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181,925</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spacing w:after="0"/>
              <w:rPr>
                <w:sz w:val="12"/>
                <w:szCs w:val="12"/>
                <w:color w:val="auto"/>
              </w:rPr>
            </w:pPr>
          </w:p>
        </w:tc>
        <w:tc>
          <w:tcPr>
            <w:tcW w:w="1080" w:type="dxa"/>
            <w:vAlign w:val="bottom"/>
            <w:tcBorders>
              <w:right w:val="single" w:sz="8" w:color="47829E"/>
            </w:tcBorders>
            <w:shd w:val="clear" w:color="auto" w:fill="DAE6EB"/>
          </w:tcPr>
          <w:p>
            <w:pPr>
              <w:spacing w:after="0"/>
              <w:rPr>
                <w:sz w:val="12"/>
                <w:szCs w:val="12"/>
                <w:color w:val="auto"/>
              </w:rPr>
            </w:pP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spacing w:after="0"/>
              <w:rPr>
                <w:sz w:val="12"/>
                <w:szCs w:val="12"/>
                <w:color w:val="auto"/>
              </w:rPr>
            </w:pPr>
          </w:p>
        </w:tc>
        <w:tc>
          <w:tcPr>
            <w:tcW w:w="860" w:type="dxa"/>
            <w:vAlign w:val="bottom"/>
            <w:tcBorders>
              <w:right w:val="single" w:sz="8" w:color="47829E"/>
            </w:tcBorders>
            <w:shd w:val="clear" w:color="auto" w:fill="DAE6EB"/>
          </w:tcPr>
          <w:p>
            <w:pPr>
              <w:spacing w:after="0"/>
              <w:rPr>
                <w:sz w:val="12"/>
                <w:szCs w:val="12"/>
                <w:color w:val="auto"/>
              </w:rPr>
            </w:pPr>
          </w:p>
        </w:tc>
        <w:tc>
          <w:tcPr>
            <w:tcW w:w="90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447</w:t>
            </w:r>
            <w:r>
              <w:rPr>
                <w:rFonts w:ascii="Arial" w:cs="Arial" w:eastAsia="Arial" w:hAnsi="Arial"/>
                <w:sz w:val="11"/>
                <w:szCs w:val="11"/>
                <w:color w:val="auto"/>
              </w:rPr>
              <w:t>10</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61,051</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47829E"/>
              <w:right w:val="single" w:sz="8" w:color="47829E"/>
            </w:tcBorders>
            <w:shd w:val="clear" w:color="auto" w:fill="DAE6EB"/>
          </w:tcPr>
          <w:p>
            <w:pPr>
              <w:spacing w:after="0"/>
              <w:rPr>
                <w:sz w:val="14"/>
                <w:szCs w:val="14"/>
                <w:color w:val="auto"/>
              </w:rPr>
            </w:pPr>
          </w:p>
        </w:tc>
        <w:tc>
          <w:tcPr>
            <w:tcW w:w="920" w:type="dxa"/>
            <w:vAlign w:val="bottom"/>
            <w:tcBorders>
              <w:right w:val="single" w:sz="8" w:color="47829E"/>
            </w:tcBorders>
            <w:shd w:val="clear" w:color="auto" w:fill="DAE6EB"/>
          </w:tcPr>
          <w:p>
            <w:pPr>
              <w:spacing w:after="0"/>
              <w:rPr>
                <w:sz w:val="14"/>
                <w:szCs w:val="14"/>
                <w:color w:val="auto"/>
              </w:rPr>
            </w:pPr>
          </w:p>
        </w:tc>
        <w:tc>
          <w:tcPr>
            <w:tcW w:w="1080" w:type="dxa"/>
            <w:vAlign w:val="bottom"/>
            <w:tcBorders>
              <w:right w:val="single" w:sz="8" w:color="47829E"/>
            </w:tcBorders>
            <w:shd w:val="clear" w:color="auto" w:fill="DAE6EB"/>
          </w:tcPr>
          <w:p>
            <w:pPr>
              <w:spacing w:after="0"/>
              <w:rPr>
                <w:sz w:val="14"/>
                <w:szCs w:val="14"/>
                <w:color w:val="auto"/>
              </w:rPr>
            </w:pPr>
          </w:p>
        </w:tc>
        <w:tc>
          <w:tcPr>
            <w:tcW w:w="1000" w:type="dxa"/>
            <w:vAlign w:val="bottom"/>
            <w:tcBorders>
              <w:right w:val="single" w:sz="8" w:color="47829E"/>
            </w:tcBorders>
            <w:shd w:val="clear" w:color="auto" w:fill="DAE6EB"/>
          </w:tcPr>
          <w:p>
            <w:pPr>
              <w:spacing w:after="0"/>
              <w:rPr>
                <w:sz w:val="14"/>
                <w:szCs w:val="14"/>
                <w:color w:val="auto"/>
              </w:rPr>
            </w:pPr>
          </w:p>
        </w:tc>
        <w:tc>
          <w:tcPr>
            <w:tcW w:w="780" w:type="dxa"/>
            <w:vAlign w:val="bottom"/>
            <w:tcBorders>
              <w:right w:val="single" w:sz="8" w:color="47829E"/>
            </w:tcBorders>
            <w:shd w:val="clear" w:color="auto" w:fill="DAE6EB"/>
          </w:tcPr>
          <w:p>
            <w:pPr>
              <w:spacing w:after="0"/>
              <w:rPr>
                <w:sz w:val="14"/>
                <w:szCs w:val="14"/>
                <w:color w:val="auto"/>
              </w:rPr>
            </w:pPr>
          </w:p>
        </w:tc>
        <w:tc>
          <w:tcPr>
            <w:tcW w:w="860" w:type="dxa"/>
            <w:vAlign w:val="bottom"/>
            <w:tcBorders>
              <w:right w:val="single" w:sz="8" w:color="47829E"/>
            </w:tcBorders>
            <w:shd w:val="clear" w:color="auto" w:fill="DAE6EB"/>
          </w:tcPr>
          <w:p>
            <w:pPr>
              <w:spacing w:after="0"/>
              <w:rPr>
                <w:sz w:val="14"/>
                <w:szCs w:val="14"/>
                <w:color w:val="auto"/>
              </w:rPr>
            </w:pPr>
          </w:p>
        </w:tc>
        <w:tc>
          <w:tcPr>
            <w:tcW w:w="900" w:type="dxa"/>
            <w:vAlign w:val="bottom"/>
            <w:tcBorders>
              <w:right w:val="single" w:sz="8" w:color="47829E"/>
            </w:tcBorders>
            <w:shd w:val="clear" w:color="auto" w:fill="DAE6EB"/>
          </w:tcPr>
          <w:p>
            <w:pPr>
              <w:jc w:val="right"/>
              <w:ind w:right="54"/>
              <w:spacing w:after="0"/>
              <w:rPr>
                <w:sz w:val="20"/>
                <w:szCs w:val="20"/>
                <w:color w:val="auto"/>
              </w:rPr>
            </w:pPr>
            <w:r>
              <w:rPr>
                <w:rFonts w:ascii="Arial" w:cs="Arial" w:eastAsia="Arial" w:hAnsi="Arial"/>
                <w:sz w:val="14"/>
                <w:szCs w:val="14"/>
                <w:color w:val="auto"/>
              </w:rPr>
              <w:t>525</w:t>
            </w:r>
            <w:r>
              <w:rPr>
                <w:rFonts w:ascii="Arial" w:cs="Arial" w:eastAsia="Arial" w:hAnsi="Arial"/>
                <w:sz w:val="11"/>
                <w:szCs w:val="11"/>
                <w:color w:val="auto"/>
              </w:rPr>
              <w:t>11</w:t>
            </w:r>
          </w:p>
        </w:tc>
        <w:tc>
          <w:tcPr>
            <w:tcW w:w="78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71,705</w:t>
            </w:r>
          </w:p>
        </w:tc>
        <w:tc>
          <w:tcPr>
            <w:tcW w:w="1140" w:type="dxa"/>
            <w:vAlign w:val="bottom"/>
            <w:tcBorders>
              <w:right w:val="single" w:sz="8" w:color="47829E"/>
            </w:tcBorders>
            <w:shd w:val="clear" w:color="auto" w:fill="DAE6EB"/>
          </w:tcPr>
          <w:p>
            <w:pPr>
              <w:spacing w:after="0"/>
              <w:rPr>
                <w:sz w:val="14"/>
                <w:szCs w:val="14"/>
                <w:color w:val="auto"/>
              </w:rPr>
            </w:pPr>
          </w:p>
        </w:tc>
        <w:tc>
          <w:tcPr>
            <w:tcW w:w="1140" w:type="dxa"/>
            <w:vAlign w:val="bottom"/>
            <w:tcBorders>
              <w:right w:val="single" w:sz="8" w:color="47829E"/>
            </w:tcBorders>
            <w:shd w:val="clear" w:color="auto" w:fill="DAE6E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2"/>
                <w:szCs w:val="12"/>
                <w:b w:val="1"/>
                <w:bCs w:val="1"/>
                <w:color w:val="auto"/>
              </w:rPr>
              <w:t>Daniel L. Grant</w:t>
            </w:r>
          </w:p>
        </w:tc>
        <w:tc>
          <w:tcPr>
            <w:tcW w:w="920" w:type="dxa"/>
            <w:vAlign w:val="bottom"/>
            <w:tcBorders>
              <w:right w:val="single" w:sz="8" w:color="47829E"/>
            </w:tcBorders>
          </w:tcPr>
          <w:p>
            <w:pPr>
              <w:jc w:val="right"/>
              <w:ind w:right="134"/>
              <w:spacing w:after="0" w:line="148" w:lineRule="exact"/>
              <w:rPr>
                <w:sz w:val="20"/>
                <w:szCs w:val="20"/>
                <w:color w:val="auto"/>
              </w:rPr>
            </w:pPr>
            <w:r>
              <w:rPr>
                <w:rFonts w:ascii="Arial" w:cs="Arial" w:eastAsia="Arial" w:hAnsi="Arial"/>
                <w:sz w:val="14"/>
                <w:szCs w:val="14"/>
                <w:color w:val="auto"/>
              </w:rPr>
              <w:t>408</w:t>
            </w:r>
          </w:p>
        </w:tc>
        <w:tc>
          <w:tcPr>
            <w:tcW w:w="1080" w:type="dxa"/>
            <w:vAlign w:val="bottom"/>
            <w:tcBorders>
              <w:right w:val="single" w:sz="8" w:color="47829E"/>
            </w:tcBorders>
          </w:tcPr>
          <w:p>
            <w:pPr>
              <w:jc w:val="right"/>
              <w:ind w:right="175"/>
              <w:spacing w:after="0" w:line="148" w:lineRule="exact"/>
              <w:rPr>
                <w:sz w:val="20"/>
                <w:szCs w:val="20"/>
                <w:color w:val="auto"/>
              </w:rPr>
            </w:pPr>
            <w:r>
              <w:rPr>
                <w:rFonts w:ascii="Arial" w:cs="Arial" w:eastAsia="Arial" w:hAnsi="Arial"/>
                <w:sz w:val="14"/>
                <w:szCs w:val="14"/>
                <w:color w:val="auto"/>
              </w:rPr>
              <w:t>1,224</w:t>
            </w:r>
            <w:r>
              <w:rPr>
                <w:rFonts w:ascii="Arial" w:cs="Arial" w:eastAsia="Arial" w:hAnsi="Arial"/>
                <w:sz w:val="11"/>
                <w:szCs w:val="11"/>
                <w:color w:val="auto"/>
              </w:rPr>
              <w:t>4</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8"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tcPr>
          <w:p>
            <w:pPr>
              <w:jc w:val="center"/>
              <w:ind w:left="74"/>
              <w:spacing w:after="0" w:line="148"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tcPr>
          <w:p>
            <w:pPr>
              <w:jc w:val="right"/>
              <w:ind w:right="74"/>
              <w:spacing w:after="0" w:line="148" w:lineRule="exact"/>
              <w:rPr>
                <w:sz w:val="20"/>
                <w:szCs w:val="20"/>
                <w:color w:val="auto"/>
              </w:rPr>
            </w:pPr>
            <w:r>
              <w:rPr>
                <w:rFonts w:ascii="Arial" w:cs="Arial" w:eastAsia="Arial" w:hAnsi="Arial"/>
                <w:sz w:val="14"/>
                <w:szCs w:val="14"/>
                <w:color w:val="auto"/>
              </w:rPr>
              <w:t>816</w:t>
            </w:r>
            <w:r>
              <w:rPr>
                <w:rFonts w:ascii="Arial" w:cs="Arial" w:eastAsia="Arial" w:hAnsi="Arial"/>
                <w:sz w:val="11"/>
                <w:szCs w:val="11"/>
                <w:color w:val="auto"/>
              </w:rPr>
              <w:t>7</w:t>
            </w:r>
          </w:p>
        </w:tc>
        <w:tc>
          <w:tcPr>
            <w:tcW w:w="780" w:type="dxa"/>
            <w:vAlign w:val="bottom"/>
            <w:tcBorders>
              <w:right w:val="single" w:sz="8" w:color="47829E"/>
            </w:tcBorders>
          </w:tcPr>
          <w:p>
            <w:pPr>
              <w:jc w:val="right"/>
              <w:spacing w:after="0" w:line="148" w:lineRule="exact"/>
              <w:rPr>
                <w:sz w:val="20"/>
                <w:szCs w:val="20"/>
                <w:color w:val="auto"/>
              </w:rPr>
            </w:pPr>
            <w:r>
              <w:rPr>
                <w:rFonts w:ascii="Arial" w:cs="Arial" w:eastAsia="Arial" w:hAnsi="Arial"/>
                <w:sz w:val="14"/>
                <w:szCs w:val="14"/>
                <w:color w:val="auto"/>
              </w:rPr>
              <w:t>111,449</w:t>
            </w:r>
          </w:p>
        </w:tc>
        <w:tc>
          <w:tcPr>
            <w:tcW w:w="1140" w:type="dxa"/>
            <w:vAlign w:val="bottom"/>
            <w:tcBorders>
              <w:right w:val="single" w:sz="8" w:color="47829E"/>
            </w:tcBorders>
          </w:tcPr>
          <w:p>
            <w:pPr>
              <w:jc w:val="right"/>
              <w:ind w:right="277"/>
              <w:spacing w:after="0" w:line="148" w:lineRule="exact"/>
              <w:rPr>
                <w:sz w:val="20"/>
                <w:szCs w:val="20"/>
                <w:color w:val="auto"/>
              </w:rPr>
            </w:pPr>
            <w:r>
              <w:rPr>
                <w:rFonts w:ascii="Arial" w:cs="Arial" w:eastAsia="Arial" w:hAnsi="Arial"/>
                <w:sz w:val="14"/>
                <w:szCs w:val="14"/>
                <w:color w:val="auto"/>
              </w:rPr>
              <w:t>515</w:t>
            </w:r>
          </w:p>
        </w:tc>
        <w:tc>
          <w:tcPr>
            <w:tcW w:w="1140" w:type="dxa"/>
            <w:vAlign w:val="bottom"/>
            <w:tcBorders>
              <w:right w:val="single" w:sz="8" w:color="47829E"/>
            </w:tcBorders>
          </w:tcPr>
          <w:p>
            <w:pPr>
              <w:jc w:val="right"/>
              <w:ind w:right="198"/>
              <w:spacing w:after="0" w:line="148" w:lineRule="exact"/>
              <w:rPr>
                <w:sz w:val="20"/>
                <w:szCs w:val="20"/>
                <w:color w:val="auto"/>
              </w:rPr>
            </w:pPr>
            <w:r>
              <w:rPr>
                <w:rFonts w:ascii="Arial" w:cs="Arial" w:eastAsia="Arial" w:hAnsi="Arial"/>
                <w:sz w:val="14"/>
                <w:szCs w:val="14"/>
                <w:color w:val="auto"/>
              </w:rPr>
              <w:t>70,339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1,435</w:t>
            </w:r>
            <w:r>
              <w:rPr>
                <w:rFonts w:ascii="Arial" w:cs="Arial" w:eastAsia="Arial" w:hAnsi="Arial"/>
                <w:sz w:val="11"/>
                <w:szCs w:val="11"/>
                <w:color w:val="auto"/>
              </w:rPr>
              <w:t>5</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7,643</w:t>
            </w:r>
            <w:r>
              <w:rPr>
                <w:rFonts w:ascii="Arial" w:cs="Arial" w:eastAsia="Arial" w:hAnsi="Arial"/>
                <w:sz w:val="11"/>
                <w:szCs w:val="11"/>
                <w:color w:val="auto"/>
              </w:rPr>
              <w:t>8</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1,043,881</w:t>
            </w:r>
          </w:p>
        </w:tc>
        <w:tc>
          <w:tcPr>
            <w:tcW w:w="1140" w:type="dxa"/>
            <w:vAlign w:val="bottom"/>
            <w:tcBorders>
              <w:right w:val="single" w:sz="8" w:color="47829E"/>
            </w:tcBorders>
          </w:tcPr>
          <w:p>
            <w:pPr>
              <w:jc w:val="right"/>
              <w:ind w:right="277"/>
              <w:spacing w:after="0" w:line="149" w:lineRule="exact"/>
              <w:rPr>
                <w:sz w:val="20"/>
                <w:szCs w:val="20"/>
                <w:color w:val="auto"/>
              </w:rPr>
            </w:pPr>
            <w:r>
              <w:rPr>
                <w:rFonts w:ascii="Arial" w:cs="Arial" w:eastAsia="Arial" w:hAnsi="Arial"/>
                <w:sz w:val="14"/>
                <w:szCs w:val="14"/>
                <w:color w:val="auto"/>
              </w:rPr>
              <w:t>627</w:t>
            </w:r>
          </w:p>
        </w:tc>
        <w:tc>
          <w:tcPr>
            <w:tcW w:w="1140" w:type="dxa"/>
            <w:vAlign w:val="bottom"/>
            <w:tcBorders>
              <w:right w:val="single" w:sz="8" w:color="47829E"/>
            </w:tcBorders>
          </w:tcPr>
          <w:p>
            <w:pPr>
              <w:jc w:val="right"/>
              <w:ind w:right="198"/>
              <w:spacing w:after="0" w:line="149" w:lineRule="exact"/>
              <w:rPr>
                <w:sz w:val="20"/>
                <w:szCs w:val="20"/>
                <w:color w:val="auto"/>
              </w:rPr>
            </w:pPr>
            <w:r>
              <w:rPr>
                <w:rFonts w:ascii="Arial" w:cs="Arial" w:eastAsia="Arial" w:hAnsi="Arial"/>
                <w:sz w:val="14"/>
                <w:szCs w:val="14"/>
                <w:color w:val="auto"/>
              </w:rPr>
              <w:t>85,636</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spacing w:after="0"/>
              <w:rPr>
                <w:sz w:val="12"/>
                <w:szCs w:val="12"/>
                <w:color w:val="auto"/>
              </w:rPr>
            </w:pPr>
          </w:p>
        </w:tc>
        <w:tc>
          <w:tcPr>
            <w:tcW w:w="108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86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719</w:t>
            </w:r>
            <w:r>
              <w:rPr>
                <w:rFonts w:ascii="Arial" w:cs="Arial" w:eastAsia="Arial" w:hAnsi="Arial"/>
                <w:sz w:val="11"/>
                <w:szCs w:val="11"/>
                <w:color w:val="auto"/>
              </w:rPr>
              <w:t>9</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98,064</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47829E"/>
              <w:bottom w:val="single" w:sz="8" w:color="47829E"/>
              <w:right w:val="single" w:sz="8" w:color="47829E"/>
            </w:tcBorders>
          </w:tcPr>
          <w:p>
            <w:pPr>
              <w:spacing w:after="0"/>
              <w:rPr>
                <w:sz w:val="14"/>
                <w:szCs w:val="14"/>
                <w:color w:val="auto"/>
              </w:rPr>
            </w:pPr>
          </w:p>
        </w:tc>
        <w:tc>
          <w:tcPr>
            <w:tcW w:w="920" w:type="dxa"/>
            <w:vAlign w:val="bottom"/>
            <w:tcBorders>
              <w:bottom w:val="single" w:sz="8" w:color="47829E"/>
              <w:right w:val="single" w:sz="8" w:color="47829E"/>
            </w:tcBorders>
          </w:tcPr>
          <w:p>
            <w:pPr>
              <w:spacing w:after="0"/>
              <w:rPr>
                <w:sz w:val="14"/>
                <w:szCs w:val="14"/>
                <w:color w:val="auto"/>
              </w:rPr>
            </w:pPr>
          </w:p>
        </w:tc>
        <w:tc>
          <w:tcPr>
            <w:tcW w:w="1080" w:type="dxa"/>
            <w:vAlign w:val="bottom"/>
            <w:tcBorders>
              <w:bottom w:val="single" w:sz="8" w:color="47829E"/>
              <w:right w:val="single" w:sz="8" w:color="47829E"/>
            </w:tcBorders>
          </w:tcPr>
          <w:p>
            <w:pPr>
              <w:spacing w:after="0"/>
              <w:rPr>
                <w:sz w:val="14"/>
                <w:szCs w:val="14"/>
                <w:color w:val="auto"/>
              </w:rPr>
            </w:pPr>
          </w:p>
        </w:tc>
        <w:tc>
          <w:tcPr>
            <w:tcW w:w="1000" w:type="dxa"/>
            <w:vAlign w:val="bottom"/>
            <w:tcBorders>
              <w:bottom w:val="single" w:sz="8" w:color="47829E"/>
              <w:right w:val="single" w:sz="8" w:color="47829E"/>
            </w:tcBorders>
          </w:tcPr>
          <w:p>
            <w:pPr>
              <w:spacing w:after="0"/>
              <w:rPr>
                <w:sz w:val="14"/>
                <w:szCs w:val="14"/>
                <w:color w:val="auto"/>
              </w:rPr>
            </w:pPr>
          </w:p>
        </w:tc>
        <w:tc>
          <w:tcPr>
            <w:tcW w:w="780" w:type="dxa"/>
            <w:vAlign w:val="bottom"/>
            <w:tcBorders>
              <w:bottom w:val="single" w:sz="8" w:color="47829E"/>
              <w:right w:val="single" w:sz="8" w:color="47829E"/>
            </w:tcBorders>
          </w:tcPr>
          <w:p>
            <w:pPr>
              <w:spacing w:after="0"/>
              <w:rPr>
                <w:sz w:val="14"/>
                <w:szCs w:val="14"/>
                <w:color w:val="auto"/>
              </w:rPr>
            </w:pPr>
          </w:p>
        </w:tc>
        <w:tc>
          <w:tcPr>
            <w:tcW w:w="860" w:type="dxa"/>
            <w:vAlign w:val="bottom"/>
            <w:tcBorders>
              <w:bottom w:val="single" w:sz="8" w:color="47829E"/>
              <w:right w:val="single" w:sz="8" w:color="47829E"/>
            </w:tcBorders>
          </w:tcPr>
          <w:p>
            <w:pPr>
              <w:spacing w:after="0"/>
              <w:rPr>
                <w:sz w:val="14"/>
                <w:szCs w:val="14"/>
                <w:color w:val="auto"/>
              </w:rPr>
            </w:pPr>
          </w:p>
        </w:tc>
        <w:tc>
          <w:tcPr>
            <w:tcW w:w="900" w:type="dxa"/>
            <w:vAlign w:val="bottom"/>
            <w:tcBorders>
              <w:bottom w:val="single" w:sz="8" w:color="47829E"/>
              <w:right w:val="single" w:sz="8" w:color="47829E"/>
            </w:tcBorders>
          </w:tcPr>
          <w:p>
            <w:pPr>
              <w:jc w:val="right"/>
              <w:ind w:right="54"/>
              <w:spacing w:after="0"/>
              <w:rPr>
                <w:sz w:val="20"/>
                <w:szCs w:val="20"/>
                <w:color w:val="auto"/>
              </w:rPr>
            </w:pPr>
            <w:r>
              <w:rPr>
                <w:rFonts w:ascii="Arial" w:cs="Arial" w:eastAsia="Arial" w:hAnsi="Arial"/>
                <w:sz w:val="14"/>
                <w:szCs w:val="14"/>
                <w:color w:val="auto"/>
              </w:rPr>
              <w:t>732</w:t>
            </w:r>
            <w:r>
              <w:rPr>
                <w:rFonts w:ascii="Arial" w:cs="Arial" w:eastAsia="Arial" w:hAnsi="Arial"/>
                <w:sz w:val="11"/>
                <w:szCs w:val="11"/>
                <w:color w:val="auto"/>
              </w:rPr>
              <w:t>11</w:t>
            </w:r>
          </w:p>
        </w:tc>
        <w:tc>
          <w:tcPr>
            <w:tcW w:w="780" w:type="dxa"/>
            <w:vAlign w:val="bottom"/>
            <w:tcBorders>
              <w:bottom w:val="single" w:sz="8" w:color="47829E"/>
              <w:right w:val="single" w:sz="8" w:color="47829E"/>
            </w:tcBorders>
          </w:tcPr>
          <w:p>
            <w:pPr>
              <w:jc w:val="right"/>
              <w:spacing w:after="0"/>
              <w:rPr>
                <w:sz w:val="20"/>
                <w:szCs w:val="20"/>
                <w:color w:val="auto"/>
              </w:rPr>
            </w:pPr>
            <w:r>
              <w:rPr>
                <w:rFonts w:ascii="Arial" w:cs="Arial" w:eastAsia="Arial" w:hAnsi="Arial"/>
                <w:sz w:val="14"/>
                <w:szCs w:val="14"/>
                <w:color w:val="auto"/>
              </w:rPr>
              <w:t>99,977</w:t>
            </w:r>
          </w:p>
        </w:tc>
        <w:tc>
          <w:tcPr>
            <w:tcW w:w="1140" w:type="dxa"/>
            <w:vAlign w:val="bottom"/>
            <w:tcBorders>
              <w:bottom w:val="single" w:sz="8" w:color="47829E"/>
              <w:right w:val="single" w:sz="8" w:color="47829E"/>
            </w:tcBorders>
          </w:tcPr>
          <w:p>
            <w:pPr>
              <w:spacing w:after="0"/>
              <w:rPr>
                <w:sz w:val="14"/>
                <w:szCs w:val="14"/>
                <w:color w:val="auto"/>
              </w:rPr>
            </w:pPr>
          </w:p>
        </w:tc>
        <w:tc>
          <w:tcPr>
            <w:tcW w:w="1140" w:type="dxa"/>
            <w:vAlign w:val="bottom"/>
            <w:tcBorders>
              <w:bottom w:val="single" w:sz="8" w:color="47829E"/>
              <w:right w:val="single" w:sz="8" w:color="47829E"/>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-4390390</wp:posOffset>
            </wp:positionV>
            <wp:extent cx="5377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01" w:lineRule="exact"/>
        <w:rPr>
          <w:sz w:val="20"/>
          <w:szCs w:val="20"/>
          <w:color w:val="auto"/>
        </w:rPr>
      </w:pPr>
    </w:p>
    <w:p>
      <w:pPr>
        <w:ind w:left="340" w:hanging="268"/>
        <w:spacing w:after="0"/>
        <w:tabs>
          <w:tab w:leader="none" w:pos="340" w:val="left"/>
        </w:tabs>
        <w:numPr>
          <w:ilvl w:val="0"/>
          <w:numId w:val="70"/>
        </w:numPr>
        <w:rPr>
          <w:rFonts w:ascii="Arial" w:cs="Arial" w:eastAsia="Arial" w:hAnsi="Arial"/>
          <w:sz w:val="11"/>
          <w:szCs w:val="11"/>
          <w:color w:val="auto"/>
        </w:rPr>
      </w:pPr>
      <w:r>
        <w:rPr>
          <w:rFonts w:ascii="Arial" w:cs="Arial" w:eastAsia="Arial" w:hAnsi="Arial"/>
          <w:sz w:val="14"/>
          <w:szCs w:val="14"/>
          <w:color w:val="auto"/>
        </w:rPr>
        <w:t>Based on the closing price of our common stock as of December 31, 2015 ($136.58).</w:t>
      </w:r>
    </w:p>
    <w:p>
      <w:pPr>
        <w:spacing w:after="0" w:line="11" w:lineRule="exact"/>
        <w:rPr>
          <w:sz w:val="20"/>
          <w:szCs w:val="20"/>
          <w:color w:val="auto"/>
        </w:rPr>
      </w:pPr>
    </w:p>
    <w:p>
      <w:pPr>
        <w:ind w:left="340" w:hanging="264"/>
        <w:spacing w:after="0"/>
        <w:tabs>
          <w:tab w:leader="none" w:pos="3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24, 2016.</w:t>
      </w:r>
    </w:p>
    <w:p>
      <w:pPr>
        <w:spacing w:after="0" w:line="8" w:lineRule="exact"/>
        <w:rPr>
          <w:sz w:val="20"/>
          <w:szCs w:val="20"/>
          <w:color w:val="auto"/>
        </w:rPr>
      </w:pPr>
    </w:p>
    <w:p>
      <w:pPr>
        <w:ind w:left="340" w:hanging="264"/>
        <w:spacing w:after="0"/>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23, 2016 and 2017.</w:t>
      </w:r>
    </w:p>
    <w:p>
      <w:pPr>
        <w:spacing w:after="0" w:line="8" w:lineRule="exact"/>
        <w:rPr>
          <w:sz w:val="20"/>
          <w:szCs w:val="20"/>
          <w:color w:val="auto"/>
        </w:rPr>
      </w:pPr>
    </w:p>
    <w:p>
      <w:pPr>
        <w:ind w:left="340" w:hanging="264"/>
        <w:spacing w:after="0"/>
        <w:tabs>
          <w:tab w:leader="none" w:pos="34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24, 2016, 2017 and 2018.</w:t>
      </w:r>
    </w:p>
    <w:p>
      <w:pPr>
        <w:spacing w:after="0" w:line="8" w:lineRule="exact"/>
        <w:rPr>
          <w:sz w:val="20"/>
          <w:szCs w:val="20"/>
          <w:color w:val="auto"/>
        </w:rPr>
      </w:pPr>
    </w:p>
    <w:p>
      <w:pPr>
        <w:ind w:left="340" w:hanging="264"/>
        <w:spacing w:after="0"/>
        <w:tabs>
          <w:tab w:leader="none" w:pos="3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21, 2016, 2017, 2018 and 2019.</w:t>
      </w:r>
    </w:p>
    <w:p>
      <w:pPr>
        <w:spacing w:after="0" w:line="8" w:lineRule="exact"/>
        <w:rPr>
          <w:sz w:val="20"/>
          <w:szCs w:val="20"/>
          <w:color w:val="auto"/>
        </w:rPr>
      </w:pPr>
    </w:p>
    <w:p>
      <w:pPr>
        <w:ind w:left="340" w:hanging="264"/>
        <w:spacing w:after="0"/>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on May 23, 2016.</w:t>
      </w:r>
    </w:p>
    <w:p>
      <w:pPr>
        <w:spacing w:after="0" w:line="8" w:lineRule="exact"/>
        <w:rPr>
          <w:sz w:val="20"/>
          <w:szCs w:val="20"/>
          <w:color w:val="auto"/>
        </w:rPr>
      </w:pPr>
    </w:p>
    <w:p>
      <w:pPr>
        <w:ind w:left="340" w:hanging="264"/>
        <w:spacing w:after="0"/>
        <w:tabs>
          <w:tab w:leader="none" w:pos="3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on May 22, 2017.</w:t>
      </w:r>
    </w:p>
    <w:p>
      <w:pPr>
        <w:spacing w:after="0" w:line="8" w:lineRule="exact"/>
        <w:rPr>
          <w:sz w:val="20"/>
          <w:szCs w:val="20"/>
          <w:color w:val="auto"/>
        </w:rPr>
      </w:pPr>
    </w:p>
    <w:p>
      <w:pPr>
        <w:ind w:left="340" w:hanging="264"/>
        <w:spacing w:after="0"/>
        <w:tabs>
          <w:tab w:leader="none" w:pos="3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August 21, 2019.</w:t>
      </w:r>
    </w:p>
    <w:p>
      <w:pPr>
        <w:spacing w:after="0" w:line="8" w:lineRule="exact"/>
        <w:rPr>
          <w:sz w:val="20"/>
          <w:szCs w:val="20"/>
          <w:color w:val="auto"/>
        </w:rPr>
      </w:pPr>
    </w:p>
    <w:p>
      <w:pPr>
        <w:ind w:left="340" w:hanging="264"/>
        <w:spacing w:after="0"/>
        <w:tabs>
          <w:tab w:leader="none" w:pos="3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on May 12, 2018.</w:t>
      </w:r>
    </w:p>
    <w:p>
      <w:pPr>
        <w:spacing w:after="0" w:line="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Incentive Stock Plan units restrictions lapse on December 1, 2016.</w:t>
      </w:r>
    </w:p>
    <w:p>
      <w:pPr>
        <w:spacing w:after="0" w:line="111" w:lineRule="exact"/>
        <w:rPr>
          <w:rFonts w:ascii="Arial" w:cs="Arial" w:eastAsia="Arial" w:hAnsi="Arial"/>
          <w:sz w:val="24"/>
          <w:szCs w:val="24"/>
          <w:color w:val="auto"/>
          <w:vertAlign w:val="superscript"/>
        </w:rPr>
      </w:pPr>
    </w:p>
    <w:p>
      <w:pPr>
        <w:ind w:left="340" w:hanging="332"/>
        <w:spacing w:after="0" w:line="189" w:lineRule="auto"/>
        <w:tabs>
          <w:tab w:leader="none" w:pos="3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Incentive Stock Plan units restrictions lapse on December 1, 2017.</w:t>
      </w:r>
    </w:p>
    <w:p>
      <w:pPr>
        <w:spacing w:after="0" w:line="111"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The amount for these outstanding awards of performance shares are presented at the threshold performance levels. The awards generally vest at December 31, 2016.</w:t>
      </w:r>
    </w:p>
    <w:p>
      <w:pPr>
        <w:spacing w:after="0" w:line="111"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The amount for these outstanding awards of performance shares are presented at the threshold performance levels. The awards generally vest at December 31, 2017.</w:t>
      </w:r>
    </w:p>
    <w:p>
      <w:pPr>
        <w:spacing w:after="0" w:line="128"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-119380</wp:posOffset>
            </wp:positionV>
            <wp:extent cx="34290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table below shows on an aggregated basis for each of the named executive officers information on (1) the exercise of options for the purchase of Martin Marietta’s common stock and (2) the vesting of stock, including restricted stock units and Incentive Stock Plan units, during the last completed fiscal year. There are no awards of stock appreciation rights for Martin Marietta’s common stock or other similar instruments.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54875" cy="14751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147510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Borders>
              <w:top w:val="single" w:sz="8" w:color="47829E"/>
            </w:tcBorders>
            <w:shd w:val="clear" w:color="auto" w:fill="47829E"/>
          </w:tcPr>
          <w:p>
            <w:pPr>
              <w:spacing w:after="0"/>
              <w:rPr>
                <w:sz w:val="17"/>
                <w:szCs w:val="17"/>
                <w:color w:val="auto"/>
              </w:rPr>
            </w:pPr>
          </w:p>
        </w:tc>
        <w:tc>
          <w:tcPr>
            <w:tcW w:w="4040" w:type="dxa"/>
            <w:vAlign w:val="bottom"/>
            <w:tcBorders>
              <w:top w:val="single" w:sz="8" w:color="47829E"/>
            </w:tcBorders>
            <w:gridSpan w:val="2"/>
            <w:shd w:val="clear" w:color="auto" w:fill="47829E"/>
          </w:tcPr>
          <w:p>
            <w:pPr>
              <w:ind w:left="1400"/>
              <w:spacing w:after="0"/>
              <w:rPr>
                <w:sz w:val="20"/>
                <w:szCs w:val="20"/>
                <w:color w:val="auto"/>
              </w:rPr>
            </w:pPr>
            <w:r>
              <w:rPr>
                <w:rFonts w:ascii="Arial" w:cs="Arial" w:eastAsia="Arial" w:hAnsi="Arial"/>
                <w:sz w:val="17"/>
                <w:szCs w:val="17"/>
                <w:b w:val="1"/>
                <w:bCs w:val="1"/>
                <w:color w:val="FFFFFF"/>
              </w:rPr>
              <w:t>OPTION AWARDS</w:t>
            </w:r>
          </w:p>
        </w:tc>
        <w:tc>
          <w:tcPr>
            <w:tcW w:w="3440" w:type="dxa"/>
            <w:vAlign w:val="bottom"/>
            <w:tcBorders>
              <w:top w:val="single" w:sz="8" w:color="47829E"/>
            </w:tcBorders>
            <w:gridSpan w:val="2"/>
            <w:shd w:val="clear" w:color="auto" w:fill="47829E"/>
          </w:tcPr>
          <w:p>
            <w:pPr>
              <w:jc w:val="right"/>
              <w:ind w:right="924"/>
              <w:spacing w:after="0"/>
              <w:rPr>
                <w:sz w:val="20"/>
                <w:szCs w:val="20"/>
                <w:color w:val="auto"/>
              </w:rPr>
            </w:pPr>
            <w:r>
              <w:rPr>
                <w:rFonts w:ascii="Arial" w:cs="Arial" w:eastAsia="Arial" w:hAnsi="Arial"/>
                <w:sz w:val="17"/>
                <w:szCs w:val="17"/>
                <w:b w:val="1"/>
                <w:bCs w:val="1"/>
                <w:color w:val="FFFFFF"/>
              </w:rPr>
              <w:t>STOCK AWARDS</w:t>
            </w:r>
          </w:p>
        </w:tc>
        <w:tc>
          <w:tcPr>
            <w:tcW w:w="20" w:type="dxa"/>
            <w:vAlign w:val="bottom"/>
            <w:tcBorders>
              <w:top w:val="single" w:sz="8" w:color="47829E"/>
            </w:tcBorders>
          </w:tcPr>
          <w:p>
            <w:pPr>
              <w:spacing w:after="0"/>
              <w:rPr>
                <w:sz w:val="17"/>
                <w:szCs w:val="17"/>
                <w:color w:val="auto"/>
              </w:rPr>
            </w:pPr>
          </w:p>
        </w:tc>
      </w:tr>
      <w:tr>
        <w:trPr>
          <w:trHeight w:val="176"/>
        </w:trPr>
        <w:tc>
          <w:tcPr>
            <w:tcW w:w="3940" w:type="dxa"/>
            <w:vAlign w:val="bottom"/>
            <w:shd w:val="clear" w:color="auto" w:fill="47829E"/>
          </w:tcPr>
          <w:p>
            <w:pPr>
              <w:spacing w:after="0"/>
              <w:rPr>
                <w:sz w:val="15"/>
                <w:szCs w:val="15"/>
                <w:color w:val="auto"/>
              </w:rPr>
            </w:pPr>
          </w:p>
        </w:tc>
        <w:tc>
          <w:tcPr>
            <w:tcW w:w="1880" w:type="dxa"/>
            <w:vAlign w:val="bottom"/>
            <w:shd w:val="clear" w:color="auto" w:fill="47829E"/>
          </w:tcPr>
          <w:p>
            <w:pPr>
              <w:jc w:val="center"/>
              <w:ind w:left="401"/>
              <w:spacing w:after="0" w:line="176" w:lineRule="exact"/>
              <w:rPr>
                <w:sz w:val="20"/>
                <w:szCs w:val="20"/>
                <w:color w:val="auto"/>
              </w:rPr>
            </w:pPr>
            <w:r>
              <w:rPr>
                <w:rFonts w:ascii="Arial" w:cs="Arial" w:eastAsia="Arial" w:hAnsi="Arial"/>
                <w:sz w:val="17"/>
                <w:szCs w:val="17"/>
                <w:b w:val="1"/>
                <w:bCs w:val="1"/>
                <w:color w:val="FFFFFF"/>
                <w:w w:val="99"/>
              </w:rPr>
              <w:t>Number</w:t>
            </w:r>
          </w:p>
        </w:tc>
        <w:tc>
          <w:tcPr>
            <w:tcW w:w="2160" w:type="dxa"/>
            <w:vAlign w:val="bottom"/>
            <w:shd w:val="clear" w:color="auto" w:fill="47829E"/>
          </w:tcPr>
          <w:p>
            <w:pPr>
              <w:spacing w:after="0"/>
              <w:rPr>
                <w:sz w:val="15"/>
                <w:szCs w:val="15"/>
                <w:color w:val="auto"/>
              </w:rPr>
            </w:pPr>
          </w:p>
        </w:tc>
        <w:tc>
          <w:tcPr>
            <w:tcW w:w="1460" w:type="dxa"/>
            <w:vAlign w:val="bottom"/>
            <w:shd w:val="clear" w:color="auto" w:fill="47829E"/>
          </w:tcPr>
          <w:p>
            <w:pPr>
              <w:jc w:val="center"/>
              <w:ind w:left="121"/>
              <w:spacing w:after="0" w:line="176" w:lineRule="exact"/>
              <w:rPr>
                <w:sz w:val="20"/>
                <w:szCs w:val="20"/>
                <w:color w:val="auto"/>
              </w:rPr>
            </w:pPr>
            <w:r>
              <w:rPr>
                <w:rFonts w:ascii="Arial" w:cs="Arial" w:eastAsia="Arial" w:hAnsi="Arial"/>
                <w:sz w:val="17"/>
                <w:szCs w:val="17"/>
                <w:b w:val="1"/>
                <w:bCs w:val="1"/>
                <w:color w:val="FFFFFF"/>
              </w:rPr>
              <w:t>Number of</w:t>
            </w:r>
          </w:p>
        </w:tc>
        <w:tc>
          <w:tcPr>
            <w:tcW w:w="1980" w:type="dxa"/>
            <w:vAlign w:val="bottom"/>
            <w:shd w:val="clear" w:color="auto" w:fill="47829E"/>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40" w:type="dxa"/>
            <w:vAlign w:val="bottom"/>
            <w:shd w:val="clear" w:color="auto" w:fill="47829E"/>
          </w:tcPr>
          <w:p>
            <w:pPr>
              <w:spacing w:after="0"/>
              <w:rPr>
                <w:sz w:val="16"/>
                <w:szCs w:val="16"/>
                <w:color w:val="auto"/>
              </w:rPr>
            </w:pPr>
          </w:p>
        </w:tc>
        <w:tc>
          <w:tcPr>
            <w:tcW w:w="1880" w:type="dxa"/>
            <w:vAlign w:val="bottom"/>
            <w:shd w:val="clear" w:color="auto" w:fill="47829E"/>
          </w:tcPr>
          <w:p>
            <w:pPr>
              <w:jc w:val="center"/>
              <w:ind w:left="421"/>
              <w:spacing w:after="0" w:line="189" w:lineRule="exact"/>
              <w:rPr>
                <w:sz w:val="20"/>
                <w:szCs w:val="20"/>
                <w:color w:val="auto"/>
              </w:rPr>
            </w:pPr>
            <w:r>
              <w:rPr>
                <w:rFonts w:ascii="Arial" w:cs="Arial" w:eastAsia="Arial" w:hAnsi="Arial"/>
                <w:sz w:val="17"/>
                <w:szCs w:val="17"/>
                <w:b w:val="1"/>
                <w:bCs w:val="1"/>
                <w:color w:val="FFFFFF"/>
              </w:rPr>
              <w:t>of Shares</w:t>
            </w:r>
          </w:p>
        </w:tc>
        <w:tc>
          <w:tcPr>
            <w:tcW w:w="2160" w:type="dxa"/>
            <w:vAlign w:val="bottom"/>
            <w:shd w:val="clear" w:color="auto" w:fill="47829E"/>
          </w:tcPr>
          <w:p>
            <w:pPr>
              <w:spacing w:after="0"/>
              <w:rPr>
                <w:sz w:val="16"/>
                <w:szCs w:val="16"/>
                <w:color w:val="auto"/>
              </w:rPr>
            </w:pPr>
          </w:p>
        </w:tc>
        <w:tc>
          <w:tcPr>
            <w:tcW w:w="1460" w:type="dxa"/>
            <w:vAlign w:val="bottom"/>
            <w:shd w:val="clear" w:color="auto" w:fill="47829E"/>
          </w:tcPr>
          <w:p>
            <w:pPr>
              <w:jc w:val="center"/>
              <w:ind w:left="121"/>
              <w:spacing w:after="0" w:line="189" w:lineRule="exact"/>
              <w:rPr>
                <w:sz w:val="20"/>
                <w:szCs w:val="20"/>
                <w:color w:val="auto"/>
              </w:rPr>
            </w:pPr>
            <w:r>
              <w:rPr>
                <w:rFonts w:ascii="Arial" w:cs="Arial" w:eastAsia="Arial" w:hAnsi="Arial"/>
                <w:sz w:val="17"/>
                <w:szCs w:val="17"/>
                <w:b w:val="1"/>
                <w:bCs w:val="1"/>
                <w:color w:val="FFFFFF"/>
              </w:rPr>
              <w:t>Shares</w:t>
            </w:r>
          </w:p>
        </w:tc>
        <w:tc>
          <w:tcPr>
            <w:tcW w:w="1980" w:type="dxa"/>
            <w:vAlign w:val="bottom"/>
            <w:shd w:val="clear" w:color="auto" w:fill="47829E"/>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940" w:type="dxa"/>
            <w:vAlign w:val="bottom"/>
            <w:shd w:val="clear" w:color="auto" w:fill="47829E"/>
          </w:tcPr>
          <w:p>
            <w:pPr>
              <w:spacing w:after="0"/>
              <w:rPr>
                <w:sz w:val="16"/>
                <w:szCs w:val="16"/>
                <w:color w:val="auto"/>
              </w:rPr>
            </w:pPr>
          </w:p>
        </w:tc>
        <w:tc>
          <w:tcPr>
            <w:tcW w:w="1880" w:type="dxa"/>
            <w:vAlign w:val="bottom"/>
            <w:shd w:val="clear" w:color="auto" w:fill="47829E"/>
          </w:tcPr>
          <w:p>
            <w:pPr>
              <w:jc w:val="center"/>
              <w:ind w:left="421"/>
              <w:spacing w:after="0" w:line="189" w:lineRule="exact"/>
              <w:rPr>
                <w:sz w:val="20"/>
                <w:szCs w:val="20"/>
                <w:color w:val="auto"/>
              </w:rPr>
            </w:pPr>
            <w:r>
              <w:rPr>
                <w:rFonts w:ascii="Arial" w:cs="Arial" w:eastAsia="Arial" w:hAnsi="Arial"/>
                <w:sz w:val="17"/>
                <w:szCs w:val="17"/>
                <w:b w:val="1"/>
                <w:bCs w:val="1"/>
                <w:color w:val="FFFFFF"/>
              </w:rPr>
              <w:t>Acquired</w:t>
            </w:r>
          </w:p>
        </w:tc>
        <w:tc>
          <w:tcPr>
            <w:tcW w:w="2160" w:type="dxa"/>
            <w:vAlign w:val="bottom"/>
            <w:shd w:val="clear" w:color="auto" w:fill="47829E"/>
          </w:tcPr>
          <w:p>
            <w:pPr>
              <w:jc w:val="center"/>
              <w:ind w:left="104"/>
              <w:spacing w:after="0" w:line="189" w:lineRule="exact"/>
              <w:rPr>
                <w:sz w:val="20"/>
                <w:szCs w:val="20"/>
                <w:color w:val="auto"/>
              </w:rPr>
            </w:pPr>
            <w:r>
              <w:rPr>
                <w:rFonts w:ascii="Arial" w:cs="Arial" w:eastAsia="Arial" w:hAnsi="Arial"/>
                <w:sz w:val="17"/>
                <w:szCs w:val="17"/>
                <w:b w:val="1"/>
                <w:bCs w:val="1"/>
                <w:color w:val="FFFFFF"/>
                <w:w w:val="99"/>
              </w:rPr>
              <w:t>Value Realized</w:t>
            </w:r>
          </w:p>
        </w:tc>
        <w:tc>
          <w:tcPr>
            <w:tcW w:w="1460" w:type="dxa"/>
            <w:vAlign w:val="bottom"/>
            <w:shd w:val="clear" w:color="auto" w:fill="47829E"/>
          </w:tcPr>
          <w:p>
            <w:pPr>
              <w:jc w:val="center"/>
              <w:ind w:left="121"/>
              <w:spacing w:after="0" w:line="189" w:lineRule="exact"/>
              <w:rPr>
                <w:sz w:val="20"/>
                <w:szCs w:val="20"/>
                <w:color w:val="auto"/>
              </w:rPr>
            </w:pPr>
            <w:r>
              <w:rPr>
                <w:rFonts w:ascii="Arial" w:cs="Arial" w:eastAsia="Arial" w:hAnsi="Arial"/>
                <w:sz w:val="17"/>
                <w:szCs w:val="17"/>
                <w:b w:val="1"/>
                <w:bCs w:val="1"/>
                <w:color w:val="FFFFFF"/>
              </w:rPr>
              <w:t>Acquired</w:t>
            </w:r>
          </w:p>
        </w:tc>
        <w:tc>
          <w:tcPr>
            <w:tcW w:w="1980" w:type="dxa"/>
            <w:vAlign w:val="bottom"/>
            <w:shd w:val="clear" w:color="auto" w:fill="47829E"/>
          </w:tcPr>
          <w:p>
            <w:pPr>
              <w:jc w:val="right"/>
              <w:ind w:right="144"/>
              <w:spacing w:after="0" w:line="189" w:lineRule="exact"/>
              <w:rPr>
                <w:sz w:val="20"/>
                <w:szCs w:val="20"/>
                <w:color w:val="auto"/>
              </w:rPr>
            </w:pPr>
            <w:r>
              <w:rPr>
                <w:rFonts w:ascii="Arial" w:cs="Arial" w:eastAsia="Arial" w:hAnsi="Arial"/>
                <w:sz w:val="17"/>
                <w:szCs w:val="17"/>
                <w:b w:val="1"/>
                <w:bCs w:val="1"/>
                <w:color w:val="FFFFFF"/>
              </w:rPr>
              <w:t>Value Realized</w:t>
            </w:r>
          </w:p>
        </w:tc>
        <w:tc>
          <w:tcPr>
            <w:tcW w:w="20" w:type="dxa"/>
            <w:vAlign w:val="bottom"/>
          </w:tcPr>
          <w:p>
            <w:pPr>
              <w:spacing w:after="0"/>
              <w:rPr>
                <w:sz w:val="16"/>
                <w:szCs w:val="16"/>
                <w:color w:val="auto"/>
              </w:rPr>
            </w:pPr>
          </w:p>
        </w:tc>
      </w:tr>
      <w:tr>
        <w:trPr>
          <w:trHeight w:val="30"/>
        </w:trPr>
        <w:tc>
          <w:tcPr>
            <w:tcW w:w="3940" w:type="dxa"/>
            <w:vAlign w:val="bottom"/>
            <w:shd w:val="clear" w:color="auto" w:fill="47829E"/>
          </w:tcPr>
          <w:p>
            <w:pPr>
              <w:spacing w:after="0"/>
              <w:rPr>
                <w:sz w:val="2"/>
                <w:szCs w:val="2"/>
                <w:color w:val="auto"/>
              </w:rPr>
            </w:pPr>
          </w:p>
        </w:tc>
        <w:tc>
          <w:tcPr>
            <w:tcW w:w="1880" w:type="dxa"/>
            <w:vAlign w:val="bottom"/>
            <w:shd w:val="clear" w:color="auto" w:fill="47829E"/>
          </w:tcPr>
          <w:p>
            <w:pPr>
              <w:jc w:val="center"/>
              <w:ind w:left="401"/>
              <w:spacing w:after="0" w:line="30" w:lineRule="exact"/>
              <w:rPr>
                <w:sz w:val="20"/>
                <w:szCs w:val="20"/>
                <w:color w:val="auto"/>
              </w:rPr>
            </w:pPr>
            <w:r>
              <w:rPr>
                <w:rFonts w:ascii="Arial" w:cs="Arial" w:eastAsia="Arial" w:hAnsi="Arial"/>
                <w:sz w:val="3"/>
                <w:szCs w:val="3"/>
                <w:b w:val="1"/>
                <w:bCs w:val="1"/>
                <w:color w:val="FFFFFF"/>
              </w:rPr>
              <w:t>on Exercise</w:t>
            </w:r>
          </w:p>
        </w:tc>
        <w:tc>
          <w:tcPr>
            <w:tcW w:w="2160" w:type="dxa"/>
            <w:vAlign w:val="bottom"/>
            <w:shd w:val="clear" w:color="auto" w:fill="47829E"/>
          </w:tcPr>
          <w:p>
            <w:pPr>
              <w:jc w:val="center"/>
              <w:ind w:left="124"/>
              <w:spacing w:after="0" w:line="30" w:lineRule="exact"/>
              <w:rPr>
                <w:sz w:val="20"/>
                <w:szCs w:val="20"/>
                <w:color w:val="auto"/>
              </w:rPr>
            </w:pPr>
            <w:r>
              <w:rPr>
                <w:rFonts w:ascii="Arial" w:cs="Arial" w:eastAsia="Arial" w:hAnsi="Arial"/>
                <w:sz w:val="3"/>
                <w:szCs w:val="3"/>
                <w:b w:val="1"/>
                <w:bCs w:val="1"/>
                <w:color w:val="FFFFFF"/>
              </w:rPr>
              <w:t>on Exercise</w:t>
            </w:r>
          </w:p>
        </w:tc>
        <w:tc>
          <w:tcPr>
            <w:tcW w:w="1460" w:type="dxa"/>
            <w:vAlign w:val="bottom"/>
            <w:shd w:val="clear" w:color="auto" w:fill="47829E"/>
          </w:tcPr>
          <w:p>
            <w:pPr>
              <w:jc w:val="center"/>
              <w:ind w:left="121"/>
              <w:spacing w:after="0" w:line="30" w:lineRule="exact"/>
              <w:rPr>
                <w:sz w:val="20"/>
                <w:szCs w:val="20"/>
                <w:color w:val="auto"/>
              </w:rPr>
            </w:pPr>
            <w:r>
              <w:rPr>
                <w:rFonts w:ascii="Arial" w:cs="Arial" w:eastAsia="Arial" w:hAnsi="Arial"/>
                <w:sz w:val="3"/>
                <w:szCs w:val="3"/>
                <w:b w:val="1"/>
                <w:bCs w:val="1"/>
                <w:color w:val="FFFFFF"/>
              </w:rPr>
              <w:t>on Vesting</w:t>
            </w:r>
          </w:p>
        </w:tc>
        <w:tc>
          <w:tcPr>
            <w:tcW w:w="1980" w:type="dxa"/>
            <w:vAlign w:val="bottom"/>
            <w:shd w:val="clear" w:color="auto" w:fill="47829E"/>
          </w:tcPr>
          <w:p>
            <w:pPr>
              <w:jc w:val="right"/>
              <w:ind w:right="344"/>
              <w:spacing w:after="0" w:line="30" w:lineRule="exact"/>
              <w:rPr>
                <w:sz w:val="20"/>
                <w:szCs w:val="20"/>
                <w:color w:val="auto"/>
              </w:rPr>
            </w:pPr>
            <w:r>
              <w:rPr>
                <w:rFonts w:ascii="Arial" w:cs="Arial" w:eastAsia="Arial" w:hAnsi="Arial"/>
                <w:sz w:val="3"/>
                <w:szCs w:val="3"/>
                <w:b w:val="1"/>
                <w:bCs w:val="1"/>
                <w:color w:val="FFFFFF"/>
              </w:rPr>
              <w:t>on Vesting</w:t>
            </w:r>
          </w:p>
        </w:tc>
        <w:tc>
          <w:tcPr>
            <w:tcW w:w="20" w:type="dxa"/>
            <w:vAlign w:val="bottom"/>
          </w:tcPr>
          <w:p>
            <w:pPr>
              <w:spacing w:after="0"/>
              <w:rPr>
                <w:sz w:val="2"/>
                <w:szCs w:val="2"/>
                <w:color w:val="auto"/>
              </w:rPr>
            </w:pPr>
          </w:p>
        </w:tc>
      </w:tr>
      <w:tr>
        <w:trPr>
          <w:trHeight w:val="159"/>
        </w:trPr>
        <w:tc>
          <w:tcPr>
            <w:tcW w:w="3940" w:type="dxa"/>
            <w:vAlign w:val="bottom"/>
            <w:shd w:val="clear" w:color="auto" w:fill="47829E"/>
          </w:tcPr>
          <w:p>
            <w:pPr>
              <w:spacing w:after="0"/>
              <w:rPr>
                <w:sz w:val="13"/>
                <w:szCs w:val="13"/>
                <w:color w:val="auto"/>
              </w:rPr>
            </w:pPr>
          </w:p>
        </w:tc>
        <w:tc>
          <w:tcPr>
            <w:tcW w:w="1880" w:type="dxa"/>
            <w:vAlign w:val="bottom"/>
            <w:shd w:val="clear" w:color="auto" w:fill="47829E"/>
          </w:tcPr>
          <w:p>
            <w:pPr>
              <w:spacing w:after="0"/>
              <w:rPr>
                <w:sz w:val="13"/>
                <w:szCs w:val="13"/>
                <w:color w:val="auto"/>
              </w:rPr>
            </w:pPr>
          </w:p>
        </w:tc>
        <w:tc>
          <w:tcPr>
            <w:tcW w:w="2160" w:type="dxa"/>
            <w:vAlign w:val="bottom"/>
            <w:shd w:val="clear" w:color="auto" w:fill="47829E"/>
          </w:tcPr>
          <w:p>
            <w:pPr>
              <w:spacing w:after="0"/>
              <w:rPr>
                <w:sz w:val="13"/>
                <w:szCs w:val="13"/>
                <w:color w:val="auto"/>
              </w:rPr>
            </w:pPr>
          </w:p>
        </w:tc>
        <w:tc>
          <w:tcPr>
            <w:tcW w:w="1460" w:type="dxa"/>
            <w:vAlign w:val="bottom"/>
            <w:shd w:val="clear" w:color="auto" w:fill="47829E"/>
          </w:tcPr>
          <w:p>
            <w:pPr>
              <w:spacing w:after="0"/>
              <w:rPr>
                <w:sz w:val="13"/>
                <w:szCs w:val="13"/>
                <w:color w:val="auto"/>
              </w:rPr>
            </w:pPr>
          </w:p>
        </w:tc>
        <w:tc>
          <w:tcPr>
            <w:tcW w:w="1980" w:type="dxa"/>
            <w:vAlign w:val="bottom"/>
            <w:shd w:val="clear" w:color="auto" w:fill="47829E"/>
          </w:tcPr>
          <w:p>
            <w:pPr>
              <w:jc w:val="right"/>
              <w:ind w:right="264"/>
              <w:spacing w:after="0" w:line="159" w:lineRule="exact"/>
              <w:rPr>
                <w:sz w:val="20"/>
                <w:szCs w:val="20"/>
                <w:color w:val="auto"/>
              </w:rPr>
            </w:pPr>
            <w:r>
              <w:rPr>
                <w:rFonts w:ascii="Arial" w:cs="Arial" w:eastAsia="Arial" w:hAnsi="Arial"/>
                <w:sz w:val="15"/>
                <w:szCs w:val="15"/>
                <w:b w:val="1"/>
                <w:bCs w:val="1"/>
                <w:color w:val="FFFFFF"/>
              </w:rPr>
              <w:t>1</w:t>
            </w:r>
          </w:p>
        </w:tc>
        <w:tc>
          <w:tcPr>
            <w:tcW w:w="20" w:type="dxa"/>
            <w:vAlign w:val="bottom"/>
          </w:tcPr>
          <w:p>
            <w:pPr>
              <w:spacing w:after="0"/>
              <w:rPr>
                <w:sz w:val="13"/>
                <w:szCs w:val="13"/>
                <w:color w:val="auto"/>
              </w:rPr>
            </w:pPr>
          </w:p>
        </w:tc>
      </w:tr>
      <w:tr>
        <w:trPr>
          <w:trHeight w:val="189"/>
        </w:trPr>
        <w:tc>
          <w:tcPr>
            <w:tcW w:w="3940" w:type="dxa"/>
            <w:vAlign w:val="bottom"/>
            <w:shd w:val="clear" w:color="auto" w:fill="47829E"/>
          </w:tcPr>
          <w:p>
            <w:pPr>
              <w:ind w:left="160"/>
              <w:spacing w:after="0" w:line="189" w:lineRule="exact"/>
              <w:rPr>
                <w:sz w:val="20"/>
                <w:szCs w:val="20"/>
                <w:color w:val="auto"/>
              </w:rPr>
            </w:pPr>
            <w:r>
              <w:rPr>
                <w:rFonts w:ascii="Arial" w:cs="Arial" w:eastAsia="Arial" w:hAnsi="Arial"/>
                <w:sz w:val="17"/>
                <w:szCs w:val="17"/>
                <w:b w:val="1"/>
                <w:bCs w:val="1"/>
                <w:color w:val="FFFFFF"/>
              </w:rPr>
              <w:t>Name</w:t>
            </w:r>
          </w:p>
        </w:tc>
        <w:tc>
          <w:tcPr>
            <w:tcW w:w="1880" w:type="dxa"/>
            <w:vAlign w:val="bottom"/>
            <w:shd w:val="clear" w:color="auto" w:fill="47829E"/>
          </w:tcPr>
          <w:p>
            <w:pPr>
              <w:jc w:val="center"/>
              <w:ind w:left="421"/>
              <w:spacing w:after="0" w:line="189" w:lineRule="exact"/>
              <w:rPr>
                <w:sz w:val="20"/>
                <w:szCs w:val="20"/>
                <w:color w:val="auto"/>
              </w:rPr>
            </w:pPr>
            <w:r>
              <w:rPr>
                <w:rFonts w:ascii="Arial" w:cs="Arial" w:eastAsia="Arial" w:hAnsi="Arial"/>
                <w:sz w:val="17"/>
                <w:szCs w:val="17"/>
                <w:b w:val="1"/>
                <w:bCs w:val="1"/>
                <w:color w:val="FFFFFF"/>
              </w:rPr>
              <w:t>(#)</w:t>
            </w:r>
          </w:p>
        </w:tc>
        <w:tc>
          <w:tcPr>
            <w:tcW w:w="2160" w:type="dxa"/>
            <w:vAlign w:val="bottom"/>
            <w:shd w:val="clear" w:color="auto" w:fill="47829E"/>
          </w:tcPr>
          <w:p>
            <w:pPr>
              <w:jc w:val="center"/>
              <w:ind w:left="104"/>
              <w:spacing w:after="0" w:line="189" w:lineRule="exact"/>
              <w:rPr>
                <w:sz w:val="20"/>
                <w:szCs w:val="20"/>
                <w:color w:val="auto"/>
              </w:rPr>
            </w:pPr>
            <w:r>
              <w:rPr>
                <w:rFonts w:ascii="Arial" w:cs="Arial" w:eastAsia="Arial" w:hAnsi="Arial"/>
                <w:sz w:val="17"/>
                <w:szCs w:val="17"/>
                <w:b w:val="1"/>
                <w:bCs w:val="1"/>
                <w:color w:val="FFFFFF"/>
              </w:rPr>
              <w:t>($)</w:t>
            </w:r>
          </w:p>
        </w:tc>
        <w:tc>
          <w:tcPr>
            <w:tcW w:w="1460" w:type="dxa"/>
            <w:vAlign w:val="bottom"/>
            <w:shd w:val="clear" w:color="auto" w:fill="47829E"/>
          </w:tcPr>
          <w:p>
            <w:pPr>
              <w:jc w:val="center"/>
              <w:ind w:left="121"/>
              <w:spacing w:after="0" w:line="189" w:lineRule="exact"/>
              <w:rPr>
                <w:sz w:val="20"/>
                <w:szCs w:val="20"/>
                <w:color w:val="auto"/>
              </w:rPr>
            </w:pPr>
            <w:r>
              <w:rPr>
                <w:rFonts w:ascii="Arial" w:cs="Arial" w:eastAsia="Arial" w:hAnsi="Arial"/>
                <w:sz w:val="17"/>
                <w:szCs w:val="17"/>
                <w:b w:val="1"/>
                <w:bCs w:val="1"/>
                <w:color w:val="FFFFFF"/>
              </w:rPr>
              <w:t>(#)</w:t>
            </w:r>
          </w:p>
        </w:tc>
        <w:tc>
          <w:tcPr>
            <w:tcW w:w="1980" w:type="dxa"/>
            <w:vAlign w:val="bottom"/>
            <w:shd w:val="clear" w:color="auto" w:fill="47829E"/>
          </w:tcPr>
          <w:p>
            <w:pPr>
              <w:jc w:val="right"/>
              <w:ind w:right="624"/>
              <w:spacing w:after="0" w:line="189" w:lineRule="exact"/>
              <w:rPr>
                <w:sz w:val="20"/>
                <w:szCs w:val="20"/>
                <w:color w:val="auto"/>
              </w:rPr>
            </w:pPr>
            <w:r>
              <w:rPr>
                <w:rFonts w:ascii="Arial" w:cs="Arial" w:eastAsia="Arial" w:hAnsi="Arial"/>
                <w:sz w:val="17"/>
                <w:szCs w:val="17"/>
                <w:b w:val="1"/>
                <w:bCs w:val="1"/>
                <w:color w:val="FFFFFF"/>
              </w:rPr>
              <w:t>($)</w:t>
            </w:r>
          </w:p>
        </w:tc>
        <w:tc>
          <w:tcPr>
            <w:tcW w:w="20" w:type="dxa"/>
            <w:vAlign w:val="bottom"/>
          </w:tcPr>
          <w:p>
            <w:pPr>
              <w:spacing w:after="0"/>
              <w:rPr>
                <w:sz w:val="16"/>
                <w:szCs w:val="16"/>
                <w:color w:val="auto"/>
              </w:rPr>
            </w:pPr>
          </w:p>
        </w:tc>
      </w:tr>
      <w:tr>
        <w:trPr>
          <w:trHeight w:val="229"/>
        </w:trPr>
        <w:tc>
          <w:tcPr>
            <w:tcW w:w="3940" w:type="dxa"/>
            <w:vAlign w:val="bottom"/>
            <w:shd w:val="clear" w:color="auto" w:fill="47829E"/>
          </w:tcPr>
          <w:p>
            <w:pPr>
              <w:ind w:left="160"/>
              <w:spacing w:after="0"/>
              <w:rPr>
                <w:sz w:val="20"/>
                <w:szCs w:val="20"/>
                <w:color w:val="auto"/>
              </w:rPr>
            </w:pPr>
            <w:r>
              <w:rPr>
                <w:rFonts w:ascii="Arial" w:cs="Arial" w:eastAsia="Arial" w:hAnsi="Arial"/>
                <w:sz w:val="17"/>
                <w:szCs w:val="17"/>
                <w:b w:val="1"/>
                <w:bCs w:val="1"/>
                <w:color w:val="FFFFFF"/>
              </w:rPr>
              <w:t>(a)</w:t>
            </w:r>
          </w:p>
        </w:tc>
        <w:tc>
          <w:tcPr>
            <w:tcW w:w="1880" w:type="dxa"/>
            <w:vAlign w:val="bottom"/>
            <w:shd w:val="clear" w:color="auto" w:fill="47829E"/>
          </w:tcPr>
          <w:p>
            <w:pPr>
              <w:jc w:val="center"/>
              <w:ind w:left="421"/>
              <w:spacing w:after="0"/>
              <w:rPr>
                <w:sz w:val="20"/>
                <w:szCs w:val="20"/>
                <w:color w:val="auto"/>
              </w:rPr>
            </w:pPr>
            <w:r>
              <w:rPr>
                <w:rFonts w:ascii="Arial" w:cs="Arial" w:eastAsia="Arial" w:hAnsi="Arial"/>
                <w:sz w:val="17"/>
                <w:szCs w:val="17"/>
                <w:b w:val="1"/>
                <w:bCs w:val="1"/>
                <w:color w:val="FFFFFF"/>
              </w:rPr>
              <w:t>(b)</w:t>
            </w:r>
          </w:p>
        </w:tc>
        <w:tc>
          <w:tcPr>
            <w:tcW w:w="2160" w:type="dxa"/>
            <w:vAlign w:val="bottom"/>
            <w:shd w:val="clear" w:color="auto" w:fill="47829E"/>
          </w:tcPr>
          <w:p>
            <w:pPr>
              <w:jc w:val="center"/>
              <w:ind w:left="104"/>
              <w:spacing w:after="0"/>
              <w:rPr>
                <w:sz w:val="20"/>
                <w:szCs w:val="20"/>
                <w:color w:val="auto"/>
              </w:rPr>
            </w:pPr>
            <w:r>
              <w:rPr>
                <w:rFonts w:ascii="Arial" w:cs="Arial" w:eastAsia="Arial" w:hAnsi="Arial"/>
                <w:sz w:val="17"/>
                <w:szCs w:val="17"/>
                <w:b w:val="1"/>
                <w:bCs w:val="1"/>
                <w:color w:val="FFFFFF"/>
              </w:rPr>
              <w:t>(c)</w:t>
            </w:r>
          </w:p>
        </w:tc>
        <w:tc>
          <w:tcPr>
            <w:tcW w:w="1460" w:type="dxa"/>
            <w:vAlign w:val="bottom"/>
            <w:shd w:val="clear" w:color="auto" w:fill="47829E"/>
          </w:tcPr>
          <w:p>
            <w:pPr>
              <w:jc w:val="center"/>
              <w:ind w:left="121"/>
              <w:spacing w:after="0"/>
              <w:rPr>
                <w:sz w:val="20"/>
                <w:szCs w:val="20"/>
                <w:color w:val="auto"/>
              </w:rPr>
            </w:pPr>
            <w:r>
              <w:rPr>
                <w:rFonts w:ascii="Arial" w:cs="Arial" w:eastAsia="Arial" w:hAnsi="Arial"/>
                <w:sz w:val="17"/>
                <w:szCs w:val="17"/>
                <w:b w:val="1"/>
                <w:bCs w:val="1"/>
                <w:color w:val="FFFFFF"/>
              </w:rPr>
              <w:t>(d)</w:t>
            </w:r>
          </w:p>
        </w:tc>
        <w:tc>
          <w:tcPr>
            <w:tcW w:w="1980" w:type="dxa"/>
            <w:vAlign w:val="bottom"/>
            <w:shd w:val="clear" w:color="auto" w:fill="47829E"/>
          </w:tcPr>
          <w:p>
            <w:pPr>
              <w:jc w:val="right"/>
              <w:ind w:right="624"/>
              <w:spacing w:after="0"/>
              <w:rPr>
                <w:sz w:val="20"/>
                <w:szCs w:val="20"/>
                <w:color w:val="auto"/>
              </w:rPr>
            </w:pPr>
            <w:r>
              <w:rPr>
                <w:rFonts w:ascii="Arial" w:cs="Arial" w:eastAsia="Arial" w:hAnsi="Arial"/>
                <w:sz w:val="17"/>
                <w:szCs w:val="17"/>
                <w:b w:val="1"/>
                <w:bCs w:val="1"/>
                <w:color w:val="FFFFFF"/>
              </w:rPr>
              <w:t>(e)</w:t>
            </w:r>
          </w:p>
        </w:tc>
        <w:tc>
          <w:tcPr>
            <w:tcW w:w="20" w:type="dxa"/>
            <w:vAlign w:val="bottom"/>
          </w:tcPr>
          <w:p>
            <w:pPr>
              <w:spacing w:after="0"/>
              <w:rPr>
                <w:sz w:val="19"/>
                <w:szCs w:val="19"/>
                <w:color w:val="auto"/>
              </w:rPr>
            </w:pPr>
          </w:p>
        </w:tc>
      </w:tr>
      <w:tr>
        <w:trPr>
          <w:trHeight w:val="189"/>
        </w:trPr>
        <w:tc>
          <w:tcPr>
            <w:tcW w:w="394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C. Howard Nye</w:t>
            </w:r>
          </w:p>
        </w:tc>
        <w:tc>
          <w:tcPr>
            <w:tcW w:w="1880" w:type="dxa"/>
            <w:vAlign w:val="bottom"/>
          </w:tcPr>
          <w:p>
            <w:pPr>
              <w:jc w:val="right"/>
              <w:ind w:right="361"/>
              <w:spacing w:after="0" w:line="189" w:lineRule="exact"/>
              <w:rPr>
                <w:sz w:val="20"/>
                <w:szCs w:val="20"/>
                <w:color w:val="auto"/>
              </w:rPr>
            </w:pPr>
            <w:r>
              <w:rPr>
                <w:rFonts w:ascii="Arial" w:cs="Arial" w:eastAsia="Arial" w:hAnsi="Arial"/>
                <w:sz w:val="17"/>
                <w:szCs w:val="17"/>
                <w:color w:val="auto"/>
              </w:rPr>
              <w:t>13,165</w:t>
            </w:r>
          </w:p>
        </w:tc>
        <w:tc>
          <w:tcPr>
            <w:tcW w:w="2160" w:type="dxa"/>
            <w:vAlign w:val="bottom"/>
          </w:tcPr>
          <w:p>
            <w:pPr>
              <w:jc w:val="center"/>
              <w:ind w:left="104"/>
              <w:spacing w:after="0" w:line="189" w:lineRule="exact"/>
              <w:rPr>
                <w:sz w:val="20"/>
                <w:szCs w:val="20"/>
                <w:color w:val="auto"/>
              </w:rPr>
            </w:pPr>
            <w:r>
              <w:rPr>
                <w:rFonts w:ascii="Arial" w:cs="Arial" w:eastAsia="Arial" w:hAnsi="Arial"/>
                <w:sz w:val="17"/>
                <w:szCs w:val="17"/>
                <w:color w:val="auto"/>
              </w:rPr>
              <w:t>17,279</w:t>
            </w:r>
          </w:p>
        </w:tc>
        <w:tc>
          <w:tcPr>
            <w:tcW w:w="1460" w:type="dxa"/>
            <w:vAlign w:val="bottom"/>
          </w:tcPr>
          <w:p>
            <w:pPr>
              <w:jc w:val="right"/>
              <w:ind w:right="301"/>
              <w:spacing w:after="0" w:line="189" w:lineRule="exact"/>
              <w:rPr>
                <w:sz w:val="20"/>
                <w:szCs w:val="20"/>
                <w:color w:val="auto"/>
              </w:rPr>
            </w:pPr>
            <w:r>
              <w:rPr>
                <w:rFonts w:ascii="Arial" w:cs="Arial" w:eastAsia="Arial" w:hAnsi="Arial"/>
                <w:sz w:val="17"/>
                <w:szCs w:val="17"/>
                <w:color w:val="auto"/>
              </w:rPr>
              <w:t>17,112</w:t>
            </w:r>
          </w:p>
        </w:tc>
        <w:tc>
          <w:tcPr>
            <w:tcW w:w="1980" w:type="dxa"/>
            <w:vAlign w:val="bottom"/>
          </w:tcPr>
          <w:p>
            <w:pPr>
              <w:jc w:val="right"/>
              <w:ind w:right="284"/>
              <w:spacing w:after="0" w:line="189" w:lineRule="exact"/>
              <w:rPr>
                <w:sz w:val="20"/>
                <w:szCs w:val="20"/>
                <w:color w:val="auto"/>
              </w:rPr>
            </w:pPr>
            <w:r>
              <w:rPr>
                <w:rFonts w:ascii="Arial" w:cs="Arial" w:eastAsia="Arial" w:hAnsi="Arial"/>
                <w:sz w:val="17"/>
                <w:szCs w:val="17"/>
                <w:color w:val="auto"/>
              </w:rPr>
              <w:t>2,395,627</w:t>
            </w:r>
          </w:p>
        </w:tc>
        <w:tc>
          <w:tcPr>
            <w:tcW w:w="20" w:type="dxa"/>
            <w:vAlign w:val="bottom"/>
          </w:tcPr>
          <w:p>
            <w:pPr>
              <w:spacing w:after="0"/>
              <w:rPr>
                <w:sz w:val="16"/>
                <w:szCs w:val="16"/>
                <w:color w:val="auto"/>
              </w:rPr>
            </w:pPr>
          </w:p>
        </w:tc>
      </w:tr>
      <w:tr>
        <w:trPr>
          <w:trHeight w:val="189"/>
        </w:trPr>
        <w:tc>
          <w:tcPr>
            <w:tcW w:w="394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b w:val="1"/>
                <w:bCs w:val="1"/>
                <w:color w:val="auto"/>
              </w:rPr>
              <w:t>Anne H. Lloyd</w:t>
            </w:r>
          </w:p>
        </w:tc>
        <w:tc>
          <w:tcPr>
            <w:tcW w:w="1880" w:type="dxa"/>
            <w:vAlign w:val="bottom"/>
            <w:shd w:val="clear" w:color="auto" w:fill="DAE6EB"/>
          </w:tcPr>
          <w:p>
            <w:pPr>
              <w:jc w:val="right"/>
              <w:ind w:right="361"/>
              <w:spacing w:after="0" w:line="189" w:lineRule="exact"/>
              <w:rPr>
                <w:sz w:val="20"/>
                <w:szCs w:val="20"/>
                <w:color w:val="auto"/>
              </w:rPr>
            </w:pPr>
            <w:r>
              <w:rPr>
                <w:rFonts w:ascii="Arial" w:cs="Arial" w:eastAsia="Arial" w:hAnsi="Arial"/>
                <w:sz w:val="17"/>
                <w:szCs w:val="17"/>
                <w:color w:val="auto"/>
              </w:rPr>
              <w:t>8,602</w:t>
            </w:r>
          </w:p>
        </w:tc>
        <w:tc>
          <w:tcPr>
            <w:tcW w:w="2160" w:type="dxa"/>
            <w:vAlign w:val="bottom"/>
            <w:shd w:val="clear" w:color="auto" w:fill="DAE6EB"/>
          </w:tcPr>
          <w:p>
            <w:pPr>
              <w:jc w:val="center"/>
              <w:ind w:left="104"/>
              <w:spacing w:after="0" w:line="189" w:lineRule="exact"/>
              <w:rPr>
                <w:sz w:val="20"/>
                <w:szCs w:val="20"/>
                <w:color w:val="auto"/>
              </w:rPr>
            </w:pPr>
            <w:r>
              <w:rPr>
                <w:rFonts w:ascii="Arial" w:cs="Arial" w:eastAsia="Arial" w:hAnsi="Arial"/>
                <w:sz w:val="17"/>
                <w:szCs w:val="17"/>
                <w:color w:val="auto"/>
              </w:rPr>
              <w:t>17,032</w:t>
            </w:r>
          </w:p>
        </w:tc>
        <w:tc>
          <w:tcPr>
            <w:tcW w:w="1460" w:type="dxa"/>
            <w:vAlign w:val="bottom"/>
            <w:shd w:val="clear" w:color="auto" w:fill="DAE6EB"/>
          </w:tcPr>
          <w:p>
            <w:pPr>
              <w:jc w:val="right"/>
              <w:ind w:right="301"/>
              <w:spacing w:after="0" w:line="189" w:lineRule="exact"/>
              <w:rPr>
                <w:sz w:val="20"/>
                <w:szCs w:val="20"/>
                <w:color w:val="auto"/>
              </w:rPr>
            </w:pPr>
            <w:r>
              <w:rPr>
                <w:rFonts w:ascii="Arial" w:cs="Arial" w:eastAsia="Arial" w:hAnsi="Arial"/>
                <w:sz w:val="17"/>
                <w:szCs w:val="17"/>
                <w:color w:val="auto"/>
              </w:rPr>
              <w:t>5,635</w:t>
            </w:r>
          </w:p>
        </w:tc>
        <w:tc>
          <w:tcPr>
            <w:tcW w:w="1980" w:type="dxa"/>
            <w:vAlign w:val="bottom"/>
            <w:shd w:val="clear" w:color="auto" w:fill="DAE6EB"/>
          </w:tcPr>
          <w:p>
            <w:pPr>
              <w:jc w:val="right"/>
              <w:ind w:right="284"/>
              <w:spacing w:after="0" w:line="189" w:lineRule="exact"/>
              <w:rPr>
                <w:sz w:val="20"/>
                <w:szCs w:val="20"/>
                <w:color w:val="auto"/>
              </w:rPr>
            </w:pPr>
            <w:r>
              <w:rPr>
                <w:rFonts w:ascii="Arial" w:cs="Arial" w:eastAsia="Arial" w:hAnsi="Arial"/>
                <w:sz w:val="17"/>
                <w:szCs w:val="17"/>
                <w:color w:val="auto"/>
              </w:rPr>
              <w:t>798,766</w:t>
            </w:r>
          </w:p>
        </w:tc>
        <w:tc>
          <w:tcPr>
            <w:tcW w:w="20" w:type="dxa"/>
            <w:vAlign w:val="bottom"/>
          </w:tcPr>
          <w:p>
            <w:pPr>
              <w:spacing w:after="0"/>
              <w:rPr>
                <w:sz w:val="16"/>
                <w:szCs w:val="16"/>
                <w:color w:val="auto"/>
              </w:rPr>
            </w:pPr>
          </w:p>
        </w:tc>
      </w:tr>
      <w:tr>
        <w:trPr>
          <w:trHeight w:val="189"/>
        </w:trPr>
        <w:tc>
          <w:tcPr>
            <w:tcW w:w="394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Roselyn R. Bar</w:t>
            </w:r>
          </w:p>
        </w:tc>
        <w:tc>
          <w:tcPr>
            <w:tcW w:w="1880" w:type="dxa"/>
            <w:vAlign w:val="bottom"/>
          </w:tcPr>
          <w:p>
            <w:pPr>
              <w:jc w:val="right"/>
              <w:ind w:right="361"/>
              <w:spacing w:after="0" w:line="189" w:lineRule="exact"/>
              <w:rPr>
                <w:sz w:val="20"/>
                <w:szCs w:val="20"/>
                <w:color w:val="auto"/>
              </w:rPr>
            </w:pPr>
            <w:r>
              <w:rPr>
                <w:rFonts w:ascii="Arial" w:cs="Arial" w:eastAsia="Arial" w:hAnsi="Arial"/>
                <w:sz w:val="17"/>
                <w:szCs w:val="17"/>
                <w:color w:val="auto"/>
              </w:rPr>
              <w:t>7,021</w:t>
            </w:r>
          </w:p>
        </w:tc>
        <w:tc>
          <w:tcPr>
            <w:tcW w:w="2160" w:type="dxa"/>
            <w:vAlign w:val="bottom"/>
          </w:tcPr>
          <w:p>
            <w:pPr>
              <w:jc w:val="center"/>
              <w:ind w:left="104"/>
              <w:spacing w:after="0" w:line="189" w:lineRule="exact"/>
              <w:rPr>
                <w:sz w:val="20"/>
                <w:szCs w:val="20"/>
                <w:color w:val="auto"/>
              </w:rPr>
            </w:pPr>
            <w:r>
              <w:rPr>
                <w:rFonts w:ascii="Arial" w:cs="Arial" w:eastAsia="Arial" w:hAnsi="Arial"/>
                <w:sz w:val="17"/>
                <w:szCs w:val="17"/>
                <w:color w:val="auto"/>
              </w:rPr>
              <w:t>17,491</w:t>
            </w:r>
          </w:p>
        </w:tc>
        <w:tc>
          <w:tcPr>
            <w:tcW w:w="1460" w:type="dxa"/>
            <w:vAlign w:val="bottom"/>
          </w:tcPr>
          <w:p>
            <w:pPr>
              <w:jc w:val="right"/>
              <w:ind w:right="301"/>
              <w:spacing w:after="0" w:line="189" w:lineRule="exact"/>
              <w:rPr>
                <w:sz w:val="20"/>
                <w:szCs w:val="20"/>
                <w:color w:val="auto"/>
              </w:rPr>
            </w:pPr>
            <w:r>
              <w:rPr>
                <w:rFonts w:ascii="Arial" w:cs="Arial" w:eastAsia="Arial" w:hAnsi="Arial"/>
                <w:sz w:val="17"/>
                <w:szCs w:val="17"/>
                <w:color w:val="auto"/>
              </w:rPr>
              <w:t>4,588</w:t>
            </w:r>
          </w:p>
        </w:tc>
        <w:tc>
          <w:tcPr>
            <w:tcW w:w="1980" w:type="dxa"/>
            <w:vAlign w:val="bottom"/>
          </w:tcPr>
          <w:p>
            <w:pPr>
              <w:jc w:val="right"/>
              <w:ind w:right="284"/>
              <w:spacing w:after="0" w:line="189" w:lineRule="exact"/>
              <w:rPr>
                <w:sz w:val="20"/>
                <w:szCs w:val="20"/>
                <w:color w:val="auto"/>
              </w:rPr>
            </w:pPr>
            <w:r>
              <w:rPr>
                <w:rFonts w:ascii="Arial" w:cs="Arial" w:eastAsia="Arial" w:hAnsi="Arial"/>
                <w:sz w:val="17"/>
                <w:szCs w:val="17"/>
                <w:color w:val="auto"/>
              </w:rPr>
              <w:t>651,074</w:t>
            </w:r>
          </w:p>
        </w:tc>
        <w:tc>
          <w:tcPr>
            <w:tcW w:w="20" w:type="dxa"/>
            <w:vAlign w:val="bottom"/>
          </w:tcPr>
          <w:p>
            <w:pPr>
              <w:spacing w:after="0"/>
              <w:rPr>
                <w:sz w:val="16"/>
                <w:szCs w:val="16"/>
                <w:color w:val="auto"/>
              </w:rPr>
            </w:pPr>
          </w:p>
        </w:tc>
      </w:tr>
      <w:tr>
        <w:trPr>
          <w:trHeight w:val="189"/>
        </w:trPr>
        <w:tc>
          <w:tcPr>
            <w:tcW w:w="394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b w:val="1"/>
                <w:bCs w:val="1"/>
                <w:color w:val="auto"/>
              </w:rPr>
              <w:t>Donald A. McCunniff</w:t>
            </w:r>
          </w:p>
        </w:tc>
        <w:tc>
          <w:tcPr>
            <w:tcW w:w="1880" w:type="dxa"/>
            <w:vAlign w:val="bottom"/>
            <w:shd w:val="clear" w:color="auto" w:fill="DAE6EB"/>
          </w:tcPr>
          <w:p>
            <w:pPr>
              <w:spacing w:after="0"/>
              <w:rPr>
                <w:sz w:val="16"/>
                <w:szCs w:val="16"/>
                <w:color w:val="auto"/>
              </w:rPr>
            </w:pPr>
          </w:p>
        </w:tc>
        <w:tc>
          <w:tcPr>
            <w:tcW w:w="2160" w:type="dxa"/>
            <w:vAlign w:val="bottom"/>
            <w:shd w:val="clear" w:color="auto" w:fill="DAE6EB"/>
          </w:tcPr>
          <w:p>
            <w:pPr>
              <w:spacing w:after="0"/>
              <w:rPr>
                <w:sz w:val="16"/>
                <w:szCs w:val="16"/>
                <w:color w:val="auto"/>
              </w:rPr>
            </w:pPr>
          </w:p>
        </w:tc>
        <w:tc>
          <w:tcPr>
            <w:tcW w:w="1460" w:type="dxa"/>
            <w:vAlign w:val="bottom"/>
            <w:shd w:val="clear" w:color="auto" w:fill="DAE6EB"/>
          </w:tcPr>
          <w:p>
            <w:pPr>
              <w:jc w:val="right"/>
              <w:ind w:right="301"/>
              <w:spacing w:after="0" w:line="189" w:lineRule="exact"/>
              <w:rPr>
                <w:sz w:val="20"/>
                <w:szCs w:val="20"/>
                <w:color w:val="auto"/>
              </w:rPr>
            </w:pPr>
            <w:r>
              <w:rPr>
                <w:rFonts w:ascii="Arial" w:cs="Arial" w:eastAsia="Arial" w:hAnsi="Arial"/>
                <w:sz w:val="17"/>
                <w:szCs w:val="17"/>
                <w:color w:val="auto"/>
              </w:rPr>
              <w:t>2,242</w:t>
            </w:r>
          </w:p>
        </w:tc>
        <w:tc>
          <w:tcPr>
            <w:tcW w:w="1980" w:type="dxa"/>
            <w:vAlign w:val="bottom"/>
            <w:shd w:val="clear" w:color="auto" w:fill="DAE6EB"/>
          </w:tcPr>
          <w:p>
            <w:pPr>
              <w:jc w:val="right"/>
              <w:ind w:right="284"/>
              <w:spacing w:after="0" w:line="189" w:lineRule="exact"/>
              <w:rPr>
                <w:sz w:val="20"/>
                <w:szCs w:val="20"/>
                <w:color w:val="auto"/>
              </w:rPr>
            </w:pPr>
            <w:r>
              <w:rPr>
                <w:rFonts w:ascii="Arial" w:cs="Arial" w:eastAsia="Arial" w:hAnsi="Arial"/>
                <w:sz w:val="17"/>
                <w:szCs w:val="17"/>
                <w:color w:val="auto"/>
              </w:rPr>
              <w:t>308,767</w:t>
            </w:r>
          </w:p>
        </w:tc>
        <w:tc>
          <w:tcPr>
            <w:tcW w:w="20" w:type="dxa"/>
            <w:vAlign w:val="bottom"/>
          </w:tcPr>
          <w:p>
            <w:pPr>
              <w:spacing w:after="0"/>
              <w:rPr>
                <w:sz w:val="16"/>
                <w:szCs w:val="16"/>
                <w:color w:val="auto"/>
              </w:rPr>
            </w:pPr>
          </w:p>
        </w:tc>
      </w:tr>
      <w:tr>
        <w:trPr>
          <w:trHeight w:val="202"/>
        </w:trPr>
        <w:tc>
          <w:tcPr>
            <w:tcW w:w="3940" w:type="dxa"/>
            <w:vAlign w:val="bottom"/>
          </w:tcPr>
          <w:p>
            <w:pPr>
              <w:ind w:left="160"/>
              <w:spacing w:after="0"/>
              <w:rPr>
                <w:sz w:val="20"/>
                <w:szCs w:val="20"/>
                <w:color w:val="auto"/>
              </w:rPr>
            </w:pPr>
            <w:r>
              <w:rPr>
                <w:rFonts w:ascii="Arial" w:cs="Arial" w:eastAsia="Arial" w:hAnsi="Arial"/>
                <w:sz w:val="17"/>
                <w:szCs w:val="17"/>
                <w:b w:val="1"/>
                <w:bCs w:val="1"/>
                <w:color w:val="auto"/>
              </w:rPr>
              <w:t>Daniel L. Grant</w:t>
            </w:r>
          </w:p>
        </w:tc>
        <w:tc>
          <w:tcPr>
            <w:tcW w:w="1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ind w:left="340" w:right="20" w:hanging="332"/>
        <w:spacing w:after="0" w:line="231" w:lineRule="auto"/>
        <w:tabs>
          <w:tab w:leader="none" w:pos="340" w:val="left"/>
        </w:tabs>
        <w:numPr>
          <w:ilvl w:val="0"/>
          <w:numId w:val="80"/>
        </w:numPr>
        <w:rPr>
          <w:rFonts w:ascii="Arial" w:cs="Arial" w:eastAsia="Arial" w:hAnsi="Arial"/>
          <w:sz w:val="11"/>
          <w:szCs w:val="11"/>
          <w:color w:val="auto"/>
        </w:rPr>
      </w:pPr>
      <w:r>
        <w:rPr>
          <w:rFonts w:ascii="Arial" w:cs="Arial" w:eastAsia="Arial" w:hAnsi="Arial"/>
          <w:sz w:val="14"/>
          <w:szCs w:val="14"/>
          <w:color w:val="auto"/>
        </w:rPr>
        <w:t>The amounts in column (e) include the value of restricted stock unit awards at the time of vesting and the appreciation of both mandatory and voluntary contributions under the Incentive Stock Plan.</w:t>
      </w:r>
    </w:p>
    <w:p>
      <w:pPr>
        <w:sectPr>
          <w:pgSz w:w="11900" w:h="16838" w:orient="portrait"/>
          <w:cols w:equalWidth="0" w:num="1">
            <w:col w:w="11440"/>
          </w:cols>
          <w:pgMar w:left="240" w:top="262" w:right="219"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and Other Benefits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 xml:space="preserve">Pension Plan. </w:t>
      </w:r>
      <w:r>
        <w:rPr>
          <w:rFonts w:ascii="Arial" w:cs="Arial" w:eastAsia="Arial" w:hAnsi="Arial"/>
          <w:sz w:val="17"/>
          <w:szCs w:val="17"/>
          <w:color w:val="auto"/>
        </w:rPr>
        <w:t>We have a tax qualified defined benefit pension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w:t>
      </w:r>
    </w:p>
    <w:p>
      <w:pPr>
        <w:spacing w:after="0" w:line="5"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below:</w:t>
      </w:r>
    </w:p>
    <w:p>
      <w:pPr>
        <w:spacing w:after="0" w:line="236" w:lineRule="exact"/>
        <w:rPr>
          <w:rFonts w:ascii="Arial" w:cs="Arial" w:eastAsia="Arial" w:hAnsi="Arial"/>
          <w:sz w:val="17"/>
          <w:szCs w:val="17"/>
          <w:color w:val="auto"/>
        </w:rPr>
      </w:pPr>
    </w:p>
    <w:p>
      <w:pPr>
        <w:jc w:val="both"/>
        <w:ind w:left="700" w:hanging="354"/>
        <w:spacing w:after="0" w:line="238" w:lineRule="auto"/>
        <w:tabs>
          <w:tab w:leader="none" w:pos="7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1.165% of the participant’s final average eligible pay up to social security covered compensation, multiplied by the participant’s credited years of service up to 35 years;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left="700" w:right="140" w:hanging="355"/>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1.50% of the participant’s final average eligible pay in excess of social security covered compensation, multiplied by the participant’s credited years of service up to 35 years;</w:t>
      </w:r>
    </w:p>
    <w:p>
      <w:pPr>
        <w:spacing w:after="0" w:line="228" w:lineRule="exact"/>
        <w:rPr>
          <w:rFonts w:ascii="Arial" w:cs="Arial" w:eastAsia="Arial" w:hAnsi="Arial"/>
          <w:sz w:val="17"/>
          <w:szCs w:val="17"/>
          <w:color w:val="auto"/>
        </w:rPr>
      </w:pPr>
    </w:p>
    <w:p>
      <w:pPr>
        <w:jc w:val="both"/>
        <w:ind w:left="700" w:right="140" w:hanging="355"/>
        <w:spacing w:after="0" w:line="238"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1.50% of the participant’s final average eligible pay multiplied by the participant’s credited years of service in excess of 35 years.</w:t>
      </w:r>
    </w:p>
    <w:p>
      <w:pPr>
        <w:spacing w:after="0" w:line="182" w:lineRule="exact"/>
        <w:rPr>
          <w:sz w:val="20"/>
          <w:szCs w:val="20"/>
          <w:color w:val="auto"/>
        </w:rPr>
      </w:pPr>
    </w:p>
    <w:p>
      <w:pPr>
        <w:jc w:val="both"/>
        <w:ind w:right="140"/>
        <w:spacing w:after="0" w:line="237" w:lineRule="auto"/>
        <w:rPr>
          <w:sz w:val="20"/>
          <w:szCs w:val="20"/>
          <w:color w:val="auto"/>
        </w:rPr>
      </w:pPr>
      <w:r>
        <w:rPr>
          <w:rFonts w:ascii="Arial" w:cs="Arial" w:eastAsia="Arial" w:hAnsi="Arial"/>
          <w:sz w:val="17"/>
          <w:szCs w:val="17"/>
          <w:b w:val="1"/>
          <w:bCs w:val="1"/>
          <w:color w:val="auto"/>
        </w:rPr>
        <w:t xml:space="preserve">Supplemental Excess Retirement Plan. </w:t>
      </w:r>
      <w:r>
        <w:rPr>
          <w:rFonts w:ascii="Arial" w:cs="Arial" w:eastAsia="Arial" w:hAnsi="Arial"/>
          <w:sz w:val="17"/>
          <w:szCs w:val="17"/>
          <w:color w:val="auto"/>
        </w:rPr>
        <w:t>We also have a nonqualified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84"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b w:val="1"/>
          <w:bCs w:val="1"/>
          <w:color w:val="auto"/>
        </w:rPr>
        <w:t xml:space="preserve">Savings and Investment Plan. </w:t>
      </w:r>
      <w:r>
        <w:rPr>
          <w:rFonts w:ascii="Arial" w:cs="Arial" w:eastAsia="Arial" w:hAnsi="Arial"/>
          <w:sz w:val="17"/>
          <w:szCs w:val="17"/>
          <w:color w:val="auto"/>
        </w:rPr>
        <w:t>The Savings and Investment Plan is a</w:t>
      </w:r>
      <w:r>
        <w:rPr>
          <w:rFonts w:ascii="Arial" w:cs="Arial" w:eastAsia="Arial" w:hAnsi="Arial"/>
          <w:sz w:val="17"/>
          <w:szCs w:val="17"/>
          <w:b w:val="1"/>
          <w:bCs w:val="1"/>
          <w:color w:val="auto"/>
        </w:rPr>
        <w:t xml:space="preserve"> </w:t>
      </w:r>
      <w:r>
        <w:rPr>
          <w:rFonts w:ascii="Arial" w:cs="Arial" w:eastAsia="Arial" w:hAnsi="Arial"/>
          <w:sz w:val="17"/>
          <w:szCs w:val="17"/>
          <w:color w:val="auto"/>
        </w:rPr>
        <w:t>tax-qualified defined contribution retirement savings plan pursuant to which all employees in the United States, including the named executive officers, are eligible to contribute up to 25% or the limit prescribed by the Internal Revenue Service on a ROTH individual retirement account on a before-tax basis and up to an additional 17% on an after-tax basis not to exceed a total of 25%.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200" w:lineRule="exact"/>
        <w:rPr>
          <w:sz w:val="20"/>
          <w:szCs w:val="20"/>
          <w:color w:val="auto"/>
        </w:rPr>
      </w:pPr>
    </w:p>
    <w:p>
      <w:pPr>
        <w:sectPr>
          <w:pgSz w:w="11900" w:h="16838" w:orient="portrait"/>
          <w:cols w:equalWidth="0" w:num="2">
            <w:col w:w="5480" w:space="340"/>
            <w:col w:w="5620"/>
          </w:cols>
          <w:pgMar w:left="240" w:top="262" w:right="21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w:t>
      </w:r>
      <w:r>
        <w:rPr>
          <w:sz w:val="1"/>
          <w:szCs w:val="1"/>
          <w:color w:val="auto"/>
        </w:rPr>
        <w:drawing>
          <wp:inline distT="0" distB="0" distL="0" distR="0">
            <wp:extent cx="342900" cy="20574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62" w:right="219" w:bottom="1440" w:gutter="0" w:footer="0" w:header="0"/>
          <w:type w:val="continuous"/>
        </w:sectPr>
      </w:pPr>
    </w:p>
    <w:bookmarkStart w:id="50" w:name="page51"/>
    <w:bookmarkEnd w:id="50"/>
    <w:p>
      <w:pPr>
        <w:jc w:val="both"/>
        <w:spacing w:after="0" w:line="235" w:lineRule="auto"/>
        <w:rPr>
          <w:sz w:val="20"/>
          <w:szCs w:val="20"/>
          <w:color w:val="auto"/>
        </w:rPr>
      </w:pPr>
      <w:r>
        <w:rPr>
          <w:rFonts w:ascii="Arial" w:cs="Arial" w:eastAsia="Arial" w:hAnsi="Arial"/>
          <w:sz w:val="17"/>
          <w:szCs w:val="17"/>
          <w:b w:val="1"/>
          <w:bCs w:val="1"/>
          <w:color w:val="auto"/>
        </w:rPr>
        <w:t xml:space="preserve">Retiree Medical. </w:t>
      </w:r>
      <w:r>
        <w:rPr>
          <w:rFonts w:ascii="Arial" w:cs="Arial" w:eastAsia="Arial" w:hAnsi="Arial"/>
          <w:sz w:val="17"/>
          <w:szCs w:val="17"/>
          <w:color w:val="auto"/>
        </w:rPr>
        <w:t>Eligible salaried employees who commenced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McCunniff and Mr. Grant are not eligible for retiree medical benefits as each commenced employment with Martin Marietta after 2002.</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Medical Insurance. </w:t>
      </w:r>
      <w:r>
        <w:rPr>
          <w:rFonts w:ascii="Arial" w:cs="Arial" w:eastAsia="Arial" w:hAnsi="Arial"/>
          <w:sz w:val="17"/>
          <w:szCs w:val="17"/>
          <w:color w:val="auto"/>
        </w:rPr>
        <w:t>Martin Marietta provides an opportunity to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salaried employees in the United States and the employees’ immediate family to select health, dental and vision insurance coverage. Martin Marietta pays a portion of the</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Benefits</w:t>
      </w:r>
    </w:p>
    <w:p>
      <w:pPr>
        <w:spacing w:after="0" w:line="20" w:lineRule="exact"/>
        <w:rPr>
          <w:sz w:val="20"/>
          <w:szCs w:val="20"/>
          <w:color w:val="auto"/>
        </w:rPr>
      </w:pPr>
      <w:r>
        <w:rPr>
          <w:sz w:val="20"/>
          <w:szCs w:val="20"/>
          <w:color w:val="auto"/>
        </w:rPr>
        <w:br w:type="column"/>
      </w:r>
    </w:p>
    <w:p>
      <w:pPr>
        <w:jc w:val="both"/>
        <w:ind w:right="140"/>
        <w:spacing w:after="0" w:line="238" w:lineRule="auto"/>
        <w:rPr>
          <w:sz w:val="20"/>
          <w:szCs w:val="20"/>
          <w:color w:val="auto"/>
        </w:rPr>
      </w:pPr>
      <w:r>
        <w:rPr>
          <w:rFonts w:ascii="Arial" w:cs="Arial" w:eastAsia="Arial" w:hAnsi="Arial"/>
          <w:sz w:val="17"/>
          <w:szCs w:val="17"/>
          <w:color w:val="auto"/>
        </w:rPr>
        <w:t>premiums for this insurance for all employees. All employees in the United States, including the named executive officers, pay a portion of the premiums depending on the coverage they choose.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jc w:val="both"/>
        <w:ind w:right="140"/>
        <w:spacing w:after="0" w:line="237" w:lineRule="auto"/>
        <w:rPr>
          <w:sz w:val="20"/>
          <w:szCs w:val="20"/>
          <w:color w:val="auto"/>
        </w:rPr>
      </w:pPr>
      <w:r>
        <w:rPr>
          <w:rFonts w:ascii="Arial" w:cs="Arial" w:eastAsia="Arial" w:hAnsi="Arial"/>
          <w:sz w:val="17"/>
          <w:szCs w:val="17"/>
          <w:b w:val="1"/>
          <w:bCs w:val="1"/>
          <w:color w:val="auto"/>
        </w:rPr>
        <w:t xml:space="preserve">Life and Disability Insurance. </w:t>
      </w:r>
      <w:r>
        <w:rPr>
          <w:rFonts w:ascii="Arial" w:cs="Arial" w:eastAsia="Arial" w:hAnsi="Arial"/>
          <w:sz w:val="17"/>
          <w:szCs w:val="17"/>
          <w:color w:val="auto"/>
        </w:rPr>
        <w:t>Martin Marietta provides to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80" w:lineRule="exact"/>
        <w:rPr>
          <w:sz w:val="20"/>
          <w:szCs w:val="20"/>
          <w:color w:val="auto"/>
        </w:rPr>
      </w:pPr>
    </w:p>
    <w:p>
      <w:pPr>
        <w:jc w:val="both"/>
        <w:ind w:right="140"/>
        <w:spacing w:after="0" w:line="244" w:lineRule="auto"/>
        <w:rPr>
          <w:sz w:val="20"/>
          <w:szCs w:val="20"/>
          <w:color w:val="auto"/>
        </w:rPr>
      </w:pPr>
      <w:r>
        <w:rPr>
          <w:rFonts w:ascii="Arial" w:cs="Arial" w:eastAsia="Arial" w:hAnsi="Arial"/>
          <w:sz w:val="17"/>
          <w:szCs w:val="17"/>
          <w:b w:val="1"/>
          <w:bCs w:val="1"/>
          <w:color w:val="auto"/>
        </w:rPr>
        <w:t xml:space="preserve">Housing Allowance and Relocation Costs. </w:t>
      </w:r>
      <w:r>
        <w:rPr>
          <w:rFonts w:ascii="Arial" w:cs="Arial" w:eastAsia="Arial" w:hAnsi="Arial"/>
          <w:sz w:val="17"/>
          <w:szCs w:val="17"/>
          <w:color w:val="auto"/>
        </w:rPr>
        <w:t>Martin Marietta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relocation benefits, including a housing allowance, to certain employees upon their employment with Martin Marietta or in conjunction with a job relocation or promotion.</w:t>
      </w:r>
    </w:p>
    <w:p>
      <w:pPr>
        <w:spacing w:after="0" w:line="910" w:lineRule="exact"/>
        <w:rPr>
          <w:sz w:val="20"/>
          <w:szCs w:val="20"/>
          <w:color w:val="auto"/>
        </w:rPr>
      </w:pPr>
    </w:p>
    <w:p>
      <w:pPr>
        <w:sectPr>
          <w:pgSz w:w="11900" w:h="16838" w:orient="portrait"/>
          <w:cols w:equalWidth="0" w:num="2">
            <w:col w:w="5480" w:space="340"/>
            <w:col w:w="5620"/>
          </w:cols>
          <w:pgMar w:left="240" w:top="316" w:right="219" w:bottom="1440" w:gutter="0" w:footer="0" w:header="0"/>
        </w:sectPr>
      </w:pPr>
    </w:p>
    <w:p>
      <w:pPr>
        <w:spacing w:after="0" w:line="3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Martin Marietta’s financial statements.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 TABLE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shd w:val="clear" w:color="auto" w:fill="47829E"/>
          </w:tcPr>
          <w:p>
            <w:pPr>
              <w:spacing w:after="0"/>
              <w:rPr>
                <w:sz w:val="14"/>
                <w:szCs w:val="14"/>
                <w:color w:val="auto"/>
              </w:rPr>
            </w:pPr>
          </w:p>
        </w:tc>
        <w:tc>
          <w:tcPr>
            <w:tcW w:w="1140" w:type="dxa"/>
            <w:vAlign w:val="bottom"/>
            <w:shd w:val="clear" w:color="auto" w:fill="47829E"/>
          </w:tcPr>
          <w:p>
            <w:pPr>
              <w:spacing w:after="0"/>
              <w:rPr>
                <w:sz w:val="14"/>
                <w:szCs w:val="14"/>
                <w:color w:val="auto"/>
              </w:rPr>
            </w:pPr>
          </w:p>
        </w:tc>
        <w:tc>
          <w:tcPr>
            <w:tcW w:w="17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Numbers of Years</w:t>
            </w:r>
          </w:p>
        </w:tc>
        <w:tc>
          <w:tcPr>
            <w:tcW w:w="1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760" w:type="dxa"/>
            <w:vAlign w:val="bottom"/>
            <w:shd w:val="clear" w:color="auto" w:fill="47829E"/>
          </w:tcPr>
          <w:p>
            <w:pPr>
              <w:jc w:val="center"/>
              <w:ind w:right="28"/>
              <w:spacing w:after="0"/>
              <w:rPr>
                <w:sz w:val="20"/>
                <w:szCs w:val="20"/>
                <w:color w:val="auto"/>
              </w:rPr>
            </w:pPr>
            <w:r>
              <w:rPr>
                <w:rFonts w:ascii="Arial" w:cs="Arial" w:eastAsia="Arial" w:hAnsi="Arial"/>
                <w:sz w:val="14"/>
                <w:szCs w:val="14"/>
                <w:b w:val="1"/>
                <w:bCs w:val="1"/>
                <w:color w:val="FFFFFF"/>
              </w:rPr>
              <w:t>Payments During</w:t>
            </w:r>
          </w:p>
        </w:tc>
        <w:tc>
          <w:tcPr>
            <w:tcW w:w="20" w:type="dxa"/>
            <w:vAlign w:val="bottom"/>
            <w:shd w:val="clear" w:color="auto" w:fill="47829E"/>
          </w:tcPr>
          <w:p>
            <w:pPr>
              <w:spacing w:after="0"/>
              <w:rPr>
                <w:sz w:val="14"/>
                <w:szCs w:val="14"/>
                <w:color w:val="auto"/>
              </w:rPr>
            </w:pPr>
          </w:p>
        </w:tc>
      </w:tr>
      <w:tr>
        <w:trPr>
          <w:trHeight w:val="159"/>
        </w:trPr>
        <w:tc>
          <w:tcPr>
            <w:tcW w:w="4960" w:type="dxa"/>
            <w:vAlign w:val="bottom"/>
            <w:shd w:val="clear" w:color="auto" w:fill="47829E"/>
          </w:tcPr>
          <w:p>
            <w:pPr>
              <w:spacing w:after="0"/>
              <w:rPr>
                <w:sz w:val="13"/>
                <w:szCs w:val="13"/>
                <w:color w:val="auto"/>
              </w:rPr>
            </w:pPr>
          </w:p>
        </w:tc>
        <w:tc>
          <w:tcPr>
            <w:tcW w:w="1140" w:type="dxa"/>
            <w:vAlign w:val="bottom"/>
            <w:shd w:val="clear" w:color="auto" w:fill="47829E"/>
          </w:tcPr>
          <w:p>
            <w:pPr>
              <w:spacing w:after="0"/>
              <w:rPr>
                <w:sz w:val="13"/>
                <w:szCs w:val="13"/>
                <w:color w:val="auto"/>
              </w:rPr>
            </w:pPr>
          </w:p>
        </w:tc>
        <w:tc>
          <w:tcPr>
            <w:tcW w:w="1700" w:type="dxa"/>
            <w:vAlign w:val="bottom"/>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rPr>
              <w:t>Credited Service</w:t>
            </w:r>
          </w:p>
        </w:tc>
        <w:tc>
          <w:tcPr>
            <w:tcW w:w="1860" w:type="dxa"/>
            <w:vAlign w:val="bottom"/>
            <w:shd w:val="clear" w:color="auto" w:fill="47829E"/>
          </w:tcPr>
          <w:p>
            <w:pPr>
              <w:jc w:val="right"/>
              <w:ind w:right="149"/>
              <w:spacing w:after="0" w:line="159" w:lineRule="exact"/>
              <w:rPr>
                <w:sz w:val="20"/>
                <w:szCs w:val="20"/>
                <w:color w:val="auto"/>
              </w:rPr>
            </w:pPr>
            <w:r>
              <w:rPr>
                <w:rFonts w:ascii="Arial" w:cs="Arial" w:eastAsia="Arial" w:hAnsi="Arial"/>
                <w:sz w:val="14"/>
                <w:szCs w:val="14"/>
                <w:b w:val="1"/>
                <w:bCs w:val="1"/>
                <w:color w:val="FFFFFF"/>
              </w:rPr>
              <w:t>Accumulated Benefit</w:t>
            </w:r>
          </w:p>
        </w:tc>
        <w:tc>
          <w:tcPr>
            <w:tcW w:w="1760" w:type="dxa"/>
            <w:vAlign w:val="bottom"/>
            <w:shd w:val="clear" w:color="auto" w:fill="47829E"/>
          </w:tcPr>
          <w:p>
            <w:pPr>
              <w:jc w:val="center"/>
              <w:ind w:right="8"/>
              <w:spacing w:after="0" w:line="159" w:lineRule="exact"/>
              <w:rPr>
                <w:sz w:val="20"/>
                <w:szCs w:val="20"/>
                <w:color w:val="auto"/>
              </w:rPr>
            </w:pPr>
            <w:r>
              <w:rPr>
                <w:rFonts w:ascii="Arial" w:cs="Arial" w:eastAsia="Arial" w:hAnsi="Arial"/>
                <w:sz w:val="14"/>
                <w:szCs w:val="14"/>
                <w:b w:val="1"/>
                <w:bCs w:val="1"/>
                <w:color w:val="FFFFFF"/>
              </w:rPr>
              <w:t>Last Fiscal Year</w:t>
            </w:r>
          </w:p>
        </w:tc>
        <w:tc>
          <w:tcPr>
            <w:tcW w:w="20" w:type="dxa"/>
            <w:vAlign w:val="bottom"/>
            <w:shd w:val="clear" w:color="auto" w:fill="47829E"/>
          </w:tcPr>
          <w:p>
            <w:pPr>
              <w:spacing w:after="0"/>
              <w:rPr>
                <w:sz w:val="13"/>
                <w:szCs w:val="13"/>
                <w:color w:val="auto"/>
              </w:rPr>
            </w:pPr>
          </w:p>
        </w:tc>
      </w:tr>
      <w:tr>
        <w:trPr>
          <w:trHeight w:val="166"/>
        </w:trPr>
        <w:tc>
          <w:tcPr>
            <w:tcW w:w="4960" w:type="dxa"/>
            <w:vAlign w:val="bottom"/>
            <w:shd w:val="clear" w:color="auto" w:fill="47829E"/>
          </w:tcPr>
          <w:p>
            <w:pPr>
              <w:ind w:left="160"/>
              <w:spacing w:after="0"/>
              <w:rPr>
                <w:sz w:val="20"/>
                <w:szCs w:val="20"/>
                <w:color w:val="auto"/>
              </w:rPr>
            </w:pPr>
            <w:r>
              <w:rPr>
                <w:rFonts w:ascii="Arial" w:cs="Arial" w:eastAsia="Arial" w:hAnsi="Arial"/>
                <w:sz w:val="14"/>
                <w:szCs w:val="14"/>
                <w:b w:val="1"/>
                <w:bCs w:val="1"/>
                <w:color w:val="FFFFFF"/>
              </w:rPr>
              <w:t>Name</w:t>
            </w:r>
          </w:p>
        </w:tc>
        <w:tc>
          <w:tcPr>
            <w:tcW w:w="1140" w:type="dxa"/>
            <w:vAlign w:val="bottom"/>
            <w:shd w:val="clear" w:color="auto" w:fill="47829E"/>
          </w:tcPr>
          <w:p>
            <w:pPr>
              <w:jc w:val="center"/>
              <w:ind w:left="8"/>
              <w:spacing w:after="0"/>
              <w:rPr>
                <w:sz w:val="20"/>
                <w:szCs w:val="20"/>
                <w:color w:val="auto"/>
              </w:rPr>
            </w:pPr>
            <w:r>
              <w:rPr>
                <w:rFonts w:ascii="Arial" w:cs="Arial" w:eastAsia="Arial" w:hAnsi="Arial"/>
                <w:sz w:val="14"/>
                <w:szCs w:val="14"/>
                <w:b w:val="1"/>
                <w:bCs w:val="1"/>
                <w:color w:val="FFFFFF"/>
              </w:rPr>
              <w:t>Plan Name</w:t>
            </w:r>
          </w:p>
        </w:tc>
        <w:tc>
          <w:tcPr>
            <w:tcW w:w="17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47829E"/>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1</w:t>
            </w:r>
          </w:p>
        </w:tc>
        <w:tc>
          <w:tcPr>
            <w:tcW w:w="17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47829E"/>
          </w:tcPr>
          <w:p>
            <w:pPr>
              <w:spacing w:after="0"/>
              <w:rPr>
                <w:sz w:val="14"/>
                <w:szCs w:val="14"/>
                <w:color w:val="auto"/>
              </w:rPr>
            </w:pPr>
          </w:p>
        </w:tc>
      </w:tr>
      <w:tr>
        <w:trPr>
          <w:trHeight w:val="189"/>
        </w:trPr>
        <w:tc>
          <w:tcPr>
            <w:tcW w:w="4960" w:type="dxa"/>
            <w:vAlign w:val="bottom"/>
            <w:shd w:val="clear" w:color="auto" w:fill="47829E"/>
          </w:tcPr>
          <w:p>
            <w:pPr>
              <w:ind w:left="160"/>
              <w:spacing w:after="0"/>
              <w:rPr>
                <w:sz w:val="20"/>
                <w:szCs w:val="20"/>
                <w:color w:val="auto"/>
              </w:rPr>
            </w:pPr>
            <w:r>
              <w:rPr>
                <w:rFonts w:ascii="Arial" w:cs="Arial" w:eastAsia="Arial" w:hAnsi="Arial"/>
                <w:sz w:val="14"/>
                <w:szCs w:val="14"/>
                <w:b w:val="1"/>
                <w:bCs w:val="1"/>
                <w:color w:val="FFFFFF"/>
              </w:rPr>
              <w:t>(a)</w:t>
            </w:r>
          </w:p>
        </w:tc>
        <w:tc>
          <w:tcPr>
            <w:tcW w:w="1140" w:type="dxa"/>
            <w:vAlign w:val="bottom"/>
            <w:shd w:val="clear" w:color="auto" w:fill="47829E"/>
          </w:tcPr>
          <w:p>
            <w:pPr>
              <w:jc w:val="center"/>
              <w:ind w:left="8"/>
              <w:spacing w:after="0"/>
              <w:rPr>
                <w:sz w:val="20"/>
                <w:szCs w:val="20"/>
                <w:color w:val="auto"/>
              </w:rPr>
            </w:pPr>
            <w:r>
              <w:rPr>
                <w:rFonts w:ascii="Arial" w:cs="Arial" w:eastAsia="Arial" w:hAnsi="Arial"/>
                <w:sz w:val="14"/>
                <w:szCs w:val="14"/>
                <w:b w:val="1"/>
                <w:bCs w:val="1"/>
                <w:color w:val="FFFFFF"/>
              </w:rPr>
              <w:t>(b)</w:t>
            </w:r>
          </w:p>
        </w:tc>
        <w:tc>
          <w:tcPr>
            <w:tcW w:w="17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(c)</w:t>
            </w:r>
          </w:p>
        </w:tc>
        <w:tc>
          <w:tcPr>
            <w:tcW w:w="1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(d)</w:t>
            </w:r>
          </w:p>
        </w:tc>
        <w:tc>
          <w:tcPr>
            <w:tcW w:w="17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(e)</w:t>
            </w:r>
          </w:p>
        </w:tc>
        <w:tc>
          <w:tcPr>
            <w:tcW w:w="20" w:type="dxa"/>
            <w:vAlign w:val="bottom"/>
            <w:shd w:val="clear" w:color="auto" w:fill="47829E"/>
          </w:tcPr>
          <w:p>
            <w:pPr>
              <w:spacing w:after="0"/>
              <w:rPr>
                <w:sz w:val="16"/>
                <w:szCs w:val="16"/>
                <w:color w:val="auto"/>
              </w:rPr>
            </w:pP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b w:val="1"/>
                <w:bCs w:val="1"/>
                <w:color w:val="auto"/>
              </w:rPr>
              <w:t>C. Howard Nye</w:t>
            </w:r>
          </w:p>
        </w:tc>
        <w:tc>
          <w:tcPr>
            <w:tcW w:w="1140" w:type="dxa"/>
            <w:vAlign w:val="bottom"/>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9.417</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297,743</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9.417</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2,179,530</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shd w:val="clear" w:color="auto" w:fill="DAE6EB"/>
          </w:tcPr>
          <w:p>
            <w:pPr>
              <w:ind w:left="160"/>
              <w:spacing w:after="0"/>
              <w:rPr>
                <w:sz w:val="20"/>
                <w:szCs w:val="20"/>
                <w:color w:val="auto"/>
              </w:rPr>
            </w:pPr>
            <w:r>
              <w:rPr>
                <w:rFonts w:ascii="Arial" w:cs="Arial" w:eastAsia="Arial" w:hAnsi="Arial"/>
                <w:sz w:val="14"/>
                <w:szCs w:val="14"/>
                <w:b w:val="1"/>
                <w:bCs w:val="1"/>
                <w:color w:val="auto"/>
              </w:rPr>
              <w:t>Anne H. Lloyd</w:t>
            </w: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shd w:val="clear" w:color="auto" w:fill="DAE6EB"/>
          </w:tcPr>
          <w:p>
            <w:pPr>
              <w:jc w:val="right"/>
              <w:ind w:right="528"/>
              <w:spacing w:after="0"/>
              <w:rPr>
                <w:sz w:val="20"/>
                <w:szCs w:val="20"/>
                <w:color w:val="auto"/>
              </w:rPr>
            </w:pPr>
            <w:r>
              <w:rPr>
                <w:rFonts w:ascii="Arial" w:cs="Arial" w:eastAsia="Arial" w:hAnsi="Arial"/>
                <w:sz w:val="14"/>
                <w:szCs w:val="14"/>
                <w:color w:val="auto"/>
              </w:rPr>
              <w:t>17.583</w:t>
            </w:r>
          </w:p>
        </w:tc>
        <w:tc>
          <w:tcPr>
            <w:tcW w:w="1860" w:type="dxa"/>
            <w:vAlign w:val="bottom"/>
            <w:shd w:val="clear" w:color="auto" w:fill="DAE6EB"/>
          </w:tcPr>
          <w:p>
            <w:pPr>
              <w:jc w:val="right"/>
              <w:ind w:right="509"/>
              <w:spacing w:after="0"/>
              <w:rPr>
                <w:sz w:val="20"/>
                <w:szCs w:val="20"/>
                <w:color w:val="auto"/>
              </w:rPr>
            </w:pPr>
            <w:r>
              <w:rPr>
                <w:rFonts w:ascii="Arial" w:cs="Arial" w:eastAsia="Arial" w:hAnsi="Arial"/>
                <w:sz w:val="14"/>
                <w:szCs w:val="14"/>
                <w:color w:val="auto"/>
              </w:rPr>
              <w:t>626,369</w:t>
            </w:r>
          </w:p>
        </w:tc>
        <w:tc>
          <w:tcPr>
            <w:tcW w:w="176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shd w:val="clear" w:color="auto" w:fill="DAE6EB"/>
          </w:tcPr>
          <w:p>
            <w:pPr>
              <w:spacing w:after="0"/>
              <w:rPr>
                <w:sz w:val="14"/>
                <w:szCs w:val="14"/>
                <w:color w:val="auto"/>
              </w:rPr>
            </w:pP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shd w:val="clear" w:color="auto" w:fill="DAE6EB"/>
          </w:tcPr>
          <w:p>
            <w:pPr>
              <w:jc w:val="right"/>
              <w:ind w:right="528"/>
              <w:spacing w:after="0"/>
              <w:rPr>
                <w:sz w:val="20"/>
                <w:szCs w:val="20"/>
                <w:color w:val="auto"/>
              </w:rPr>
            </w:pPr>
            <w:r>
              <w:rPr>
                <w:rFonts w:ascii="Arial" w:cs="Arial" w:eastAsia="Arial" w:hAnsi="Arial"/>
                <w:sz w:val="14"/>
                <w:szCs w:val="14"/>
                <w:color w:val="auto"/>
              </w:rPr>
              <w:t>17.583</w:t>
            </w:r>
          </w:p>
        </w:tc>
        <w:tc>
          <w:tcPr>
            <w:tcW w:w="1860" w:type="dxa"/>
            <w:vAlign w:val="bottom"/>
            <w:shd w:val="clear" w:color="auto" w:fill="DAE6EB"/>
          </w:tcPr>
          <w:p>
            <w:pPr>
              <w:jc w:val="right"/>
              <w:ind w:right="509"/>
              <w:spacing w:after="0"/>
              <w:rPr>
                <w:sz w:val="20"/>
                <w:szCs w:val="20"/>
                <w:color w:val="auto"/>
              </w:rPr>
            </w:pPr>
            <w:r>
              <w:rPr>
                <w:rFonts w:ascii="Arial" w:cs="Arial" w:eastAsia="Arial" w:hAnsi="Arial"/>
                <w:sz w:val="14"/>
                <w:szCs w:val="14"/>
                <w:color w:val="auto"/>
              </w:rPr>
              <w:t>1,757,817</w:t>
            </w:r>
          </w:p>
        </w:tc>
        <w:tc>
          <w:tcPr>
            <w:tcW w:w="176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b w:val="1"/>
                <w:bCs w:val="1"/>
                <w:color w:val="auto"/>
              </w:rPr>
              <w:t>Roselyn R. Bar</w:t>
            </w:r>
          </w:p>
        </w:tc>
        <w:tc>
          <w:tcPr>
            <w:tcW w:w="1140" w:type="dxa"/>
            <w:vAlign w:val="bottom"/>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21.500</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886,505</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21.500</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1,714,796</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shd w:val="clear" w:color="auto" w:fill="E3ECF0"/>
          </w:tcPr>
          <w:p>
            <w:pPr>
              <w:ind w:left="160"/>
              <w:spacing w:after="0"/>
              <w:rPr>
                <w:sz w:val="20"/>
                <w:szCs w:val="20"/>
                <w:color w:val="auto"/>
              </w:rPr>
            </w:pPr>
            <w:r>
              <w:rPr>
                <w:rFonts w:ascii="Arial" w:cs="Arial" w:eastAsia="Arial" w:hAnsi="Arial"/>
                <w:sz w:val="14"/>
                <w:szCs w:val="14"/>
                <w:b w:val="1"/>
                <w:bCs w:val="1"/>
                <w:color w:val="auto"/>
              </w:rPr>
              <w:t>Donald A. McCunniff</w:t>
            </w: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shd w:val="clear" w:color="auto" w:fill="E3ECF0"/>
          </w:tcPr>
          <w:p>
            <w:pPr>
              <w:jc w:val="right"/>
              <w:ind w:right="528"/>
              <w:spacing w:after="0"/>
              <w:rPr>
                <w:sz w:val="20"/>
                <w:szCs w:val="20"/>
                <w:color w:val="auto"/>
              </w:rPr>
            </w:pPr>
            <w:r>
              <w:rPr>
                <w:rFonts w:ascii="Arial" w:cs="Arial" w:eastAsia="Arial" w:hAnsi="Arial"/>
                <w:sz w:val="14"/>
                <w:szCs w:val="14"/>
                <w:color w:val="auto"/>
              </w:rPr>
              <w:t>4.417</w:t>
            </w:r>
          </w:p>
        </w:tc>
        <w:tc>
          <w:tcPr>
            <w:tcW w:w="1860" w:type="dxa"/>
            <w:vAlign w:val="bottom"/>
            <w:shd w:val="clear" w:color="auto" w:fill="E3ECF0"/>
          </w:tcPr>
          <w:p>
            <w:pPr>
              <w:jc w:val="right"/>
              <w:ind w:right="509"/>
              <w:spacing w:after="0"/>
              <w:rPr>
                <w:sz w:val="20"/>
                <w:szCs w:val="20"/>
                <w:color w:val="auto"/>
              </w:rPr>
            </w:pPr>
            <w:r>
              <w:rPr>
                <w:rFonts w:ascii="Arial" w:cs="Arial" w:eastAsia="Arial" w:hAnsi="Arial"/>
                <w:sz w:val="14"/>
                <w:szCs w:val="14"/>
                <w:color w:val="auto"/>
              </w:rPr>
              <w:t>183,785</w:t>
            </w:r>
          </w:p>
        </w:tc>
        <w:tc>
          <w:tcPr>
            <w:tcW w:w="1760" w:type="dxa"/>
            <w:vAlign w:val="bottom"/>
            <w:shd w:val="clear" w:color="auto" w:fill="E3ECF0"/>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shd w:val="clear" w:color="auto" w:fill="E3ECF0"/>
          </w:tcPr>
          <w:p>
            <w:pPr>
              <w:spacing w:after="0"/>
              <w:rPr>
                <w:sz w:val="14"/>
                <w:szCs w:val="14"/>
                <w:color w:val="auto"/>
              </w:rPr>
            </w:pP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shd w:val="clear" w:color="auto" w:fill="E3ECF0"/>
          </w:tcPr>
          <w:p>
            <w:pPr>
              <w:jc w:val="right"/>
              <w:ind w:right="528"/>
              <w:spacing w:after="0"/>
              <w:rPr>
                <w:sz w:val="20"/>
                <w:szCs w:val="20"/>
                <w:color w:val="auto"/>
              </w:rPr>
            </w:pPr>
            <w:r>
              <w:rPr>
                <w:rFonts w:ascii="Arial" w:cs="Arial" w:eastAsia="Arial" w:hAnsi="Arial"/>
                <w:sz w:val="14"/>
                <w:szCs w:val="14"/>
                <w:color w:val="auto"/>
              </w:rPr>
              <w:t>4.417</w:t>
            </w:r>
          </w:p>
        </w:tc>
        <w:tc>
          <w:tcPr>
            <w:tcW w:w="1860" w:type="dxa"/>
            <w:vAlign w:val="bottom"/>
            <w:shd w:val="clear" w:color="auto" w:fill="E3ECF0"/>
          </w:tcPr>
          <w:p>
            <w:pPr>
              <w:jc w:val="right"/>
              <w:ind w:right="509"/>
              <w:spacing w:after="0"/>
              <w:rPr>
                <w:sz w:val="20"/>
                <w:szCs w:val="20"/>
                <w:color w:val="auto"/>
              </w:rPr>
            </w:pPr>
            <w:r>
              <w:rPr>
                <w:rFonts w:ascii="Arial" w:cs="Arial" w:eastAsia="Arial" w:hAnsi="Arial"/>
                <w:sz w:val="14"/>
                <w:szCs w:val="14"/>
                <w:color w:val="auto"/>
              </w:rPr>
              <w:t>243,375</w:t>
            </w:r>
          </w:p>
        </w:tc>
        <w:tc>
          <w:tcPr>
            <w:tcW w:w="1760" w:type="dxa"/>
            <w:vAlign w:val="bottom"/>
            <w:shd w:val="clear" w:color="auto" w:fill="E3ECF0"/>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b w:val="1"/>
                <w:bCs w:val="1"/>
                <w:color w:val="auto"/>
              </w:rPr>
              <w:t>Daniel L. Grant</w:t>
            </w:r>
          </w:p>
        </w:tc>
        <w:tc>
          <w:tcPr>
            <w:tcW w:w="1140" w:type="dxa"/>
            <w:vAlign w:val="bottom"/>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2.333</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114,581</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4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2.333</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123,931</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-1072515</wp:posOffset>
            </wp:positionV>
            <wp:extent cx="7254875" cy="10807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1080770"/>
                    </a:xfrm>
                    <a:prstGeom prst="rect">
                      <a:avLst/>
                    </a:prstGeom>
                    <a:noFill/>
                  </pic:spPr>
                </pic:pic>
              </a:graphicData>
            </a:graphic>
          </wp:anchor>
        </w:drawing>
      </w:r>
    </w:p>
    <w:p>
      <w:pPr>
        <w:ind w:left="180" w:right="20" w:hanging="131"/>
        <w:spacing w:after="0" w:line="183" w:lineRule="auto"/>
        <w:tabs>
          <w:tab w:leader="none" w:pos="18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2015, included in Martin Marietta’s Annual Report on Form 10-K filed with the Securities and Exchange Commission on February 23, 2016.</w:t>
      </w:r>
    </w:p>
    <w:p>
      <w:pPr>
        <w:sectPr>
          <w:pgSz w:w="11900" w:h="16838" w:orient="portrait"/>
          <w:cols w:equalWidth="0" w:num="1">
            <w:col w:w="11440"/>
          </w:cols>
          <w:pgMar w:left="240" w:top="316" w:right="219" w:bottom="1440" w:gutter="0" w:footer="0" w:header="0"/>
          <w:type w:val="continuous"/>
        </w:sectPr>
      </w:pPr>
    </w:p>
    <w:p>
      <w:pPr>
        <w:spacing w:after="0" w:line="2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w:t>
      </w:r>
    </w:p>
    <w:p>
      <w:pPr>
        <w:spacing w:after="0" w:line="1" w:lineRule="exact"/>
        <w:rPr>
          <w:sz w:val="20"/>
          <w:szCs w:val="20"/>
          <w:color w:val="auto"/>
        </w:rPr>
      </w:pPr>
    </w:p>
    <w:p>
      <w:pPr>
        <w:ind w:firstLine="8"/>
        <w:spacing w:after="0" w:line="243" w:lineRule="auto"/>
        <w:tabs>
          <w:tab w:leader="none" w:pos="33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calculation of benefits under the Pension Plan is generally based on an annual accrual rate,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($265,000 in 2015). Martin Marietta’s</w:t>
      </w:r>
    </w:p>
    <w:p>
      <w:pPr>
        <w:spacing w:after="0" w:line="209" w:lineRule="exact"/>
        <w:rPr>
          <w:sz w:val="20"/>
          <w:szCs w:val="20"/>
          <w:color w:val="auto"/>
        </w:rPr>
      </w:pPr>
    </w:p>
    <w:p>
      <w:pPr>
        <w:sectPr>
          <w:pgSz w:w="11900" w:h="16838" w:orient="portrait"/>
          <w:cols w:equalWidth="0" w:num="2">
            <w:col w:w="5480" w:space="340"/>
            <w:col w:w="5620"/>
          </w:cols>
          <w:pgMar w:left="240" w:top="316" w:right="219" w:bottom="1440" w:gutter="0" w:footer="0" w:header="0"/>
          <w:type w:val="continuous"/>
        </w:sectPr>
      </w:pPr>
    </w:p>
    <w:p>
      <w:pPr>
        <w:spacing w:after="0" w:line="48"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type w:val="continuous"/>
        </w:sectPr>
      </w:pPr>
    </w:p>
    <w:bookmarkStart w:id="51" w:name="page52"/>
    <w:bookmarkEnd w:id="51"/>
    <w:p>
      <w:pPr>
        <w:spacing w:after="0" w:line="2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Of the named executive officers, only Ms. Bar is eligible for early retirement, which allows for payment to employees who are age 55 with at least five years of service at a reduced benefit based on the number of years of service and the number of years prior to age 62 at which the benefits began. Mr. Nye, Ms. Lloyd, Mr. McCunniff, and Mr. Grant are not yet eligible for early retirement, but would still be eligible for payments at age 55 (age 59.417 for Mr. McCunniff and age 64.417 for Mr. Grant) at a reduced benefit based on the number of years of service and the number of years prior to age 65 at which the benefits began. The present value of the Pension Plan and SERP benefit, respectively, for Mr. Nye, Ms. Lloyd, Ms. Bar, Mr. McCunniff, and Mr. Grant, if they had terminated on December 31, 2015 and began collecting benefits at age 55 (age 59.417 for Mr. McCunniff and age 64.417 for Mr. Grant) would be as follows: Mr. Nye, $251,728 and $1,955,065, respectively; Ms. Lloyd, $602,631 and $1,810,380, respectively; Ms. Bar, $997,126 and $2,013,029, respectively; Mr. McCunniff, $0 and $0, respectively, since he is not vested in the plan; and Mr. Grant, $0 and $0, respectively, since he is not vested in the plan. The amounts listed in the foregoing table are not subject to any deduction for Social Security benefits or other offset amounts.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of Control</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2015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Payments Upon Any Termination. </w:t>
      </w:r>
      <w:r>
        <w:rPr>
          <w:rFonts w:ascii="Arial" w:cs="Arial" w:eastAsia="Arial" w:hAnsi="Arial"/>
          <w:sz w:val="17"/>
          <w:szCs w:val="17"/>
          <w:color w:val="auto"/>
        </w:rPr>
        <w:t>Regardless of the manner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48  </w:t>
      </w:r>
      <w:r>
        <w:rPr>
          <w:sz w:val="1"/>
          <w:szCs w:val="1"/>
          <w:color w:val="auto"/>
        </w:rPr>
        <w:drawing>
          <wp:inline distT="0" distB="0" distL="0" distR="0">
            <wp:extent cx="342900" cy="20574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7"/>
          <w:szCs w:val="17"/>
          <w:b w:val="1"/>
          <w:bCs w:val="1"/>
          <w:color w:val="auto"/>
        </w:rPr>
        <w:t xml:space="preserve">Payments Upon Voluntary Termination. </w:t>
      </w:r>
      <w:r>
        <w:rPr>
          <w:rFonts w:ascii="Arial" w:cs="Arial" w:eastAsia="Arial" w:hAnsi="Arial"/>
          <w:sz w:val="17"/>
          <w:szCs w:val="17"/>
          <w:color w:val="auto"/>
        </w:rPr>
        <w:t>In addition to the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described under the heading </w:t>
      </w:r>
      <w:r>
        <w:rPr>
          <w:rFonts w:ascii="Arial" w:cs="Arial" w:eastAsia="Arial" w:hAnsi="Arial"/>
          <w:sz w:val="17"/>
          <w:szCs w:val="17"/>
          <w:i w:val="1"/>
          <w:iCs w:val="1"/>
          <w:color w:val="auto"/>
        </w:rPr>
        <w:t>Payments Upon Any Termination</w:t>
      </w:r>
      <w:r>
        <w:rPr>
          <w:rFonts w:ascii="Arial" w:cs="Arial" w:eastAsia="Arial" w:hAnsi="Arial"/>
          <w:sz w:val="17"/>
          <w:szCs w:val="17"/>
          <w:color w:val="auto"/>
        </w:rPr>
        <w:t>,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-972820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Payments Upon Involuntary Not-For-Cause Termination. </w:t>
      </w:r>
      <w:r>
        <w:rPr>
          <w:rFonts w:ascii="Arial" w:cs="Arial" w:eastAsia="Arial" w:hAnsi="Arial"/>
          <w:sz w:val="17"/>
          <w:szCs w:val="17"/>
          <w:color w:val="auto"/>
        </w:rPr>
        <w:t>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amounts described under the heading </w:t>
      </w:r>
      <w:r>
        <w:rPr>
          <w:rFonts w:ascii="Arial" w:cs="Arial" w:eastAsia="Arial" w:hAnsi="Arial"/>
          <w:sz w:val="17"/>
          <w:szCs w:val="17"/>
          <w:i w:val="1"/>
          <w:iCs w:val="1"/>
          <w:color w:val="auto"/>
        </w:rPr>
        <w:t>Payments Upon Any</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w:t>
      </w:r>
      <w:r>
        <w:rPr>
          <w:rFonts w:ascii="Arial" w:cs="Arial" w:eastAsia="Arial" w:hAnsi="Arial"/>
          <w:sz w:val="17"/>
          <w:szCs w:val="17"/>
          <w:color w:val="auto"/>
        </w:rPr>
        <w:t>, upon an involuntary termination of employment not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Payments Upon Involuntary For -Cause Termination. </w:t>
      </w:r>
      <w:r>
        <w:rPr>
          <w:rFonts w:ascii="Arial" w:cs="Arial" w:eastAsia="Arial" w:hAnsi="Arial"/>
          <w:sz w:val="17"/>
          <w:szCs w:val="17"/>
          <w:color w:val="auto"/>
        </w:rPr>
        <w:t>In the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involuntary termination for cause, which is defined in the Employment Protection Agreement and the Stock-Based Award Plan, the named executive officer would be entitled to receive the payments and benefits described under the heading </w:t>
      </w:r>
      <w:r>
        <w:rPr>
          <w:rFonts w:ascii="Arial" w:cs="Arial" w:eastAsia="Arial" w:hAnsi="Arial"/>
          <w:sz w:val="17"/>
          <w:szCs w:val="17"/>
          <w:i w:val="1"/>
          <w:iCs w:val="1"/>
          <w:color w:val="auto"/>
        </w:rPr>
        <w:t>Payments Upon Voluntary Termination</w:t>
      </w:r>
      <w:r>
        <w:rPr>
          <w:rFonts w:ascii="Arial" w:cs="Arial" w:eastAsia="Arial" w:hAnsi="Arial"/>
          <w:sz w:val="17"/>
          <w:szCs w:val="17"/>
          <w:color w:val="auto"/>
        </w:rPr>
        <w:t>.</w:t>
      </w:r>
    </w:p>
    <w:p>
      <w:pPr>
        <w:spacing w:after="0" w:line="18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 xml:space="preserve">Payments Upon Retirement. </w:t>
      </w:r>
      <w:r>
        <w:rPr>
          <w:rFonts w:ascii="Arial" w:cs="Arial" w:eastAsia="Arial" w:hAnsi="Arial"/>
          <w:sz w:val="17"/>
          <w:szCs w:val="17"/>
          <w:color w:val="auto"/>
        </w:rPr>
        <w:t>In the event of the retirement at age 62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above of a named executive officer, in addition to the items described under the heading </w:t>
      </w:r>
      <w:r>
        <w:rPr>
          <w:rFonts w:ascii="Arial" w:cs="Arial" w:eastAsia="Arial" w:hAnsi="Arial"/>
          <w:sz w:val="17"/>
          <w:szCs w:val="17"/>
          <w:i w:val="1"/>
          <w:iCs w:val="1"/>
          <w:color w:val="auto"/>
        </w:rPr>
        <w:t>Payments Upon Any Termination</w:t>
      </w:r>
      <w:r>
        <w:rPr>
          <w:rFonts w:ascii="Arial" w:cs="Arial" w:eastAsia="Arial" w:hAnsi="Arial"/>
          <w:sz w:val="17"/>
          <w:szCs w:val="17"/>
          <w:color w:val="auto"/>
        </w:rPr>
        <w:t xml:space="preserve">, the executive will receive a portion of the cash incentive bonus based upon performance and payable under the Executive Incentive Plan that correlates to the percentage of the year in which the employee worked for the Company;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7"/>
          <w:szCs w:val="17"/>
          <w:i w:val="1"/>
          <w:iCs w:val="1"/>
          <w:color w:val="auto"/>
        </w:rPr>
        <w:t>Retiree Medical</w:t>
      </w:r>
      <w:r>
        <w:rPr>
          <w:rFonts w:ascii="Arial" w:cs="Arial" w:eastAsia="Arial" w:hAnsi="Arial"/>
          <w:sz w:val="17"/>
          <w:szCs w:val="17"/>
          <w:color w:val="auto"/>
        </w:rPr>
        <w:t xml:space="preserve"> on page 47 (except Mr. Nye, Mr. McCunniff and Mr. Grant, who are not eligible for Retiree Medical); and will continue to receive life insurance coverage until his or her death.</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Payments Made Upon Early Retirement. </w:t>
      </w:r>
      <w:r>
        <w:rPr>
          <w:rFonts w:ascii="Arial" w:cs="Arial" w:eastAsia="Arial" w:hAnsi="Arial"/>
          <w:sz w:val="17"/>
          <w:szCs w:val="17"/>
          <w:color w:val="auto"/>
        </w:rPr>
        <w:t>In the event of the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to reaching age 62 but on or after reaching age 55, the named executive officer will receive benefits as described under the heading </w:t>
      </w:r>
      <w:r>
        <w:rPr>
          <w:rFonts w:ascii="Arial" w:cs="Arial" w:eastAsia="Arial" w:hAnsi="Arial"/>
          <w:sz w:val="17"/>
          <w:szCs w:val="17"/>
          <w:i w:val="1"/>
          <w:iCs w:val="1"/>
          <w:color w:val="auto"/>
        </w:rPr>
        <w:t>Payments Upon Voluntary Termination</w:t>
      </w:r>
      <w:r>
        <w:rPr>
          <w:rFonts w:ascii="Arial" w:cs="Arial" w:eastAsia="Arial" w:hAnsi="Arial"/>
          <w:sz w:val="17"/>
          <w:szCs w:val="17"/>
          <w:color w:val="auto"/>
        </w:rPr>
        <w:t>. In addition, the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 will receive reduced benefits of the type described under </w:t>
      </w:r>
      <w:r>
        <w:rPr>
          <w:rFonts w:ascii="Arial" w:cs="Arial" w:eastAsia="Arial" w:hAnsi="Arial"/>
          <w:sz w:val="17"/>
          <w:szCs w:val="17"/>
          <w:i w:val="1"/>
          <w:iCs w:val="1"/>
          <w:color w:val="auto"/>
        </w:rPr>
        <w:t>Pension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Benefits </w:t>
      </w:r>
      <w:r>
        <w:rPr>
          <w:rFonts w:ascii="Arial" w:cs="Arial" w:eastAsia="Arial" w:hAnsi="Arial"/>
          <w:sz w:val="17"/>
          <w:szCs w:val="17"/>
          <w:color w:val="auto"/>
        </w:rPr>
        <w:t>on page 47 and may be eligible for benefits described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heading </w:t>
      </w:r>
      <w:r>
        <w:rPr>
          <w:rFonts w:ascii="Arial" w:cs="Arial" w:eastAsia="Arial" w:hAnsi="Arial"/>
          <w:sz w:val="17"/>
          <w:szCs w:val="17"/>
          <w:i w:val="1"/>
          <w:iCs w:val="1"/>
          <w:color w:val="auto"/>
        </w:rPr>
        <w:t>Retiree Medical</w:t>
      </w:r>
      <w:r>
        <w:rPr>
          <w:rFonts w:ascii="Arial" w:cs="Arial" w:eastAsia="Arial" w:hAnsi="Arial"/>
          <w:sz w:val="17"/>
          <w:szCs w:val="17"/>
          <w:color w:val="auto"/>
        </w:rPr>
        <w:t xml:space="preserve"> on page 47 at a higher cost.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Payments Upon Death or Disability. </w:t>
      </w:r>
      <w:r>
        <w:rPr>
          <w:rFonts w:ascii="Arial" w:cs="Arial" w:eastAsia="Arial" w:hAnsi="Arial"/>
          <w:sz w:val="17"/>
          <w:szCs w:val="17"/>
          <w:color w:val="auto"/>
        </w:rPr>
        <w:t>In the event of the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disability of a named executive officer, in addition to the payments and benefits under the headings </w:t>
      </w:r>
      <w:r>
        <w:rPr>
          <w:rFonts w:ascii="Arial" w:cs="Arial" w:eastAsia="Arial" w:hAnsi="Arial"/>
          <w:sz w:val="17"/>
          <w:szCs w:val="17"/>
          <w:i w:val="1"/>
          <w:iCs w:val="1"/>
          <w:color w:val="auto"/>
        </w:rPr>
        <w:t>Payments Upon Any Termination</w:t>
      </w:r>
      <w:r>
        <w:rPr>
          <w:rFonts w:ascii="Arial" w:cs="Arial" w:eastAsia="Arial" w:hAnsi="Arial"/>
          <w:sz w:val="17"/>
          <w:szCs w:val="17"/>
          <w:color w:val="auto"/>
        </w:rPr>
        <w:t>, the named executive officer or their estate</w:t>
      </w:r>
    </w:p>
    <w:p>
      <w:pPr>
        <w:sectPr>
          <w:pgSz w:w="11900" w:h="16838" w:orient="portrait"/>
          <w:cols w:equalWidth="0" w:num="2">
            <w:col w:w="5480" w:space="340"/>
            <w:col w:w="5480"/>
          </w:cols>
          <w:pgMar w:left="240" w:top="316" w:right="359" w:bottom="1440" w:gutter="0" w:footer="0" w:header="0"/>
        </w:sectPr>
      </w:pPr>
    </w:p>
    <w:bookmarkStart w:id="52" w:name="page53"/>
    <w:bookmarkEnd w:id="52"/>
    <w:p>
      <w:pPr>
        <w:jc w:val="both"/>
        <w:spacing w:after="0"/>
        <w:rPr>
          <w:sz w:val="20"/>
          <w:szCs w:val="20"/>
          <w:color w:val="auto"/>
        </w:rPr>
      </w:pPr>
      <w:r>
        <w:rPr>
          <w:rFonts w:ascii="Arial" w:cs="Arial" w:eastAsia="Arial" w:hAnsi="Arial"/>
          <w:sz w:val="17"/>
          <w:szCs w:val="17"/>
          <w:color w:val="auto"/>
        </w:rPr>
        <w:t>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executor of their estate will have one year to exercise the options. In the event of disability, the executive will receive a portion of the cash incentive bonus based upon performance and payable under the Executive Incentive Plan that correlates to the percentage of the year in which the employee worked for the Company;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28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Payments Upon a Change of Control</w:t>
      </w:r>
      <w:r>
        <w:rPr>
          <w:rFonts w:ascii="Arial" w:cs="Arial" w:eastAsia="Arial" w:hAnsi="Arial"/>
          <w:sz w:val="17"/>
          <w:szCs w:val="17"/>
          <w:color w:val="auto"/>
        </w:rPr>
        <w:t>. Martin Marietta has entered</w:t>
      </w:r>
      <w:r>
        <w:rPr>
          <w:rFonts w:ascii="Arial" w:cs="Arial" w:eastAsia="Arial" w:hAnsi="Arial"/>
          <w:sz w:val="17"/>
          <w:szCs w:val="17"/>
          <w:b w:val="1"/>
          <w:bCs w:val="1"/>
          <w:color w:val="auto"/>
        </w:rPr>
        <w:t xml:space="preserve"> </w:t>
      </w:r>
      <w:r>
        <w:rPr>
          <w:rFonts w:ascii="Arial" w:cs="Arial" w:eastAsia="Arial" w:hAnsi="Arial"/>
          <w:sz w:val="17"/>
          <w:szCs w:val="17"/>
          <w:color w:val="auto"/>
        </w:rPr>
        <w:t>into Employment Protection Agreements, as amended from time to time, with 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w:t>
      </w:r>
    </w:p>
    <w:p>
      <w:pPr>
        <w:spacing w:after="0" w:line="5" w:lineRule="exact"/>
        <w:rPr>
          <w:sz w:val="20"/>
          <w:szCs w:val="20"/>
          <w:color w:val="auto"/>
        </w:rPr>
      </w:pPr>
    </w:p>
    <w:p>
      <w:pPr>
        <w:jc w:val="both"/>
        <w:ind w:firstLine="8"/>
        <w:spacing w:after="0" w:line="235" w:lineRule="auto"/>
        <w:tabs>
          <w:tab w:leader="none" w:pos="2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 insurance benefits for a period of three years following termination. The rationale for selecting these triggers is to encourage the named</w:t>
      </w:r>
    </w:p>
    <w:p>
      <w:pPr>
        <w:spacing w:after="0" w:line="20" w:lineRule="exact"/>
        <w:rPr>
          <w:sz w:val="20"/>
          <w:szCs w:val="20"/>
          <w:color w:val="auto"/>
        </w:rPr>
      </w:pPr>
      <w:r>
        <w:rPr>
          <w:sz w:val="20"/>
          <w:szCs w:val="20"/>
          <w:color w:val="auto"/>
        </w:rPr>
        <w:br w:type="column"/>
      </w:r>
    </w:p>
    <w:p>
      <w:pPr>
        <w:jc w:val="both"/>
        <w:ind w:right="120"/>
        <w:spacing w:after="0" w:line="232" w:lineRule="auto"/>
        <w:rPr>
          <w:sz w:val="20"/>
          <w:szCs w:val="20"/>
          <w:color w:val="auto"/>
        </w:rPr>
      </w:pPr>
      <w:r>
        <w:rPr>
          <w:rFonts w:ascii="Arial" w:cs="Arial" w:eastAsia="Arial" w:hAnsi="Arial"/>
          <w:sz w:val="17"/>
          <w:szCs w:val="17"/>
          <w:color w:val="auto"/>
        </w:rPr>
        <w:t>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-4083685</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204"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In addition, Martin Marietta’s Amended and Restated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53" w:name="page54"/>
    <w:bookmarkEnd w:id="53"/>
    <w:p>
      <w:pPr>
        <w:jc w:val="both"/>
        <w:ind w:right="20"/>
        <w:spacing w:after="0" w:line="25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Value of Payments Upon Termination</w:t>
      </w:r>
      <w:r>
        <w:rPr>
          <w:rFonts w:ascii="Arial" w:cs="Arial" w:eastAsia="Arial" w:hAnsi="Arial"/>
          <w:sz w:val="17"/>
          <w:szCs w:val="17"/>
          <w:color w:val="auto"/>
        </w:rPr>
        <w:t>. The following tables show the potential incremental value of payments to each of our named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upon termination, including in the event of a Change of Control of Martin Marietta, assuming a December 31, 2015 termination date and, where applicable, using the NYSE closing price of our common stock of $136.58 on December 31, 2015.</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POTENTIAL INCREMENTAL VALUE OF PAYMENTS UPON TERMINATION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OR CHANGE OF CONTROL AT DECEMBER 31,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shd w:val="clear" w:color="auto" w:fill="47829E"/>
          </w:tcPr>
          <w:p>
            <w:pPr>
              <w:spacing w:after="0"/>
              <w:rPr>
                <w:sz w:val="14"/>
                <w:szCs w:val="14"/>
                <w:color w:val="auto"/>
              </w:rPr>
            </w:pPr>
          </w:p>
        </w:tc>
        <w:tc>
          <w:tcPr>
            <w:tcW w:w="3460" w:type="dxa"/>
            <w:vAlign w:val="bottom"/>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1000" w:type="dxa"/>
            <w:vAlign w:val="bottom"/>
            <w:shd w:val="clear" w:color="auto" w:fill="47829E"/>
          </w:tcPr>
          <w:p>
            <w:pPr>
              <w:spacing w:after="0"/>
              <w:rPr>
                <w:sz w:val="14"/>
                <w:szCs w:val="14"/>
                <w:color w:val="auto"/>
              </w:rPr>
            </w:pPr>
          </w:p>
        </w:tc>
        <w:tc>
          <w:tcPr>
            <w:tcW w:w="12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Involuntary</w:t>
            </w:r>
          </w:p>
        </w:tc>
        <w:tc>
          <w:tcPr>
            <w:tcW w:w="920" w:type="dxa"/>
            <w:vAlign w:val="bottom"/>
            <w:shd w:val="clear" w:color="auto" w:fill="47829E"/>
          </w:tcPr>
          <w:p>
            <w:pPr>
              <w:spacing w:after="0"/>
              <w:rPr>
                <w:sz w:val="14"/>
                <w:szCs w:val="14"/>
                <w:color w:val="auto"/>
              </w:rPr>
            </w:pPr>
          </w:p>
        </w:tc>
        <w:tc>
          <w:tcPr>
            <w:tcW w:w="900" w:type="dxa"/>
            <w:vAlign w:val="bottom"/>
            <w:shd w:val="clear" w:color="auto" w:fill="47829E"/>
          </w:tcPr>
          <w:p>
            <w:pPr>
              <w:spacing w:after="0"/>
              <w:rPr>
                <w:sz w:val="14"/>
                <w:szCs w:val="14"/>
                <w:color w:val="auto"/>
              </w:rPr>
            </w:pP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47829E"/>
          </w:tcPr>
          <w:p>
            <w:pPr>
              <w:spacing w:after="0"/>
              <w:rPr>
                <w:sz w:val="14"/>
                <w:szCs w:val="14"/>
                <w:color w:val="auto"/>
              </w:rPr>
            </w:pPr>
          </w:p>
        </w:tc>
        <w:tc>
          <w:tcPr>
            <w:tcW w:w="3460" w:type="dxa"/>
            <w:vAlign w:val="bottom"/>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1000" w:type="dxa"/>
            <w:vAlign w:val="bottom"/>
            <w:vMerge w:val="restart"/>
            <w:shd w:val="clear" w:color="auto" w:fill="47829E"/>
          </w:tcPr>
          <w:p>
            <w:pPr>
              <w:jc w:val="right"/>
              <w:ind w:right="48"/>
              <w:spacing w:after="0"/>
              <w:rPr>
                <w:sz w:val="20"/>
                <w:szCs w:val="20"/>
                <w:color w:val="auto"/>
              </w:rPr>
            </w:pPr>
            <w:r>
              <w:rPr>
                <w:rFonts w:ascii="Arial" w:cs="Arial" w:eastAsia="Arial" w:hAnsi="Arial"/>
                <w:sz w:val="14"/>
                <w:szCs w:val="14"/>
                <w:b w:val="1"/>
                <w:bCs w:val="1"/>
                <w:color w:val="FFFFFF"/>
                <w:w w:val="94"/>
              </w:rPr>
              <w:t>Retirement</w:t>
            </w:r>
            <w:r>
              <w:rPr>
                <w:rFonts w:ascii="Arial" w:cs="Arial" w:eastAsia="Arial" w:hAnsi="Arial"/>
                <w:sz w:val="24"/>
                <w:szCs w:val="24"/>
                <w:b w:val="1"/>
                <w:bCs w:val="1"/>
                <w:color w:val="FFFFFF"/>
                <w:w w:val="94"/>
                <w:vertAlign w:val="superscript"/>
              </w:rPr>
              <w:t>10</w:t>
            </w:r>
          </w:p>
        </w:tc>
        <w:tc>
          <w:tcPr>
            <w:tcW w:w="12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Not-for-Cause</w:t>
            </w:r>
          </w:p>
        </w:tc>
        <w:tc>
          <w:tcPr>
            <w:tcW w:w="920" w:type="dxa"/>
            <w:vAlign w:val="bottom"/>
            <w:shd w:val="clear" w:color="auto" w:fill="47829E"/>
          </w:tcPr>
          <w:p>
            <w:pPr>
              <w:spacing w:after="0"/>
              <w:rPr>
                <w:sz w:val="14"/>
                <w:szCs w:val="14"/>
                <w:color w:val="auto"/>
              </w:rPr>
            </w:pPr>
          </w:p>
        </w:tc>
        <w:tc>
          <w:tcPr>
            <w:tcW w:w="900" w:type="dxa"/>
            <w:vAlign w:val="bottom"/>
            <w:shd w:val="clear" w:color="auto" w:fill="47829E"/>
          </w:tcPr>
          <w:p>
            <w:pPr>
              <w:spacing w:after="0"/>
              <w:rPr>
                <w:sz w:val="14"/>
                <w:szCs w:val="14"/>
                <w:color w:val="auto"/>
              </w:rPr>
            </w:pP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of-</w:t>
            </w:r>
          </w:p>
        </w:tc>
        <w:tc>
          <w:tcPr>
            <w:tcW w:w="20" w:type="dxa"/>
            <w:vAlign w:val="bottom"/>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47829E"/>
          </w:tcPr>
          <w:p>
            <w:pPr>
              <w:spacing w:after="0"/>
              <w:rPr>
                <w:sz w:val="14"/>
                <w:szCs w:val="14"/>
                <w:color w:val="auto"/>
              </w:rPr>
            </w:pPr>
          </w:p>
        </w:tc>
        <w:tc>
          <w:tcPr>
            <w:tcW w:w="3460" w:type="dxa"/>
            <w:vAlign w:val="bottom"/>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1000" w:type="dxa"/>
            <w:vAlign w:val="bottom"/>
            <w:vMerge w:val="continue"/>
            <w:shd w:val="clear" w:color="auto" w:fill="47829E"/>
          </w:tcPr>
          <w:p>
            <w:pPr>
              <w:spacing w:after="0"/>
              <w:rPr>
                <w:sz w:val="14"/>
                <w:szCs w:val="14"/>
                <w:color w:val="auto"/>
              </w:rPr>
            </w:pPr>
          </w:p>
        </w:tc>
        <w:tc>
          <w:tcPr>
            <w:tcW w:w="1200" w:type="dxa"/>
            <w:vAlign w:val="bottom"/>
            <w:shd w:val="clear" w:color="auto" w:fill="47829E"/>
          </w:tcPr>
          <w:p>
            <w:pPr>
              <w:jc w:val="right"/>
              <w:ind w:right="148"/>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47829E"/>
          </w:tcPr>
          <w:p>
            <w:pPr>
              <w:jc w:val="right"/>
              <w:ind w:right="88"/>
              <w:spacing w:after="0"/>
              <w:rPr>
                <w:sz w:val="20"/>
                <w:szCs w:val="20"/>
                <w:color w:val="auto"/>
              </w:rPr>
            </w:pPr>
            <w:r>
              <w:rPr>
                <w:rFonts w:ascii="Arial" w:cs="Arial" w:eastAsia="Arial" w:hAnsi="Arial"/>
                <w:sz w:val="14"/>
                <w:szCs w:val="14"/>
                <w:b w:val="1"/>
                <w:bCs w:val="1"/>
                <w:color w:val="FFFFFF"/>
              </w:rPr>
              <w:t>Disability</w:t>
            </w:r>
          </w:p>
        </w:tc>
        <w:tc>
          <w:tcPr>
            <w:tcW w:w="900" w:type="dxa"/>
            <w:vAlign w:val="bottom"/>
            <w:shd w:val="clear" w:color="auto" w:fill="47829E"/>
          </w:tcPr>
          <w:p>
            <w:pPr>
              <w:jc w:val="right"/>
              <w:ind w:right="208"/>
              <w:spacing w:after="0"/>
              <w:rPr>
                <w:sz w:val="20"/>
                <w:szCs w:val="20"/>
                <w:color w:val="auto"/>
              </w:rPr>
            </w:pPr>
            <w:r>
              <w:rPr>
                <w:rFonts w:ascii="Arial" w:cs="Arial" w:eastAsia="Arial" w:hAnsi="Arial"/>
                <w:sz w:val="14"/>
                <w:szCs w:val="14"/>
                <w:b w:val="1"/>
                <w:bCs w:val="1"/>
                <w:color w:val="FFFFFF"/>
              </w:rPr>
              <w:t>Death</w:t>
            </w: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Control</w:t>
            </w:r>
          </w:p>
        </w:tc>
        <w:tc>
          <w:tcPr>
            <w:tcW w:w="20" w:type="dxa"/>
            <w:vAlign w:val="bottom"/>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47829E"/>
          </w:tcPr>
          <w:p>
            <w:pPr>
              <w:ind w:left="160"/>
              <w:spacing w:after="0"/>
              <w:rPr>
                <w:sz w:val="20"/>
                <w:szCs w:val="20"/>
                <w:color w:val="auto"/>
              </w:rPr>
            </w:pPr>
            <w:r>
              <w:rPr>
                <w:rFonts w:ascii="Arial" w:cs="Arial" w:eastAsia="Arial" w:hAnsi="Arial"/>
                <w:sz w:val="14"/>
                <w:szCs w:val="14"/>
                <w:b w:val="1"/>
                <w:bCs w:val="1"/>
                <w:color w:val="FFFFFF"/>
              </w:rPr>
              <w:t>Name</w:t>
            </w:r>
          </w:p>
        </w:tc>
        <w:tc>
          <w:tcPr>
            <w:tcW w:w="3460" w:type="dxa"/>
            <w:vAlign w:val="bottom"/>
            <w:shd w:val="clear" w:color="auto" w:fill="47829E"/>
          </w:tcPr>
          <w:p>
            <w:pPr>
              <w:ind w:left="1100"/>
              <w:spacing w:after="0" w:line="189" w:lineRule="exact"/>
              <w:rPr>
                <w:sz w:val="20"/>
                <w:szCs w:val="20"/>
                <w:color w:val="auto"/>
              </w:rPr>
            </w:pPr>
            <w:r>
              <w:rPr>
                <w:rFonts w:ascii="Arial" w:cs="Arial" w:eastAsia="Arial" w:hAnsi="Arial"/>
                <w:sz w:val="13"/>
                <w:szCs w:val="13"/>
                <w:b w:val="1"/>
                <w:bCs w:val="1"/>
                <w:color w:val="FFFFFF"/>
              </w:rPr>
              <w:t>Benefit or Payment</w:t>
            </w:r>
            <w:r>
              <w:rPr>
                <w:rFonts w:ascii="Arial" w:cs="Arial" w:eastAsia="Arial" w:hAnsi="Arial"/>
                <w:sz w:val="21"/>
                <w:szCs w:val="21"/>
                <w:b w:val="1"/>
                <w:bCs w:val="1"/>
                <w:color w:val="FFFFFF"/>
                <w:vertAlign w:val="superscript"/>
              </w:rPr>
              <w:t>1</w:t>
            </w:r>
          </w:p>
        </w:tc>
        <w:tc>
          <w:tcPr>
            <w:tcW w:w="1120" w:type="dxa"/>
            <w:vAlign w:val="bottom"/>
            <w:gridSpan w:val="2"/>
            <w:shd w:val="clear" w:color="auto" w:fill="47829E"/>
          </w:tcPr>
          <w:p>
            <w:pPr>
              <w:jc w:val="right"/>
              <w:ind w:right="40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7829E"/>
          </w:tcPr>
          <w:p>
            <w:pPr>
              <w:jc w:val="right"/>
              <w:ind w:right="32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47829E"/>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47829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34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6,276,432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2,782,135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3,014,321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5,796,455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5,796,455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5,796,455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640,877</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640,877</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640,877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640,877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 Howard Nye</w:t>
            </w: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512,647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235,531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512,647</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512,647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512,647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875,614</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875,614</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875,614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875,614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1,947,209</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603,370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7,331,387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74,080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3460" w:type="dxa"/>
            <w:vAlign w:val="bottom"/>
          </w:tcPr>
          <w:p>
            <w:pPr>
              <w:ind w:left="100"/>
              <w:spacing w:after="0" w:line="157" w:lineRule="exact"/>
              <w:rPr>
                <w:sz w:val="20"/>
                <w:szCs w:val="20"/>
                <w:color w:val="auto"/>
              </w:rPr>
            </w:pPr>
            <w:r>
              <w:rPr>
                <w:rFonts w:ascii="Arial" w:cs="Arial" w:eastAsia="Arial" w:hAnsi="Arial"/>
                <w:sz w:val="14"/>
                <w:szCs w:val="14"/>
                <w:color w:val="auto"/>
              </w:rPr>
              <w:t>Excise Tax &amp; Gross-up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8,313,229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20" w:type="dxa"/>
            <w:vAlign w:val="bottom"/>
            <w:shd w:val="clear" w:color="auto" w:fill="DAE6EB"/>
          </w:tcPr>
          <w:p>
            <w:pPr>
              <w:spacing w:after="0"/>
              <w:rPr>
                <w:sz w:val="13"/>
                <w:szCs w:val="13"/>
                <w:color w:val="auto"/>
              </w:rPr>
            </w:pPr>
          </w:p>
        </w:tc>
        <w:tc>
          <w:tcPr>
            <w:tcW w:w="3460" w:type="dxa"/>
            <w:vAlign w:val="bottom"/>
            <w:shd w:val="clear" w:color="auto" w:fill="DAE6EB"/>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shd w:val="clear" w:color="auto" w:fill="DAE6EB"/>
          </w:tcPr>
          <w:p>
            <w:pPr>
              <w:spacing w:after="0"/>
              <w:rPr>
                <w:sz w:val="13"/>
                <w:szCs w:val="13"/>
                <w:color w:val="auto"/>
              </w:rPr>
            </w:pPr>
          </w:p>
        </w:tc>
        <w:tc>
          <w:tcPr>
            <w:tcW w:w="1000" w:type="dxa"/>
            <w:vAlign w:val="bottom"/>
            <w:shd w:val="clear" w:color="auto" w:fill="DAE6EB"/>
          </w:tcPr>
          <w:p>
            <w:pPr>
              <w:spacing w:after="0"/>
              <w:rPr>
                <w:sz w:val="13"/>
                <w:szCs w:val="13"/>
                <w:color w:val="auto"/>
              </w:rPr>
            </w:pPr>
          </w:p>
        </w:tc>
        <w:tc>
          <w:tcPr>
            <w:tcW w:w="1200" w:type="dxa"/>
            <w:vAlign w:val="bottom"/>
            <w:shd w:val="clear" w:color="auto" w:fill="DAE6EB"/>
          </w:tcPr>
          <w:p>
            <w:pPr>
              <w:spacing w:after="0"/>
              <w:rPr>
                <w:sz w:val="13"/>
                <w:szCs w:val="13"/>
                <w:color w:val="auto"/>
              </w:rPr>
            </w:pPr>
          </w:p>
        </w:tc>
        <w:tc>
          <w:tcPr>
            <w:tcW w:w="920" w:type="dxa"/>
            <w:vAlign w:val="bottom"/>
            <w:shd w:val="clear" w:color="auto" w:fill="DAE6EB"/>
          </w:tcPr>
          <w:p>
            <w:pPr>
              <w:spacing w:after="0"/>
              <w:rPr>
                <w:sz w:val="13"/>
                <w:szCs w:val="13"/>
                <w:color w:val="auto"/>
              </w:rPr>
            </w:pPr>
          </w:p>
        </w:tc>
        <w:tc>
          <w:tcPr>
            <w:tcW w:w="900" w:type="dxa"/>
            <w:vAlign w:val="bottom"/>
            <w:shd w:val="clear" w:color="auto" w:fill="DAE6EB"/>
          </w:tcPr>
          <w:p>
            <w:pPr>
              <w:spacing w:after="0"/>
              <w:rPr>
                <w:sz w:val="13"/>
                <w:szCs w:val="13"/>
                <w:color w:val="auto"/>
              </w:rPr>
            </w:pPr>
          </w:p>
        </w:tc>
        <w:tc>
          <w:tcPr>
            <w:tcW w:w="1000" w:type="dxa"/>
            <w:vAlign w:val="bottom"/>
            <w:shd w:val="clear" w:color="auto" w:fill="DAE6EB"/>
          </w:tcPr>
          <w:p>
            <w:pPr>
              <w:jc w:val="right"/>
              <w:ind w:right="148"/>
              <w:spacing w:after="0" w:line="159" w:lineRule="exact"/>
              <w:rPr>
                <w:sz w:val="20"/>
                <w:szCs w:val="20"/>
                <w:color w:val="auto"/>
              </w:rPr>
            </w:pPr>
            <w:r>
              <w:rPr>
                <w:rFonts w:ascii="Arial" w:cs="Arial" w:eastAsia="Arial" w:hAnsi="Arial"/>
                <w:sz w:val="14"/>
                <w:szCs w:val="14"/>
                <w:color w:val="auto"/>
              </w:rPr>
              <w:t>2,770,494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shd w:val="clear" w:color="auto" w:fill="DAE6EB"/>
          </w:tcPr>
          <w:p>
            <w:pPr>
              <w:jc w:val="right"/>
              <w:ind w:right="48"/>
              <w:spacing w:after="0"/>
              <w:rPr>
                <w:sz w:val="20"/>
                <w:szCs w:val="20"/>
                <w:color w:val="auto"/>
              </w:rPr>
            </w:pPr>
            <w:r>
              <w:rPr>
                <w:rFonts w:ascii="Arial" w:cs="Arial" w:eastAsia="Arial" w:hAnsi="Arial"/>
                <w:sz w:val="14"/>
                <w:szCs w:val="14"/>
                <w:color w:val="auto"/>
              </w:rPr>
              <w:t>926,012</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1,622,297</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2,548,310</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2,548,310</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2,548,310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217,069</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217,069</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217,069</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217,069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shd w:val="clear" w:color="auto" w:fill="DAE6EB"/>
          </w:tcPr>
          <w:p>
            <w:pPr>
              <w:ind w:left="160"/>
              <w:spacing w:after="0"/>
              <w:rPr>
                <w:sz w:val="20"/>
                <w:szCs w:val="20"/>
                <w:color w:val="auto"/>
              </w:rPr>
            </w:pPr>
            <w:r>
              <w:rPr>
                <w:rFonts w:ascii="Arial" w:cs="Arial" w:eastAsia="Arial" w:hAnsi="Arial"/>
                <w:sz w:val="14"/>
                <w:szCs w:val="14"/>
                <w:b w:val="1"/>
                <w:bCs w:val="1"/>
                <w:color w:val="auto"/>
              </w:rPr>
              <w:t>Anne H. Lloyd</w:t>
            </w: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112,374</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52,671</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112,374</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112,374</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112,374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481,445</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481,445</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481,445</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481,445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410,624</w:t>
            </w: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4,191,600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8,944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4"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rPr>
                <w:sz w:val="20"/>
                <w:szCs w:val="20"/>
                <w:color w:val="auto"/>
              </w:rPr>
            </w:pPr>
            <w:r>
              <w:rPr>
                <w:rFonts w:ascii="Arial" w:cs="Arial" w:eastAsia="Arial" w:hAnsi="Arial"/>
                <w:sz w:val="14"/>
                <w:szCs w:val="14"/>
                <w:color w:val="auto"/>
              </w:rPr>
              <w:t>Excise Tax &amp; Gross-up</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3,987,369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34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2,367,756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755,834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1,353,918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2,109,751</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2,109,751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2,109,751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177,115</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177,115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177,115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177,115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Roselyn R. Bar</w:t>
            </w: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88,888</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42,951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88,888</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88,888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88,888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401,818</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401,818</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401,818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401,818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2,794,833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53,618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3460" w:type="dxa"/>
            <w:vAlign w:val="bottom"/>
          </w:tcPr>
          <w:p>
            <w:pPr>
              <w:ind w:left="100"/>
              <w:spacing w:after="0" w:line="157" w:lineRule="exact"/>
              <w:rPr>
                <w:sz w:val="20"/>
                <w:szCs w:val="20"/>
                <w:color w:val="auto"/>
              </w:rPr>
            </w:pPr>
            <w:r>
              <w:rPr>
                <w:rFonts w:ascii="Arial" w:cs="Arial" w:eastAsia="Arial" w:hAnsi="Arial"/>
                <w:sz w:val="14"/>
                <w:szCs w:val="14"/>
                <w:color w:val="auto"/>
              </w:rPr>
              <w:t>Excise Tax &amp; Gross-up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3,043,048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20" w:type="dxa"/>
            <w:vAlign w:val="bottom"/>
            <w:shd w:val="clear" w:color="auto" w:fill="DAE6EB"/>
          </w:tcPr>
          <w:p>
            <w:pPr>
              <w:spacing w:after="0"/>
              <w:rPr>
                <w:sz w:val="13"/>
                <w:szCs w:val="13"/>
                <w:color w:val="auto"/>
              </w:rPr>
            </w:pPr>
          </w:p>
        </w:tc>
        <w:tc>
          <w:tcPr>
            <w:tcW w:w="3460" w:type="dxa"/>
            <w:vAlign w:val="bottom"/>
            <w:shd w:val="clear" w:color="auto" w:fill="DAE6EB"/>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shd w:val="clear" w:color="auto" w:fill="DAE6EB"/>
          </w:tcPr>
          <w:p>
            <w:pPr>
              <w:spacing w:after="0"/>
              <w:rPr>
                <w:sz w:val="13"/>
                <w:szCs w:val="13"/>
                <w:color w:val="auto"/>
              </w:rPr>
            </w:pPr>
          </w:p>
        </w:tc>
        <w:tc>
          <w:tcPr>
            <w:tcW w:w="1000" w:type="dxa"/>
            <w:vAlign w:val="bottom"/>
            <w:shd w:val="clear" w:color="auto" w:fill="DAE6EB"/>
          </w:tcPr>
          <w:p>
            <w:pPr>
              <w:spacing w:after="0"/>
              <w:rPr>
                <w:sz w:val="13"/>
                <w:szCs w:val="13"/>
                <w:color w:val="auto"/>
              </w:rPr>
            </w:pPr>
          </w:p>
        </w:tc>
        <w:tc>
          <w:tcPr>
            <w:tcW w:w="1200" w:type="dxa"/>
            <w:vAlign w:val="bottom"/>
            <w:shd w:val="clear" w:color="auto" w:fill="DAE6EB"/>
          </w:tcPr>
          <w:p>
            <w:pPr>
              <w:spacing w:after="0"/>
              <w:rPr>
                <w:sz w:val="13"/>
                <w:szCs w:val="13"/>
                <w:color w:val="auto"/>
              </w:rPr>
            </w:pPr>
          </w:p>
        </w:tc>
        <w:tc>
          <w:tcPr>
            <w:tcW w:w="920" w:type="dxa"/>
            <w:vAlign w:val="bottom"/>
            <w:shd w:val="clear" w:color="auto" w:fill="DAE6EB"/>
          </w:tcPr>
          <w:p>
            <w:pPr>
              <w:spacing w:after="0"/>
              <w:rPr>
                <w:sz w:val="13"/>
                <w:szCs w:val="13"/>
                <w:color w:val="auto"/>
              </w:rPr>
            </w:pPr>
          </w:p>
        </w:tc>
        <w:tc>
          <w:tcPr>
            <w:tcW w:w="900" w:type="dxa"/>
            <w:vAlign w:val="bottom"/>
            <w:shd w:val="clear" w:color="auto" w:fill="DAE6EB"/>
          </w:tcPr>
          <w:p>
            <w:pPr>
              <w:spacing w:after="0"/>
              <w:rPr>
                <w:sz w:val="13"/>
                <w:szCs w:val="13"/>
                <w:color w:val="auto"/>
              </w:rPr>
            </w:pPr>
          </w:p>
        </w:tc>
        <w:tc>
          <w:tcPr>
            <w:tcW w:w="1000" w:type="dxa"/>
            <w:vAlign w:val="bottom"/>
            <w:shd w:val="clear" w:color="auto" w:fill="DAE6EB"/>
          </w:tcPr>
          <w:p>
            <w:pPr>
              <w:jc w:val="right"/>
              <w:ind w:right="148"/>
              <w:spacing w:after="0" w:line="159" w:lineRule="exact"/>
              <w:rPr>
                <w:sz w:val="20"/>
                <w:szCs w:val="20"/>
                <w:color w:val="auto"/>
              </w:rPr>
            </w:pPr>
            <w:r>
              <w:rPr>
                <w:rFonts w:ascii="Arial" w:cs="Arial" w:eastAsia="Arial" w:hAnsi="Arial"/>
                <w:sz w:val="14"/>
                <w:szCs w:val="14"/>
                <w:color w:val="auto"/>
              </w:rPr>
              <w:t>1,803,072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shd w:val="clear" w:color="auto" w:fill="DAE6EB"/>
          </w:tcPr>
          <w:p>
            <w:pPr>
              <w:jc w:val="right"/>
              <w:ind w:right="48"/>
              <w:spacing w:after="0"/>
              <w:rPr>
                <w:sz w:val="20"/>
                <w:szCs w:val="20"/>
                <w:color w:val="auto"/>
              </w:rPr>
            </w:pPr>
            <w:r>
              <w:rPr>
                <w:rFonts w:ascii="Arial" w:cs="Arial" w:eastAsia="Arial" w:hAnsi="Arial"/>
                <w:sz w:val="14"/>
                <w:szCs w:val="14"/>
                <w:color w:val="auto"/>
              </w:rPr>
              <w:t>609,010</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1,109,986</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1,718,996</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1,718,996</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1,718,996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142,665</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142,665</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142,665</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142,665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shd w:val="clear" w:color="auto" w:fill="DAE6EB"/>
          </w:tcPr>
          <w:p>
            <w:pPr>
              <w:ind w:left="160"/>
              <w:spacing w:after="0"/>
              <w:rPr>
                <w:sz w:val="20"/>
                <w:szCs w:val="20"/>
                <w:color w:val="auto"/>
              </w:rPr>
            </w:pPr>
            <w:r>
              <w:rPr>
                <w:rFonts w:ascii="Arial" w:cs="Arial" w:eastAsia="Arial" w:hAnsi="Arial"/>
                <w:sz w:val="14"/>
                <w:szCs w:val="14"/>
                <w:b w:val="1"/>
                <w:bCs w:val="1"/>
                <w:color w:val="auto"/>
              </w:rPr>
              <w:t>Donald A. McCunniff</w:t>
            </w: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48,256</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23,395</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48,256</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48,256</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48,256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329,431</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329,431</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329,431</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329,431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466,343</w:t>
            </w: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960,043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31,616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4"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rPr>
                <w:sz w:val="20"/>
                <w:szCs w:val="20"/>
                <w:color w:val="auto"/>
              </w:rPr>
            </w:pPr>
            <w:r>
              <w:rPr>
                <w:rFonts w:ascii="Arial" w:cs="Arial" w:eastAsia="Arial" w:hAnsi="Arial"/>
                <w:sz w:val="14"/>
                <w:szCs w:val="14"/>
                <w:color w:val="auto"/>
              </w:rPr>
              <w:t>Excise Tax &amp; Gross-up</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1,954,809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34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1,689,921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209,514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1,043,881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1,253,395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1,253,395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1,253,395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19,420</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19,420</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19,420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19,420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Daniel L. Grant</w:t>
            </w: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36,467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11,798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36,467</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36,467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36,467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311,676</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311,676</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311,676</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311,676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235,298</w:t>
            </w: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550,889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30,853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4"/>
                <w:szCs w:val="14"/>
                <w:color w:val="auto"/>
              </w:rPr>
              <w:t>Excise Tax &amp; Gross-up</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1,532,700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-4638675</wp:posOffset>
            </wp:positionV>
            <wp:extent cx="7254875" cy="46393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4639310"/>
                    </a:xfrm>
                    <a:prstGeom prst="rect">
                      <a:avLst/>
                    </a:prstGeom>
                    <a:noFill/>
                  </pic:spPr>
                </pic:pic>
              </a:graphicData>
            </a:graphic>
          </wp:anchor>
        </w:drawing>
      </w:r>
    </w:p>
    <w:p>
      <w:pPr>
        <w:ind w:left="340" w:right="40" w:hanging="332"/>
        <w:spacing w:after="0" w:line="300" w:lineRule="auto"/>
        <w:tabs>
          <w:tab w:leader="none" w:pos="340" w:val="left"/>
        </w:tabs>
        <w:numPr>
          <w:ilvl w:val="0"/>
          <w:numId w:val="86"/>
        </w:numPr>
        <w:rPr>
          <w:rFonts w:ascii="Arial" w:cs="Arial" w:eastAsia="Arial" w:hAnsi="Arial"/>
          <w:sz w:val="11"/>
          <w:szCs w:val="11"/>
          <w:color w:val="auto"/>
        </w:rPr>
      </w:pPr>
      <w:r>
        <w:rPr>
          <w:rFonts w:ascii="Arial" w:cs="Arial" w:eastAsia="Arial" w:hAnsi="Arial"/>
          <w:sz w:val="12"/>
          <w:szCs w:val="12"/>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2015.</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  </w:t>
      </w:r>
      <w:r>
        <w:rPr>
          <w:sz w:val="1"/>
          <w:szCs w:val="1"/>
          <w:color w:val="auto"/>
        </w:rPr>
        <w:drawing>
          <wp:inline distT="0" distB="0" distL="0" distR="0">
            <wp:extent cx="342900" cy="2057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62" w:right="219" w:bottom="1440" w:gutter="0" w:footer="0" w:header="0"/>
        </w:sectPr>
      </w:pPr>
    </w:p>
    <w:bookmarkStart w:id="54" w:name="page55"/>
    <w:bookmarkEnd w:id="54"/>
    <w:p>
      <w:pPr>
        <w:ind w:left="340" w:hanging="332"/>
        <w:spacing w:after="0"/>
        <w:tabs>
          <w:tab w:leader="none" w:pos="340" w:val="left"/>
        </w:tabs>
        <w:numPr>
          <w:ilvl w:val="0"/>
          <w:numId w:val="87"/>
        </w:numPr>
        <w:rPr>
          <w:rFonts w:ascii="Arial" w:cs="Arial" w:eastAsia="Arial" w:hAnsi="Arial"/>
          <w:sz w:val="11"/>
          <w:szCs w:val="11"/>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Assumes all earned base salary has been paid.</w:t>
      </w:r>
    </w:p>
    <w:p>
      <w:pPr>
        <w:spacing w:after="0" w:line="109"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1"/>
          <w:szCs w:val="11"/>
          <w:color w:val="auto"/>
        </w:rPr>
      </w:pPr>
      <w:r>
        <w:rPr>
          <w:rFonts w:ascii="Arial" w:cs="Arial" w:eastAsia="Arial" w:hAnsi="Arial"/>
          <w:sz w:val="14"/>
          <w:szCs w:val="14"/>
          <w:color w:val="auto"/>
        </w:rPr>
        <w:t>Reflects the estimated lump-sum intrinsic value of all unvested restricted stock units.</w:t>
      </w:r>
    </w:p>
    <w:p>
      <w:pPr>
        <w:spacing w:after="0" w:line="109"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1"/>
          <w:szCs w:val="11"/>
          <w:color w:val="auto"/>
        </w:rPr>
      </w:pPr>
      <w:r>
        <w:rPr>
          <w:rFonts w:ascii="Arial" w:cs="Arial" w:eastAsia="Arial" w:hAnsi="Arial"/>
          <w:sz w:val="14"/>
          <w:szCs w:val="14"/>
          <w:color w:val="auto"/>
        </w:rPr>
        <w:t>Reflects the estimated lump-sum intrinsic value of unvested stock options.</w:t>
      </w:r>
    </w:p>
    <w:p>
      <w:pPr>
        <w:spacing w:after="0" w:line="10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1"/>
          <w:szCs w:val="11"/>
          <w:color w:val="auto"/>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spacing w:after="0" w:line="109"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1"/>
          <w:szCs w:val="11"/>
          <w:color w:val="auto"/>
        </w:rPr>
      </w:pPr>
      <w:r>
        <w:rPr>
          <w:rFonts w:ascii="Arial" w:cs="Arial" w:eastAsia="Arial" w:hAnsi="Arial"/>
          <w:sz w:val="14"/>
          <w:szCs w:val="14"/>
          <w:color w:val="auto"/>
        </w:rPr>
        <w:t>Reflects the estimated lump-sum intrinsic value of all unvested performance shares.</w:t>
      </w:r>
    </w:p>
    <w:p>
      <w:pPr>
        <w:spacing w:after="0" w:line="109" w:lineRule="exact"/>
        <w:rPr>
          <w:sz w:val="20"/>
          <w:szCs w:val="20"/>
          <w:color w:val="auto"/>
        </w:rPr>
      </w:pPr>
    </w:p>
    <w:p>
      <w:pPr>
        <w:jc w:val="both"/>
        <w:ind w:left="340" w:hanging="332"/>
        <w:spacing w:after="0" w:line="226" w:lineRule="auto"/>
        <w:tabs>
          <w:tab w:leader="none" w:pos="340" w:val="left"/>
        </w:tabs>
        <w:numPr>
          <w:ilvl w:val="0"/>
          <w:numId w:val="92"/>
        </w:numPr>
        <w:rPr>
          <w:rFonts w:ascii="Arial" w:cs="Arial" w:eastAsia="Arial" w:hAnsi="Arial"/>
          <w:sz w:val="11"/>
          <w:szCs w:val="11"/>
          <w:color w:val="auto"/>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47. Change of Control values include the incremental value of the benefit (including three times Martin Marietta’s match to the defined contribution plan) payable upon a qualifying termination of employment following a Change of Control.</w:t>
      </w:r>
    </w:p>
    <w:p>
      <w:pPr>
        <w:spacing w:after="0" w:line="109" w:lineRule="exact"/>
        <w:rPr>
          <w:sz w:val="20"/>
          <w:szCs w:val="20"/>
          <w:color w:val="auto"/>
        </w:rPr>
      </w:pPr>
    </w:p>
    <w:p>
      <w:pPr>
        <w:ind w:left="340" w:right="20" w:hanging="332"/>
        <w:spacing w:after="0" w:line="231" w:lineRule="auto"/>
        <w:tabs>
          <w:tab w:leader="none" w:pos="340" w:val="left"/>
        </w:tabs>
        <w:numPr>
          <w:ilvl w:val="0"/>
          <w:numId w:val="93"/>
        </w:numPr>
        <w:rPr>
          <w:rFonts w:ascii="Arial" w:cs="Arial" w:eastAsia="Arial" w:hAnsi="Arial"/>
          <w:sz w:val="11"/>
          <w:szCs w:val="11"/>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109" w:lineRule="exact"/>
        <w:rPr>
          <w:sz w:val="20"/>
          <w:szCs w:val="20"/>
          <w:color w:val="auto"/>
        </w:rPr>
      </w:pPr>
    </w:p>
    <w:p>
      <w:pPr>
        <w:ind w:left="340" w:hanging="332"/>
        <w:spacing w:after="0" w:line="231" w:lineRule="auto"/>
        <w:tabs>
          <w:tab w:leader="none" w:pos="340" w:val="left"/>
        </w:tabs>
        <w:numPr>
          <w:ilvl w:val="0"/>
          <w:numId w:val="94"/>
        </w:numPr>
        <w:rPr>
          <w:rFonts w:ascii="Arial" w:cs="Arial" w:eastAsia="Arial" w:hAnsi="Arial"/>
          <w:sz w:val="11"/>
          <w:szCs w:val="11"/>
          <w:color w:val="auto"/>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109" w:lineRule="exact"/>
        <w:rPr>
          <w:sz w:val="20"/>
          <w:szCs w:val="20"/>
          <w:color w:val="auto"/>
        </w:rPr>
      </w:pPr>
    </w:p>
    <w:p>
      <w:pPr>
        <w:ind w:left="340" w:hanging="332"/>
        <w:spacing w:after="0" w:line="231" w:lineRule="auto"/>
        <w:tabs>
          <w:tab w:leader="none" w:pos="340" w:val="left"/>
        </w:tabs>
        <w:numPr>
          <w:ilvl w:val="0"/>
          <w:numId w:val="95"/>
        </w:numPr>
        <w:rPr>
          <w:rFonts w:ascii="Arial" w:cs="Arial" w:eastAsia="Arial" w:hAnsi="Arial"/>
          <w:sz w:val="11"/>
          <w:szCs w:val="11"/>
          <w:color w:val="auto"/>
        </w:rPr>
      </w:pPr>
      <w:r>
        <w:rPr>
          <w:rFonts w:ascii="Arial" w:cs="Arial" w:eastAsia="Arial" w:hAnsi="Arial"/>
          <w:sz w:val="14"/>
          <w:szCs w:val="14"/>
          <w:color w:val="auto"/>
        </w:rPr>
        <w:t>Mr. Nye, Ms. Lloyd, Mr. McCunniff, and Mr. Grant were not eligible to retire on December 31, 2015. Reflects the value as if Mr. Nye, Ms. Lloyd, Mr. McCunniff, and Mr. Grant were retirement eligible.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PROPOSAL 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APPROVE AMENDMENT TO AMENDED AND</w:t>
      </w:r>
    </w:p>
    <w:p>
      <w:pPr>
        <w:jc w:val="center"/>
        <w:ind w:right="-19"/>
        <w:spacing w:after="0" w:line="230" w:lineRule="auto"/>
        <w:rPr>
          <w:sz w:val="20"/>
          <w:szCs w:val="20"/>
          <w:color w:val="auto"/>
        </w:rPr>
      </w:pPr>
      <w:r>
        <w:rPr>
          <w:rFonts w:ascii="Arial" w:cs="Arial" w:eastAsia="Arial" w:hAnsi="Arial"/>
          <w:sz w:val="22"/>
          <w:szCs w:val="22"/>
          <w:b w:val="1"/>
          <w:bCs w:val="1"/>
          <w:color w:val="47829E"/>
        </w:rPr>
        <w:t>RESTATED STOCK BASED AWARD PLAN AND THE</w:t>
      </w:r>
    </w:p>
    <w:p>
      <w:pPr>
        <w:jc w:val="center"/>
        <w:ind w:right="-19"/>
        <w:spacing w:after="0" w:line="231" w:lineRule="auto"/>
        <w:rPr>
          <w:sz w:val="20"/>
          <w:szCs w:val="20"/>
          <w:color w:val="auto"/>
        </w:rPr>
      </w:pPr>
      <w:r>
        <w:rPr>
          <w:rFonts w:ascii="Arial" w:cs="Arial" w:eastAsia="Arial" w:hAnsi="Arial"/>
          <w:sz w:val="22"/>
          <w:szCs w:val="22"/>
          <w:b w:val="1"/>
          <w:bCs w:val="1"/>
          <w:color w:val="47829E"/>
        </w:rPr>
        <w:t>PERFORMANCE GOALS PROVIDED THEREUNDER</w:t>
      </w:r>
    </w:p>
    <w:p>
      <w:pPr>
        <w:jc w:val="center"/>
        <w:ind w:right="-19"/>
        <w:spacing w:after="0"/>
        <w:rPr>
          <w:sz w:val="20"/>
          <w:szCs w:val="20"/>
          <w:color w:val="auto"/>
        </w:rPr>
      </w:pPr>
      <w:r>
        <w:rPr>
          <w:rFonts w:ascii="Arial" w:cs="Arial" w:eastAsia="Arial" w:hAnsi="Arial"/>
          <w:sz w:val="22"/>
          <w:szCs w:val="22"/>
          <w:i w:val="1"/>
          <w:iCs w:val="1"/>
          <w:color w:val="47829E"/>
        </w:rPr>
        <w:t>(Item 4 on Proxy Card)</w:t>
      </w:r>
    </w:p>
    <w:p>
      <w:pPr>
        <w:sectPr>
          <w:pgSz w:w="11900" w:h="16838" w:orient="portrait"/>
          <w:cols w:equalWidth="0" w:num="1">
            <w:col w:w="11420"/>
          </w:cols>
          <w:pgMar w:left="240" w:top="287"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General</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of Directors is requesting that shareholders vote in favor of amending and extending Martin Marietta’s Amended and Restated Stock-Based Award Plan, which is set forth in its entirety as Appendix D (the “2016 Stock Plan”). The 2016 Stock Plan was originally adopted by the Board of Directors in 1998, approved by shareholders on May 8, 1998, and subsequently amended and restated by the Board of Directors on each of May 8, 1998, August 17, 2000, May 22, 2001, April 3, 2006 and February 18, 2016 and approved by shareholders on May 23, 2006. The ability to grant new awards under the 2016 Stock Plan is currently scheduled to terminate on May 23, 2016. If this proposal is approved:</w:t>
      </w:r>
    </w:p>
    <w:p>
      <w:pPr>
        <w:spacing w:after="0" w:line="235" w:lineRule="exact"/>
        <w:rPr>
          <w:sz w:val="20"/>
          <w:szCs w:val="20"/>
          <w:color w:val="auto"/>
        </w:rPr>
      </w:pPr>
    </w:p>
    <w:p>
      <w:pPr>
        <w:ind w:left="740" w:right="20" w:hanging="300"/>
        <w:spacing w:after="0" w:line="243" w:lineRule="auto"/>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ability to grant awards under the 2016 Stock Plan will extend to 2026;</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800,000 shares will be added to the number of shares authorized for issuance under the 2016 Stock Plan; and</w:t>
      </w:r>
    </w:p>
    <w:p>
      <w:pPr>
        <w:spacing w:after="0" w:line="103" w:lineRule="exact"/>
        <w:rPr>
          <w:rFonts w:ascii="Arial" w:cs="Arial" w:eastAsia="Arial" w:hAnsi="Arial"/>
          <w:sz w:val="17"/>
          <w:szCs w:val="17"/>
          <w:color w:val="auto"/>
        </w:rPr>
      </w:pPr>
    </w:p>
    <w:p>
      <w:pPr>
        <w:jc w:val="both"/>
        <w:ind w:left="740" w:hanging="300"/>
        <w:spacing w:after="0" w:line="235" w:lineRule="auto"/>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offset the increased number of shares available under the 2016 Stock Plan, no further awards will be granted under the TXI Legacy Plan (1,859,204 shares as of December 31, 2015), which will be terminated once all currently outstanding awards under such plan are settled; and</w:t>
      </w:r>
    </w:p>
    <w:p>
      <w:pPr>
        <w:spacing w:after="0" w:line="109"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terms and conditions of the 2016 Stock Plan will be as discussed below.</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approval of this proposal is intended to constitute approval of the material terms of the performance goals under the 2016 Stock Plan for purposes of Section 162(m) of the Code.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2016 Stock Plan provides stock-based incentive compensation to eligible employees of Martin Marietta and non-employee Directors. The Board of Directors believes that</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our 2016 Stock Plan is in the best interest of shareholders and Martin Marietta, as stock-based awards granted under the 2016 Stock Plan help to attract, motivate, and retain talented employees and non-employee Directors; align employee and shareholder interests; link employee compensation to Martin Marietta’s performance; and maintain a culture based on employee stock ownership. In addition, shareholder approval of the 2016 Stock Plan will permit Martin Marietta to grant awards intended to qualify as performance-based compensation deductible under Section 162(m) of the Code until its 2021 Annual Meeting of Shareholders.</w:t>
      </w:r>
    </w:p>
    <w:p>
      <w:pPr>
        <w:spacing w:after="0" w:line="201"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Below is a summary of some of the material features of the 2016 Stock Plan:</w:t>
      </w:r>
    </w:p>
    <w:p>
      <w:pPr>
        <w:spacing w:after="0" w:line="104" w:lineRule="exact"/>
        <w:rPr>
          <w:sz w:val="20"/>
          <w:szCs w:val="20"/>
          <w:color w:val="auto"/>
        </w:rPr>
      </w:pPr>
    </w:p>
    <w:p>
      <w:pPr>
        <w:jc w:val="both"/>
        <w:ind w:left="740" w:right="140" w:hanging="300"/>
        <w:spacing w:after="0" w:line="236"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Minimum vesting period of one-year for awards other than those granted to non-employee Directors or in connection with the recruitment of new employees, with certain limited exceptions;</w:t>
      </w:r>
    </w:p>
    <w:p>
      <w:pPr>
        <w:spacing w:after="0" w:line="108" w:lineRule="exact"/>
        <w:rPr>
          <w:rFonts w:ascii="Arial" w:cs="Arial" w:eastAsia="Arial" w:hAnsi="Arial"/>
          <w:sz w:val="17"/>
          <w:szCs w:val="17"/>
          <w:color w:val="auto"/>
        </w:rPr>
      </w:pPr>
    </w:p>
    <w:p>
      <w:pPr>
        <w:ind w:left="740" w:hanging="300"/>
        <w:spacing w:after="0"/>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“liberal” change in control definition;</w:t>
      </w:r>
    </w:p>
    <w:p>
      <w:pPr>
        <w:spacing w:after="0" w:line="115" w:lineRule="exact"/>
        <w:rPr>
          <w:rFonts w:ascii="Arial" w:cs="Arial" w:eastAsia="Arial" w:hAnsi="Arial"/>
          <w:sz w:val="17"/>
          <w:szCs w:val="17"/>
          <w:color w:val="auto"/>
        </w:rPr>
      </w:pPr>
    </w:p>
    <w:p>
      <w:pPr>
        <w:jc w:val="both"/>
        <w:ind w:left="740" w:right="120" w:hanging="300"/>
        <w:spacing w:after="0" w:line="236"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Mandatory clawback for equity awards, as well as cash awards under the proposed Executive Cash Incentive Plan described below, in connection with certain violations of policy or financial restatements;</w:t>
      </w:r>
    </w:p>
    <w:p>
      <w:pPr>
        <w:spacing w:after="0" w:line="108"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dividends or dividend equivalents on unearned performance awards;</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repricing of options or stock appreciation rights and no exchange or cash out of underwater options or stock appreciation rights without shareholder approval;</w:t>
      </w:r>
    </w:p>
    <w:p>
      <w:pPr>
        <w:spacing w:after="0" w:line="107"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Minimum 100% fair market value exercise price for options and stock appreciation rights</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automatic option reload features without shareholder approval; and</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evergreen funding feature.</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287"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Burn Rate</w:t>
      </w:r>
    </w:p>
    <w:p>
      <w:pPr>
        <w:spacing w:after="0" w:line="23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The following table sets forth, with respect to Martin Marietta’s outstanding stock-based compensation plans, information regarding awards granted and earned, the burn rate for each of the last three years and the average burn rate over the last three years. The burn rate has been calculated as the quotient of (1) the sum of (a) all service-based awards granted in a year and (b) performance-based grants awarded in such year, divided by (2) the weighted average number of shares outstanding at the end of such year. The values in the table below include awards granted under the TXI 2004 Omnibus Equity Compensation Plan (the “TXI Legacy Plan”), other than awards that were granted to legacy TXI employees to replace outstanding awards assumed in connection with the TXI acquisition (the “TXI Replacement Awards”). However, if the 2016 Stock Plan is approved by shareholders, no further awards will be granted under the TXI Legacy Plan.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BURN RATE</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shd w:val="clear" w:color="auto" w:fill="47829E"/>
          </w:tcPr>
          <w:p>
            <w:pPr>
              <w:spacing w:after="0"/>
              <w:rPr>
                <w:sz w:val="17"/>
                <w:szCs w:val="17"/>
                <w:color w:val="auto"/>
              </w:rPr>
            </w:pPr>
          </w:p>
        </w:tc>
        <w:tc>
          <w:tcPr>
            <w:tcW w:w="2780" w:type="dxa"/>
            <w:vAlign w:val="bottom"/>
            <w:gridSpan w:val="2"/>
            <w:shd w:val="clear" w:color="auto" w:fill="47829E"/>
          </w:tcPr>
          <w:p>
            <w:pPr>
              <w:jc w:val="right"/>
              <w:spacing w:after="0"/>
              <w:rPr>
                <w:sz w:val="20"/>
                <w:szCs w:val="20"/>
                <w:color w:val="auto"/>
              </w:rPr>
            </w:pPr>
            <w:r>
              <w:rPr>
                <w:rFonts w:ascii="Arial" w:cs="Arial" w:eastAsia="Arial" w:hAnsi="Arial"/>
                <w:sz w:val="17"/>
                <w:szCs w:val="17"/>
                <w:b w:val="1"/>
                <w:bCs w:val="1"/>
                <w:color w:val="FFFFFF"/>
              </w:rPr>
              <w:t>Year Ended December 31,</w:t>
            </w:r>
          </w:p>
        </w:tc>
        <w:tc>
          <w:tcPr>
            <w:tcW w:w="1025" w:type="dxa"/>
            <w:vAlign w:val="bottom"/>
            <w:shd w:val="clear" w:color="auto" w:fill="47829E"/>
          </w:tcPr>
          <w:p>
            <w:pPr>
              <w:spacing w:after="0"/>
              <w:rPr>
                <w:sz w:val="17"/>
                <w:szCs w:val="17"/>
                <w:color w:val="auto"/>
              </w:rPr>
            </w:pPr>
          </w:p>
        </w:tc>
        <w:tc>
          <w:tcPr>
            <w:tcW w:w="1515" w:type="dxa"/>
            <w:vAlign w:val="bottom"/>
            <w:shd w:val="clear" w:color="auto" w:fill="47829E"/>
          </w:tcPr>
          <w:p>
            <w:pPr>
              <w:jc w:val="right"/>
              <w:ind w:right="615"/>
              <w:spacing w:after="0"/>
              <w:rPr>
                <w:sz w:val="20"/>
                <w:szCs w:val="20"/>
                <w:color w:val="auto"/>
              </w:rPr>
            </w:pPr>
            <w:r>
              <w:rPr>
                <w:rFonts w:ascii="Arial" w:cs="Arial" w:eastAsia="Arial" w:hAnsi="Arial"/>
                <w:sz w:val="17"/>
                <w:szCs w:val="17"/>
                <w:b w:val="1"/>
                <w:bCs w:val="1"/>
                <w:color w:val="FFFFFF"/>
              </w:rPr>
              <w:t>3-Year</w:t>
            </w:r>
          </w:p>
        </w:tc>
        <w:tc>
          <w:tcPr>
            <w:tcW w:w="20" w:type="dxa"/>
            <w:vAlign w:val="bottom"/>
            <w:shd w:val="clear" w:color="auto" w:fill="47829E"/>
          </w:tcPr>
          <w:p>
            <w:pPr>
              <w:spacing w:after="0"/>
              <w:rPr>
                <w:sz w:val="17"/>
                <w:szCs w:val="17"/>
                <w:color w:val="auto"/>
              </w:rPr>
            </w:pPr>
          </w:p>
        </w:tc>
      </w:tr>
      <w:tr>
        <w:trPr>
          <w:trHeight w:val="203"/>
        </w:trPr>
        <w:tc>
          <w:tcPr>
            <w:tcW w:w="6100" w:type="dxa"/>
            <w:vAlign w:val="bottom"/>
            <w:shd w:val="clear" w:color="auto" w:fill="47829E"/>
          </w:tcPr>
          <w:p>
            <w:pPr>
              <w:spacing w:after="0"/>
              <w:rPr>
                <w:sz w:val="17"/>
                <w:szCs w:val="17"/>
                <w:color w:val="auto"/>
              </w:rPr>
            </w:pPr>
          </w:p>
        </w:tc>
        <w:tc>
          <w:tcPr>
            <w:tcW w:w="1240" w:type="dxa"/>
            <w:vAlign w:val="bottom"/>
            <w:shd w:val="clear" w:color="auto" w:fill="47829E"/>
          </w:tcPr>
          <w:p>
            <w:pPr>
              <w:jc w:val="right"/>
              <w:ind w:right="515"/>
              <w:spacing w:after="0"/>
              <w:rPr>
                <w:sz w:val="20"/>
                <w:szCs w:val="20"/>
                <w:color w:val="auto"/>
              </w:rPr>
            </w:pPr>
            <w:r>
              <w:rPr>
                <w:rFonts w:ascii="Arial" w:cs="Arial" w:eastAsia="Arial" w:hAnsi="Arial"/>
                <w:sz w:val="17"/>
                <w:szCs w:val="17"/>
                <w:b w:val="1"/>
                <w:bCs w:val="1"/>
                <w:color w:val="FFFFFF"/>
              </w:rPr>
              <w:t>2015</w:t>
            </w:r>
          </w:p>
        </w:tc>
        <w:tc>
          <w:tcPr>
            <w:tcW w:w="1540" w:type="dxa"/>
            <w:vAlign w:val="bottom"/>
            <w:shd w:val="clear" w:color="auto" w:fill="47829E"/>
          </w:tcPr>
          <w:p>
            <w:pPr>
              <w:jc w:val="right"/>
              <w:ind w:right="735"/>
              <w:spacing w:after="0"/>
              <w:rPr>
                <w:sz w:val="20"/>
                <w:szCs w:val="20"/>
                <w:color w:val="auto"/>
              </w:rPr>
            </w:pPr>
            <w:r>
              <w:rPr>
                <w:rFonts w:ascii="Arial" w:cs="Arial" w:eastAsia="Arial" w:hAnsi="Arial"/>
                <w:sz w:val="17"/>
                <w:szCs w:val="17"/>
                <w:b w:val="1"/>
                <w:bCs w:val="1"/>
                <w:color w:val="FFFFFF"/>
              </w:rPr>
              <w:t>2014</w:t>
            </w:r>
            <w:r>
              <w:rPr>
                <w:rFonts w:ascii="Arial" w:cs="Arial" w:eastAsia="Arial" w:hAnsi="Arial"/>
                <w:sz w:val="14"/>
                <w:szCs w:val="14"/>
                <w:b w:val="1"/>
                <w:bCs w:val="1"/>
                <w:color w:val="FFFFFF"/>
              </w:rPr>
              <w:t>1</w:t>
            </w:r>
          </w:p>
        </w:tc>
        <w:tc>
          <w:tcPr>
            <w:tcW w:w="1025" w:type="dxa"/>
            <w:vAlign w:val="bottom"/>
            <w:shd w:val="clear" w:color="auto" w:fill="47829E"/>
          </w:tcPr>
          <w:p>
            <w:pPr>
              <w:jc w:val="right"/>
              <w:ind w:right="540"/>
              <w:spacing w:after="0"/>
              <w:rPr>
                <w:sz w:val="20"/>
                <w:szCs w:val="20"/>
                <w:color w:val="auto"/>
              </w:rPr>
            </w:pPr>
            <w:r>
              <w:rPr>
                <w:rFonts w:ascii="Arial" w:cs="Arial" w:eastAsia="Arial" w:hAnsi="Arial"/>
                <w:sz w:val="17"/>
                <w:szCs w:val="17"/>
                <w:b w:val="1"/>
                <w:bCs w:val="1"/>
                <w:color w:val="FFFFFF"/>
              </w:rPr>
              <w:t>2013</w:t>
            </w:r>
          </w:p>
        </w:tc>
        <w:tc>
          <w:tcPr>
            <w:tcW w:w="1515" w:type="dxa"/>
            <w:vAlign w:val="bottom"/>
            <w:shd w:val="clear" w:color="auto" w:fill="47829E"/>
          </w:tcPr>
          <w:p>
            <w:pPr>
              <w:jc w:val="right"/>
              <w:ind w:right="535"/>
              <w:spacing w:after="0"/>
              <w:rPr>
                <w:sz w:val="20"/>
                <w:szCs w:val="20"/>
                <w:color w:val="auto"/>
              </w:rPr>
            </w:pPr>
            <w:r>
              <w:rPr>
                <w:rFonts w:ascii="Arial" w:cs="Arial" w:eastAsia="Arial" w:hAnsi="Arial"/>
                <w:sz w:val="17"/>
                <w:szCs w:val="17"/>
                <w:b w:val="1"/>
                <w:bCs w:val="1"/>
                <w:color w:val="FFFFFF"/>
              </w:rPr>
              <w:t>Average</w:t>
            </w:r>
          </w:p>
        </w:tc>
        <w:tc>
          <w:tcPr>
            <w:tcW w:w="20" w:type="dxa"/>
            <w:vAlign w:val="bottom"/>
            <w:shd w:val="clear" w:color="auto" w:fill="47829E"/>
          </w:tcPr>
          <w:p>
            <w:pPr>
              <w:spacing w:after="0"/>
              <w:rPr>
                <w:sz w:val="17"/>
                <w:szCs w:val="17"/>
                <w:color w:val="auto"/>
              </w:rPr>
            </w:pPr>
          </w:p>
        </w:tc>
      </w:tr>
      <w:tr>
        <w:trPr>
          <w:trHeight w:val="189"/>
        </w:trPr>
        <w:tc>
          <w:tcPr>
            <w:tcW w:w="6100" w:type="dxa"/>
            <w:vAlign w:val="bottom"/>
          </w:tcPr>
          <w:p>
            <w:pPr>
              <w:ind w:left="160"/>
              <w:spacing w:after="0" w:line="189" w:lineRule="exact"/>
              <w:rPr>
                <w:sz w:val="20"/>
                <w:szCs w:val="20"/>
                <w:color w:val="auto"/>
              </w:rPr>
            </w:pPr>
            <w:r>
              <w:rPr>
                <w:rFonts w:ascii="Arial" w:cs="Arial" w:eastAsia="Arial" w:hAnsi="Arial"/>
                <w:sz w:val="17"/>
                <w:szCs w:val="17"/>
                <w:color w:val="auto"/>
              </w:rPr>
              <w:t>Service-based stock options/SARs granted</w:t>
            </w:r>
          </w:p>
        </w:tc>
        <w:tc>
          <w:tcPr>
            <w:tcW w:w="124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55</w:t>
            </w:r>
          </w:p>
        </w:tc>
        <w:tc>
          <w:tcPr>
            <w:tcW w:w="1540" w:type="dxa"/>
            <w:vAlign w:val="bottom"/>
          </w:tcPr>
          <w:p>
            <w:pPr>
              <w:jc w:val="right"/>
              <w:ind w:right="475"/>
              <w:spacing w:after="0" w:line="189" w:lineRule="exact"/>
              <w:rPr>
                <w:sz w:val="20"/>
                <w:szCs w:val="20"/>
                <w:color w:val="auto"/>
              </w:rPr>
            </w:pPr>
            <w:r>
              <w:rPr>
                <w:rFonts w:ascii="Arial" w:cs="Arial" w:eastAsia="Arial" w:hAnsi="Arial"/>
                <w:sz w:val="17"/>
                <w:szCs w:val="17"/>
                <w:color w:val="auto"/>
              </w:rPr>
              <w:t>56*</w:t>
            </w:r>
          </w:p>
        </w:tc>
        <w:tc>
          <w:tcPr>
            <w:tcW w:w="1025" w:type="dxa"/>
            <w:vAlign w:val="bottom"/>
          </w:tcPr>
          <w:p>
            <w:pPr>
              <w:jc w:val="right"/>
              <w:ind w:right="340"/>
              <w:spacing w:after="0" w:line="189" w:lineRule="exact"/>
              <w:rPr>
                <w:sz w:val="20"/>
                <w:szCs w:val="20"/>
                <w:color w:val="auto"/>
              </w:rPr>
            </w:pPr>
            <w:r>
              <w:rPr>
                <w:rFonts w:ascii="Arial" w:cs="Arial" w:eastAsia="Arial" w:hAnsi="Arial"/>
                <w:sz w:val="17"/>
                <w:szCs w:val="17"/>
                <w:color w:val="auto"/>
              </w:rPr>
              <w:t>58</w:t>
            </w:r>
          </w:p>
        </w:tc>
        <w:tc>
          <w:tcPr>
            <w:tcW w:w="1515" w:type="dxa"/>
            <w:vAlign w:val="bottom"/>
          </w:tcPr>
          <w:p>
            <w:pPr>
              <w:jc w:val="right"/>
              <w:ind w:right="355"/>
              <w:spacing w:after="0" w:line="189" w:lineRule="exact"/>
              <w:rPr>
                <w:sz w:val="20"/>
                <w:szCs w:val="20"/>
                <w:color w:val="auto"/>
              </w:rPr>
            </w:pPr>
            <w:r>
              <w:rPr>
                <w:rFonts w:ascii="Arial" w:cs="Arial" w:eastAsia="Arial" w:hAnsi="Arial"/>
                <w:sz w:val="17"/>
                <w:szCs w:val="17"/>
                <w:color w:val="auto"/>
              </w:rPr>
              <w:t>56</w:t>
            </w:r>
          </w:p>
        </w:tc>
        <w:tc>
          <w:tcPr>
            <w:tcW w:w="20" w:type="dxa"/>
            <w:vAlign w:val="bottom"/>
          </w:tcPr>
          <w:p>
            <w:pPr>
              <w:spacing w:after="0"/>
              <w:rPr>
                <w:sz w:val="16"/>
                <w:szCs w:val="16"/>
                <w:color w:val="auto"/>
              </w:rPr>
            </w:pPr>
          </w:p>
        </w:tc>
      </w:tr>
      <w:tr>
        <w:trPr>
          <w:trHeight w:val="189"/>
        </w:trPr>
        <w:tc>
          <w:tcPr>
            <w:tcW w:w="6100" w:type="dxa"/>
            <w:vAlign w:val="bottom"/>
            <w:shd w:val="clear" w:color="auto" w:fill="ECF2F5"/>
          </w:tcPr>
          <w:p>
            <w:pPr>
              <w:ind w:left="160"/>
              <w:spacing w:after="0" w:line="189" w:lineRule="exact"/>
              <w:rPr>
                <w:sz w:val="20"/>
                <w:szCs w:val="20"/>
                <w:color w:val="auto"/>
              </w:rPr>
            </w:pPr>
            <w:r>
              <w:rPr>
                <w:rFonts w:ascii="Arial" w:cs="Arial" w:eastAsia="Arial" w:hAnsi="Arial"/>
                <w:sz w:val="17"/>
                <w:szCs w:val="17"/>
                <w:color w:val="auto"/>
              </w:rPr>
              <w:t>Service-based restricted stock/RSUs granted</w:t>
            </w:r>
          </w:p>
        </w:tc>
        <w:tc>
          <w:tcPr>
            <w:tcW w:w="1240" w:type="dxa"/>
            <w:vAlign w:val="bottom"/>
            <w:shd w:val="clear" w:color="auto" w:fill="ECF2F5"/>
          </w:tcPr>
          <w:p>
            <w:pPr>
              <w:jc w:val="right"/>
              <w:ind w:right="315"/>
              <w:spacing w:after="0" w:line="189" w:lineRule="exact"/>
              <w:rPr>
                <w:sz w:val="20"/>
                <w:szCs w:val="20"/>
                <w:color w:val="auto"/>
              </w:rPr>
            </w:pPr>
            <w:r>
              <w:rPr>
                <w:rFonts w:ascii="Arial" w:cs="Arial" w:eastAsia="Arial" w:hAnsi="Arial"/>
                <w:sz w:val="17"/>
                <w:szCs w:val="17"/>
                <w:color w:val="auto"/>
              </w:rPr>
              <w:t>43</w:t>
            </w:r>
          </w:p>
        </w:tc>
        <w:tc>
          <w:tcPr>
            <w:tcW w:w="1540" w:type="dxa"/>
            <w:vAlign w:val="bottom"/>
            <w:shd w:val="clear" w:color="auto" w:fill="ECF2F5"/>
          </w:tcPr>
          <w:p>
            <w:pPr>
              <w:jc w:val="right"/>
              <w:ind w:right="555"/>
              <w:spacing w:after="0" w:line="189" w:lineRule="exact"/>
              <w:rPr>
                <w:sz w:val="20"/>
                <w:szCs w:val="20"/>
                <w:color w:val="auto"/>
              </w:rPr>
            </w:pPr>
            <w:r>
              <w:rPr>
                <w:rFonts w:ascii="Arial" w:cs="Arial" w:eastAsia="Arial" w:hAnsi="Arial"/>
                <w:sz w:val="17"/>
                <w:szCs w:val="17"/>
                <w:color w:val="auto"/>
              </w:rPr>
              <w:t>153</w:t>
            </w:r>
          </w:p>
        </w:tc>
        <w:tc>
          <w:tcPr>
            <w:tcW w:w="1025" w:type="dxa"/>
            <w:vAlign w:val="bottom"/>
            <w:shd w:val="clear" w:color="auto" w:fill="ECF2F5"/>
          </w:tcPr>
          <w:p>
            <w:pPr>
              <w:jc w:val="right"/>
              <w:ind w:right="340"/>
              <w:spacing w:after="0" w:line="189" w:lineRule="exact"/>
              <w:rPr>
                <w:sz w:val="20"/>
                <w:szCs w:val="20"/>
                <w:color w:val="auto"/>
              </w:rPr>
            </w:pPr>
            <w:r>
              <w:rPr>
                <w:rFonts w:ascii="Arial" w:cs="Arial" w:eastAsia="Arial" w:hAnsi="Arial"/>
                <w:sz w:val="17"/>
                <w:szCs w:val="17"/>
                <w:color w:val="auto"/>
              </w:rPr>
              <w:t>46</w:t>
            </w:r>
          </w:p>
        </w:tc>
        <w:tc>
          <w:tcPr>
            <w:tcW w:w="1515" w:type="dxa"/>
            <w:vAlign w:val="bottom"/>
            <w:shd w:val="clear" w:color="auto" w:fill="ECF2F5"/>
          </w:tcPr>
          <w:p>
            <w:pPr>
              <w:jc w:val="right"/>
              <w:ind w:right="355"/>
              <w:spacing w:after="0" w:line="189"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6"/>
                <w:szCs w:val="16"/>
                <w:color w:val="auto"/>
              </w:rPr>
            </w:pPr>
          </w:p>
        </w:tc>
      </w:tr>
      <w:tr>
        <w:trPr>
          <w:trHeight w:val="189"/>
        </w:trPr>
        <w:tc>
          <w:tcPr>
            <w:tcW w:w="6100" w:type="dxa"/>
            <w:vAlign w:val="bottom"/>
          </w:tcPr>
          <w:p>
            <w:pPr>
              <w:ind w:left="160"/>
              <w:spacing w:after="0" w:line="189" w:lineRule="exact"/>
              <w:rPr>
                <w:sz w:val="20"/>
                <w:szCs w:val="20"/>
                <w:color w:val="auto"/>
              </w:rPr>
            </w:pPr>
            <w:r>
              <w:rPr>
                <w:rFonts w:ascii="Arial" w:cs="Arial" w:eastAsia="Arial" w:hAnsi="Arial"/>
                <w:sz w:val="17"/>
                <w:szCs w:val="17"/>
                <w:color w:val="auto"/>
              </w:rPr>
              <w:t>Incentive Compensation</w:t>
            </w:r>
          </w:p>
        </w:tc>
        <w:tc>
          <w:tcPr>
            <w:tcW w:w="124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22</w:t>
            </w:r>
          </w:p>
        </w:tc>
        <w:tc>
          <w:tcPr>
            <w:tcW w:w="154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14</w:t>
            </w:r>
          </w:p>
        </w:tc>
        <w:tc>
          <w:tcPr>
            <w:tcW w:w="1025" w:type="dxa"/>
            <w:vAlign w:val="bottom"/>
          </w:tcPr>
          <w:p>
            <w:pPr>
              <w:jc w:val="right"/>
              <w:ind w:right="340"/>
              <w:spacing w:after="0" w:line="189" w:lineRule="exact"/>
              <w:rPr>
                <w:sz w:val="20"/>
                <w:szCs w:val="20"/>
                <w:color w:val="auto"/>
              </w:rPr>
            </w:pPr>
            <w:r>
              <w:rPr>
                <w:rFonts w:ascii="Arial" w:cs="Arial" w:eastAsia="Arial" w:hAnsi="Arial"/>
                <w:sz w:val="17"/>
                <w:szCs w:val="17"/>
                <w:color w:val="auto"/>
              </w:rPr>
              <w:t>13</w:t>
            </w:r>
          </w:p>
        </w:tc>
        <w:tc>
          <w:tcPr>
            <w:tcW w:w="1515" w:type="dxa"/>
            <w:vAlign w:val="bottom"/>
          </w:tcPr>
          <w:p>
            <w:pPr>
              <w:jc w:val="right"/>
              <w:ind w:right="355"/>
              <w:spacing w:after="0" w:line="189"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r>
      <w:tr>
        <w:trPr>
          <w:trHeight w:val="189"/>
        </w:trPr>
        <w:tc>
          <w:tcPr>
            <w:tcW w:w="6100" w:type="dxa"/>
            <w:vAlign w:val="bottom"/>
            <w:shd w:val="clear" w:color="auto" w:fill="ECF2F5"/>
          </w:tcPr>
          <w:p>
            <w:pPr>
              <w:ind w:left="160"/>
              <w:spacing w:after="0" w:line="189" w:lineRule="exact"/>
              <w:rPr>
                <w:sz w:val="20"/>
                <w:szCs w:val="20"/>
                <w:color w:val="auto"/>
              </w:rPr>
            </w:pPr>
            <w:r>
              <w:rPr>
                <w:rFonts w:ascii="Arial" w:cs="Arial" w:eastAsia="Arial" w:hAnsi="Arial"/>
                <w:sz w:val="17"/>
                <w:szCs w:val="17"/>
                <w:color w:val="auto"/>
              </w:rPr>
              <w:t>Performance-based restricted stock/RSUs awarded</w:t>
            </w:r>
          </w:p>
        </w:tc>
        <w:tc>
          <w:tcPr>
            <w:tcW w:w="1240" w:type="dxa"/>
            <w:vAlign w:val="bottom"/>
            <w:shd w:val="clear" w:color="auto" w:fill="ECF2F5"/>
          </w:tcPr>
          <w:p>
            <w:pPr>
              <w:jc w:val="right"/>
              <w:ind w:right="315"/>
              <w:spacing w:after="0" w:line="189" w:lineRule="exact"/>
              <w:rPr>
                <w:sz w:val="20"/>
                <w:szCs w:val="20"/>
                <w:color w:val="auto"/>
              </w:rPr>
            </w:pPr>
            <w:r>
              <w:rPr>
                <w:rFonts w:ascii="Arial" w:cs="Arial" w:eastAsia="Arial" w:hAnsi="Arial"/>
                <w:sz w:val="17"/>
                <w:szCs w:val="17"/>
                <w:color w:val="auto"/>
              </w:rPr>
              <w:t>20</w:t>
            </w:r>
          </w:p>
        </w:tc>
        <w:tc>
          <w:tcPr>
            <w:tcW w:w="1540" w:type="dxa"/>
            <w:vAlign w:val="bottom"/>
            <w:shd w:val="clear" w:color="auto" w:fill="ECF2F5"/>
          </w:tcPr>
          <w:p>
            <w:pPr>
              <w:jc w:val="right"/>
              <w:ind w:right="555"/>
              <w:spacing w:after="0" w:line="189" w:lineRule="exact"/>
              <w:rPr>
                <w:sz w:val="20"/>
                <w:szCs w:val="20"/>
                <w:color w:val="auto"/>
              </w:rPr>
            </w:pPr>
            <w:r>
              <w:rPr>
                <w:rFonts w:ascii="Arial" w:cs="Arial" w:eastAsia="Arial" w:hAnsi="Arial"/>
                <w:sz w:val="17"/>
                <w:szCs w:val="17"/>
                <w:color w:val="auto"/>
              </w:rPr>
              <w:t>16</w:t>
            </w:r>
          </w:p>
        </w:tc>
        <w:tc>
          <w:tcPr>
            <w:tcW w:w="1025" w:type="dxa"/>
            <w:vAlign w:val="bottom"/>
            <w:shd w:val="clear" w:color="auto" w:fill="ECF2F5"/>
          </w:tcPr>
          <w:p>
            <w:pPr>
              <w:jc w:val="right"/>
              <w:ind w:right="340"/>
              <w:spacing w:after="0" w:line="189" w:lineRule="exact"/>
              <w:rPr>
                <w:sz w:val="20"/>
                <w:szCs w:val="20"/>
                <w:color w:val="auto"/>
              </w:rPr>
            </w:pPr>
            <w:r>
              <w:rPr>
                <w:rFonts w:ascii="Arial" w:cs="Arial" w:eastAsia="Arial" w:hAnsi="Arial"/>
                <w:sz w:val="17"/>
                <w:szCs w:val="17"/>
                <w:color w:val="auto"/>
              </w:rPr>
              <w:t>0</w:t>
            </w:r>
          </w:p>
        </w:tc>
        <w:tc>
          <w:tcPr>
            <w:tcW w:w="1515" w:type="dxa"/>
            <w:vAlign w:val="bottom"/>
            <w:shd w:val="clear" w:color="auto" w:fill="ECF2F5"/>
          </w:tcPr>
          <w:p>
            <w:pPr>
              <w:jc w:val="right"/>
              <w:ind w:right="355"/>
              <w:spacing w:after="0" w:line="189"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r>
      <w:tr>
        <w:trPr>
          <w:trHeight w:val="189"/>
        </w:trPr>
        <w:tc>
          <w:tcPr>
            <w:tcW w:w="6100" w:type="dxa"/>
            <w:vAlign w:val="bottom"/>
          </w:tcPr>
          <w:p>
            <w:pPr>
              <w:ind w:left="160"/>
              <w:spacing w:after="0" w:line="189" w:lineRule="exact"/>
              <w:rPr>
                <w:sz w:val="20"/>
                <w:szCs w:val="20"/>
                <w:color w:val="auto"/>
              </w:rPr>
            </w:pPr>
            <w:r>
              <w:rPr>
                <w:rFonts w:ascii="Arial" w:cs="Arial" w:eastAsia="Arial" w:hAnsi="Arial"/>
                <w:sz w:val="17"/>
                <w:szCs w:val="17"/>
                <w:color w:val="auto"/>
              </w:rPr>
              <w:t>Weighted average shares outstanding</w:t>
            </w:r>
          </w:p>
        </w:tc>
        <w:tc>
          <w:tcPr>
            <w:tcW w:w="124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66,700</w:t>
            </w:r>
          </w:p>
        </w:tc>
        <w:tc>
          <w:tcPr>
            <w:tcW w:w="154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56,854</w:t>
            </w:r>
          </w:p>
        </w:tc>
        <w:tc>
          <w:tcPr>
            <w:tcW w:w="1025" w:type="dxa"/>
            <w:vAlign w:val="bottom"/>
          </w:tcPr>
          <w:p>
            <w:pPr>
              <w:jc w:val="right"/>
              <w:ind w:right="340"/>
              <w:spacing w:after="0" w:line="189" w:lineRule="exact"/>
              <w:rPr>
                <w:sz w:val="20"/>
                <w:szCs w:val="20"/>
                <w:color w:val="auto"/>
              </w:rPr>
            </w:pPr>
            <w:r>
              <w:rPr>
                <w:rFonts w:ascii="Arial" w:cs="Arial" w:eastAsia="Arial" w:hAnsi="Arial"/>
                <w:sz w:val="17"/>
                <w:szCs w:val="17"/>
                <w:color w:val="auto"/>
              </w:rPr>
              <w:t>46,164</w:t>
            </w:r>
          </w:p>
        </w:tc>
        <w:tc>
          <w:tcPr>
            <w:tcW w:w="1515" w:type="dxa"/>
            <w:vAlign w:val="bottom"/>
          </w:tcPr>
          <w:p>
            <w:pPr>
              <w:jc w:val="right"/>
              <w:ind w:right="355"/>
              <w:spacing w:after="0" w:line="189" w:lineRule="exact"/>
              <w:rPr>
                <w:sz w:val="20"/>
                <w:szCs w:val="20"/>
                <w:color w:val="auto"/>
              </w:rPr>
            </w:pPr>
            <w:r>
              <w:rPr>
                <w:rFonts w:ascii="Arial" w:cs="Arial" w:eastAsia="Arial" w:hAnsi="Arial"/>
                <w:sz w:val="17"/>
                <w:szCs w:val="17"/>
                <w:color w:val="auto"/>
              </w:rPr>
              <w:t>56,573</w:t>
            </w:r>
          </w:p>
        </w:tc>
        <w:tc>
          <w:tcPr>
            <w:tcW w:w="20" w:type="dxa"/>
            <w:vAlign w:val="bottom"/>
          </w:tcPr>
          <w:p>
            <w:pPr>
              <w:spacing w:after="0"/>
              <w:rPr>
                <w:sz w:val="16"/>
                <w:szCs w:val="16"/>
                <w:color w:val="auto"/>
              </w:rPr>
            </w:pPr>
          </w:p>
        </w:tc>
      </w:tr>
      <w:tr>
        <w:trPr>
          <w:trHeight w:val="189"/>
        </w:trPr>
        <w:tc>
          <w:tcPr>
            <w:tcW w:w="6100" w:type="dxa"/>
            <w:vAlign w:val="bottom"/>
            <w:shd w:val="clear" w:color="auto" w:fill="ECF2F5"/>
          </w:tcPr>
          <w:p>
            <w:pPr>
              <w:ind w:left="160"/>
              <w:spacing w:after="0" w:line="189" w:lineRule="exact"/>
              <w:rPr>
                <w:sz w:val="20"/>
                <w:szCs w:val="20"/>
                <w:color w:val="auto"/>
              </w:rPr>
            </w:pPr>
            <w:r>
              <w:rPr>
                <w:rFonts w:ascii="Arial" w:cs="Arial" w:eastAsia="Arial" w:hAnsi="Arial"/>
                <w:sz w:val="17"/>
                <w:szCs w:val="17"/>
                <w:color w:val="auto"/>
              </w:rPr>
              <w:t>Burn rate</w:t>
            </w:r>
          </w:p>
        </w:tc>
        <w:tc>
          <w:tcPr>
            <w:tcW w:w="1240" w:type="dxa"/>
            <w:vAlign w:val="bottom"/>
            <w:shd w:val="clear" w:color="auto" w:fill="ECF2F5"/>
          </w:tcPr>
          <w:p>
            <w:pPr>
              <w:jc w:val="right"/>
              <w:ind w:right="175"/>
              <w:spacing w:after="0" w:line="189" w:lineRule="exact"/>
              <w:rPr>
                <w:sz w:val="20"/>
                <w:szCs w:val="20"/>
                <w:color w:val="auto"/>
              </w:rPr>
            </w:pPr>
            <w:r>
              <w:rPr>
                <w:rFonts w:ascii="Arial" w:cs="Arial" w:eastAsia="Arial" w:hAnsi="Arial"/>
                <w:sz w:val="17"/>
                <w:szCs w:val="17"/>
                <w:color w:val="auto"/>
              </w:rPr>
              <w:t>0.21%</w:t>
            </w:r>
          </w:p>
        </w:tc>
        <w:tc>
          <w:tcPr>
            <w:tcW w:w="1540" w:type="dxa"/>
            <w:vAlign w:val="bottom"/>
            <w:shd w:val="clear" w:color="auto" w:fill="ECF2F5"/>
          </w:tcPr>
          <w:p>
            <w:pPr>
              <w:jc w:val="right"/>
              <w:ind w:right="395"/>
              <w:spacing w:after="0" w:line="189" w:lineRule="exact"/>
              <w:rPr>
                <w:sz w:val="20"/>
                <w:szCs w:val="20"/>
                <w:color w:val="auto"/>
              </w:rPr>
            </w:pPr>
            <w:r>
              <w:rPr>
                <w:rFonts w:ascii="Arial" w:cs="Arial" w:eastAsia="Arial" w:hAnsi="Arial"/>
                <w:sz w:val="17"/>
                <w:szCs w:val="17"/>
                <w:color w:val="auto"/>
              </w:rPr>
              <w:t>0.42%</w:t>
            </w:r>
          </w:p>
        </w:tc>
        <w:tc>
          <w:tcPr>
            <w:tcW w:w="1025" w:type="dxa"/>
            <w:vAlign w:val="bottom"/>
            <w:shd w:val="clear" w:color="auto" w:fill="ECF2F5"/>
          </w:tcPr>
          <w:p>
            <w:pPr>
              <w:jc w:val="right"/>
              <w:ind w:right="200"/>
              <w:spacing w:after="0" w:line="189" w:lineRule="exact"/>
              <w:rPr>
                <w:sz w:val="20"/>
                <w:szCs w:val="20"/>
                <w:color w:val="auto"/>
              </w:rPr>
            </w:pPr>
            <w:r>
              <w:rPr>
                <w:rFonts w:ascii="Arial" w:cs="Arial" w:eastAsia="Arial" w:hAnsi="Arial"/>
                <w:sz w:val="17"/>
                <w:szCs w:val="17"/>
                <w:color w:val="auto"/>
              </w:rPr>
              <w:t>0.25%</w:t>
            </w:r>
          </w:p>
        </w:tc>
        <w:tc>
          <w:tcPr>
            <w:tcW w:w="1515" w:type="dxa"/>
            <w:vAlign w:val="bottom"/>
            <w:shd w:val="clear" w:color="auto" w:fill="ECF2F5"/>
          </w:tcPr>
          <w:p>
            <w:pPr>
              <w:jc w:val="right"/>
              <w:ind w:right="195"/>
              <w:spacing w:after="0" w:line="189" w:lineRule="exact"/>
              <w:rPr>
                <w:sz w:val="20"/>
                <w:szCs w:val="20"/>
                <w:color w:val="auto"/>
              </w:rPr>
            </w:pPr>
            <w:r>
              <w:rPr>
                <w:rFonts w:ascii="Arial" w:cs="Arial" w:eastAsia="Arial" w:hAnsi="Arial"/>
                <w:sz w:val="17"/>
                <w:szCs w:val="17"/>
                <w:color w:val="auto"/>
              </w:rPr>
              <w:t>0.29%</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254875" cy="857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857885"/>
                    </a:xfrm>
                    <a:prstGeom prst="rect">
                      <a:avLst/>
                    </a:prstGeom>
                    <a:noFill/>
                  </pic:spPr>
                </pic:pic>
              </a:graphicData>
            </a:graphic>
          </wp:anchor>
        </w:drawing>
      </w:r>
    </w:p>
    <w:p>
      <w:pPr>
        <w:ind w:left="340" w:hanging="332"/>
        <w:spacing w:after="0"/>
        <w:tabs>
          <w:tab w:leader="none" w:pos="340" w:val="left"/>
        </w:tabs>
        <w:numPr>
          <w:ilvl w:val="0"/>
          <w:numId w:val="98"/>
        </w:numPr>
        <w:rPr>
          <w:rFonts w:ascii="Arial" w:cs="Arial" w:eastAsia="Arial" w:hAnsi="Arial"/>
          <w:sz w:val="11"/>
          <w:szCs w:val="11"/>
          <w:color w:val="auto"/>
        </w:rPr>
      </w:pPr>
      <w:r>
        <w:rPr>
          <w:rFonts w:ascii="Arial" w:cs="Arial" w:eastAsia="Arial" w:hAnsi="Arial"/>
          <w:sz w:val="14"/>
          <w:szCs w:val="14"/>
          <w:color w:val="auto"/>
        </w:rPr>
        <w:t>Excludes the TXI Replacement Awards.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Dilution</w:t>
      </w:r>
    </w:p>
    <w:p>
      <w:pPr>
        <w:spacing w:after="0" w:line="23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As of March 11, 2016, our capital structure consists of 63,488,081 shares of common stock and no shares of preferred stock outstanding. The table below represents our potential overhang levels based on our shares outstanding and our request of 800,000 additional shares to be available for awards pursuant to the 2016 Stock Plan. The Board of Directors believes that the increase in shares under the 2016 Stock Plan represents a reasonable amount of potential equity dilution, which will allow us to continue awarding equity incentives, an important component of our overall compensation program. This conclusion is based, in part, on advice received by the Compensation Committee’s independent compensation consultant, based on an analysis of the equity grant practices of companies within our industry classification and with a market capitalization that is similar to ours. Although the use of equity is an important part of our compensation program, we are mindful of our responsibility to our shareholders in granting equity awards.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320" w:type="dxa"/>
            <w:vAlign w:val="bottom"/>
            <w:tcBorders>
              <w:left w:val="single" w:sz="8" w:color="47829E"/>
              <w:right w:val="single" w:sz="8" w:color="47829E"/>
            </w:tcBorders>
            <w:shd w:val="clear" w:color="auto" w:fill="47829E"/>
          </w:tcPr>
          <w:p>
            <w:pPr>
              <w:spacing w:after="0"/>
              <w:rPr>
                <w:sz w:val="16"/>
                <w:szCs w:val="16"/>
                <w:color w:val="auto"/>
              </w:rPr>
            </w:pPr>
          </w:p>
        </w:tc>
        <w:tc>
          <w:tcPr>
            <w:tcW w:w="620" w:type="dxa"/>
            <w:vAlign w:val="bottom"/>
            <w:shd w:val="clear" w:color="auto" w:fill="47829E"/>
          </w:tcPr>
          <w:p>
            <w:pPr>
              <w:spacing w:after="0"/>
              <w:rPr>
                <w:sz w:val="16"/>
                <w:szCs w:val="16"/>
                <w:color w:val="auto"/>
              </w:rPr>
            </w:pPr>
          </w:p>
        </w:tc>
        <w:tc>
          <w:tcPr>
            <w:tcW w:w="920" w:type="dxa"/>
            <w:vAlign w:val="bottom"/>
            <w:shd w:val="clear" w:color="auto" w:fill="47829E"/>
          </w:tcPr>
          <w:p>
            <w:pPr>
              <w:spacing w:after="0"/>
              <w:rPr>
                <w:sz w:val="16"/>
                <w:szCs w:val="16"/>
                <w:color w:val="auto"/>
              </w:rPr>
            </w:pPr>
          </w:p>
        </w:tc>
        <w:tc>
          <w:tcPr>
            <w:tcW w:w="140" w:type="dxa"/>
            <w:vAlign w:val="bottom"/>
            <w:tcBorders>
              <w:right w:val="single" w:sz="8" w:color="47829E"/>
            </w:tcBorders>
            <w:shd w:val="clear" w:color="auto" w:fill="47829E"/>
          </w:tcPr>
          <w:p>
            <w:pPr>
              <w:spacing w:after="0"/>
              <w:rPr>
                <w:sz w:val="16"/>
                <w:szCs w:val="16"/>
                <w:color w:val="auto"/>
              </w:rPr>
            </w:pPr>
          </w:p>
        </w:tc>
        <w:tc>
          <w:tcPr>
            <w:tcW w:w="24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7"/>
                <w:szCs w:val="17"/>
                <w:b w:val="1"/>
                <w:bCs w:val="1"/>
                <w:color w:val="FFFFFF"/>
              </w:rPr>
              <w:t>Potential</w:t>
            </w: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shd w:val="clear" w:color="auto" w:fill="47829E"/>
          </w:tcPr>
          <w:p>
            <w:pPr>
              <w:spacing w:after="0"/>
              <w:rPr>
                <w:sz w:val="16"/>
                <w:szCs w:val="16"/>
                <w:color w:val="auto"/>
              </w:rPr>
            </w:pPr>
          </w:p>
        </w:tc>
        <w:tc>
          <w:tcPr>
            <w:tcW w:w="620" w:type="dxa"/>
            <w:vAlign w:val="bottom"/>
            <w:shd w:val="clear" w:color="auto" w:fill="47829E"/>
          </w:tcPr>
          <w:p>
            <w:pPr>
              <w:spacing w:after="0"/>
              <w:rPr>
                <w:sz w:val="16"/>
                <w:szCs w:val="16"/>
                <w:color w:val="auto"/>
              </w:rPr>
            </w:pPr>
          </w:p>
        </w:tc>
        <w:tc>
          <w:tcPr>
            <w:tcW w:w="920" w:type="dxa"/>
            <w:vAlign w:val="bottom"/>
            <w:shd w:val="clear" w:color="auto" w:fill="47829E"/>
          </w:tcPr>
          <w:p>
            <w:pPr>
              <w:spacing w:after="0"/>
              <w:rPr>
                <w:sz w:val="16"/>
                <w:szCs w:val="16"/>
                <w:color w:val="auto"/>
              </w:rPr>
            </w:pPr>
          </w:p>
        </w:tc>
        <w:tc>
          <w:tcPr>
            <w:tcW w:w="140" w:type="dxa"/>
            <w:vAlign w:val="bottom"/>
            <w:tcBorders>
              <w:right w:val="single" w:sz="8" w:color="47829E"/>
            </w:tcBorders>
            <w:shd w:val="clear" w:color="auto" w:fill="47829E"/>
          </w:tcPr>
          <w:p>
            <w:pPr>
              <w:spacing w:after="0"/>
              <w:rPr>
                <w:sz w:val="16"/>
                <w:szCs w:val="16"/>
                <w:color w:val="auto"/>
              </w:rPr>
            </w:pPr>
          </w:p>
        </w:tc>
        <w:tc>
          <w:tcPr>
            <w:tcW w:w="2440" w:type="dxa"/>
            <w:vAlign w:val="bottom"/>
            <w:tcBorders>
              <w:right w:val="single" w:sz="8" w:color="47829E"/>
            </w:tcBorders>
            <w:shd w:val="clear" w:color="auto" w:fill="47829E"/>
          </w:tcPr>
          <w:p>
            <w:pPr>
              <w:jc w:val="center"/>
              <w:spacing w:after="0" w:line="189" w:lineRule="exact"/>
              <w:rPr>
                <w:sz w:val="20"/>
                <w:szCs w:val="20"/>
                <w:color w:val="auto"/>
              </w:rPr>
            </w:pPr>
            <w:r>
              <w:rPr>
                <w:rFonts w:ascii="Arial" w:cs="Arial" w:eastAsia="Arial" w:hAnsi="Arial"/>
                <w:sz w:val="17"/>
                <w:szCs w:val="17"/>
                <w:b w:val="1"/>
                <w:bCs w:val="1"/>
                <w:color w:val="FFFFFF"/>
                <w:w w:val="99"/>
              </w:rPr>
              <w:t>Voting Power</w:t>
            </w:r>
          </w:p>
        </w:tc>
        <w:tc>
          <w:tcPr>
            <w:tcW w:w="0" w:type="dxa"/>
            <w:vAlign w:val="bottom"/>
          </w:tcPr>
          <w:p>
            <w:pPr>
              <w:spacing w:after="0"/>
              <w:rPr>
                <w:sz w:val="1"/>
                <w:szCs w:val="1"/>
                <w:color w:val="auto"/>
              </w:rPr>
            </w:pPr>
          </w:p>
        </w:tc>
      </w:tr>
      <w:tr>
        <w:trPr>
          <w:trHeight w:val="215"/>
        </w:trPr>
        <w:tc>
          <w:tcPr>
            <w:tcW w:w="7320" w:type="dxa"/>
            <w:vAlign w:val="bottom"/>
            <w:tcBorders>
              <w:left w:val="single" w:sz="8" w:color="47829E"/>
              <w:right w:val="single" w:sz="8" w:color="47829E"/>
            </w:tcBorders>
            <w:shd w:val="clear" w:color="auto" w:fill="47829E"/>
          </w:tcPr>
          <w:p>
            <w:pPr>
              <w:spacing w:after="0"/>
              <w:rPr>
                <w:sz w:val="18"/>
                <w:szCs w:val="18"/>
                <w:color w:val="auto"/>
              </w:rPr>
            </w:pPr>
          </w:p>
        </w:tc>
        <w:tc>
          <w:tcPr>
            <w:tcW w:w="620" w:type="dxa"/>
            <w:vAlign w:val="bottom"/>
            <w:shd w:val="clear" w:color="auto" w:fill="47829E"/>
          </w:tcPr>
          <w:p>
            <w:pPr>
              <w:spacing w:after="0"/>
              <w:rPr>
                <w:sz w:val="18"/>
                <w:szCs w:val="18"/>
                <w:color w:val="auto"/>
              </w:rPr>
            </w:pPr>
          </w:p>
        </w:tc>
        <w:tc>
          <w:tcPr>
            <w:tcW w:w="920" w:type="dxa"/>
            <w:vAlign w:val="bottom"/>
            <w:shd w:val="clear" w:color="auto" w:fill="47829E"/>
          </w:tcPr>
          <w:p>
            <w:pPr>
              <w:spacing w:after="0"/>
              <w:rPr>
                <w:sz w:val="18"/>
                <w:szCs w:val="18"/>
                <w:color w:val="auto"/>
              </w:rPr>
            </w:pPr>
          </w:p>
        </w:tc>
        <w:tc>
          <w:tcPr>
            <w:tcW w:w="140" w:type="dxa"/>
            <w:vAlign w:val="bottom"/>
            <w:tcBorders>
              <w:right w:val="single" w:sz="8" w:color="47829E"/>
            </w:tcBorders>
            <w:shd w:val="clear" w:color="auto" w:fill="47829E"/>
          </w:tcPr>
          <w:p>
            <w:pPr>
              <w:spacing w:after="0"/>
              <w:rPr>
                <w:sz w:val="18"/>
                <w:szCs w:val="18"/>
                <w:color w:val="auto"/>
              </w:rPr>
            </w:pPr>
          </w:p>
        </w:tc>
        <w:tc>
          <w:tcPr>
            <w:tcW w:w="24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7"/>
                <w:szCs w:val="17"/>
                <w:b w:val="1"/>
                <w:bCs w:val="1"/>
                <w:color w:val="FFFFFF"/>
              </w:rPr>
              <w:t>Dilution</w:t>
            </w: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Potential Voting Power Dilution with 800,000 Additional Shares:</w:t>
            </w: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47829E"/>
            </w:tcBorders>
          </w:tcPr>
          <w:p>
            <w:pPr>
              <w:spacing w:after="0"/>
              <w:rPr>
                <w:sz w:val="16"/>
                <w:szCs w:val="16"/>
                <w:color w:val="auto"/>
              </w:rPr>
            </w:pPr>
          </w:p>
        </w:tc>
        <w:tc>
          <w:tcPr>
            <w:tcW w:w="244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shd w:val="clear" w:color="auto" w:fill="ECF2F5"/>
          </w:tcPr>
          <w:p>
            <w:pPr>
              <w:ind w:left="500"/>
              <w:spacing w:after="0" w:line="189" w:lineRule="exact"/>
              <w:rPr>
                <w:sz w:val="20"/>
                <w:szCs w:val="20"/>
                <w:color w:val="auto"/>
              </w:rPr>
            </w:pPr>
            <w:r>
              <w:rPr>
                <w:rFonts w:ascii="Arial" w:cs="Arial" w:eastAsia="Arial" w:hAnsi="Arial"/>
                <w:sz w:val="17"/>
                <w:szCs w:val="17"/>
                <w:color w:val="auto"/>
              </w:rPr>
              <w:t>Common stock outstanding as of the March 11, 2016 Record Date</w:t>
            </w:r>
          </w:p>
        </w:tc>
        <w:tc>
          <w:tcPr>
            <w:tcW w:w="620" w:type="dxa"/>
            <w:vAlign w:val="bottom"/>
            <w:shd w:val="clear" w:color="auto" w:fill="ECF2F5"/>
          </w:tcPr>
          <w:p>
            <w:pPr>
              <w:spacing w:after="0"/>
              <w:rPr>
                <w:sz w:val="16"/>
                <w:szCs w:val="16"/>
                <w:color w:val="auto"/>
              </w:rPr>
            </w:pPr>
          </w:p>
        </w:tc>
        <w:tc>
          <w:tcPr>
            <w:tcW w:w="1060" w:type="dxa"/>
            <w:vAlign w:val="bottom"/>
            <w:tcBorders>
              <w:right w:val="single" w:sz="8" w:color="47829E"/>
            </w:tcBorders>
            <w:gridSpan w:val="2"/>
            <w:shd w:val="clear" w:color="auto" w:fill="ECF2F5"/>
          </w:tcPr>
          <w:p>
            <w:pPr>
              <w:jc w:val="right"/>
              <w:ind w:right="140"/>
              <w:spacing w:after="0" w:line="189" w:lineRule="exact"/>
              <w:rPr>
                <w:sz w:val="20"/>
                <w:szCs w:val="20"/>
                <w:color w:val="auto"/>
              </w:rPr>
            </w:pPr>
            <w:r>
              <w:rPr>
                <w:rFonts w:ascii="Arial" w:cs="Arial" w:eastAsia="Arial" w:hAnsi="Arial"/>
                <w:sz w:val="17"/>
                <w:szCs w:val="17"/>
                <w:color w:val="auto"/>
              </w:rPr>
              <w:t>63,488,081</w:t>
            </w:r>
          </w:p>
        </w:tc>
        <w:tc>
          <w:tcPr>
            <w:tcW w:w="2440" w:type="dxa"/>
            <w:vAlign w:val="bottom"/>
            <w:tcBorders>
              <w:right w:val="single" w:sz="8" w:color="47829E"/>
            </w:tcBorders>
            <w:shd w:val="clear" w:color="auto" w:fill="ECF2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tcPr>
          <w:p>
            <w:pPr>
              <w:ind w:left="500"/>
              <w:spacing w:after="0" w:line="189" w:lineRule="exact"/>
              <w:rPr>
                <w:sz w:val="20"/>
                <w:szCs w:val="20"/>
                <w:color w:val="auto"/>
              </w:rPr>
            </w:pPr>
            <w:r>
              <w:rPr>
                <w:rFonts w:ascii="Arial" w:cs="Arial" w:eastAsia="Arial" w:hAnsi="Arial"/>
                <w:sz w:val="17"/>
                <w:szCs w:val="17"/>
                <w:color w:val="auto"/>
              </w:rPr>
              <w:t>Equity awards outstanding as of March 11, 2016</w:t>
            </w:r>
            <w:r>
              <w:rPr>
                <w:rFonts w:ascii="Arial" w:cs="Arial" w:eastAsia="Arial" w:hAnsi="Arial"/>
                <w:sz w:val="14"/>
                <w:szCs w:val="14"/>
                <w:color w:val="auto"/>
              </w:rPr>
              <w:t>(1)</w:t>
            </w:r>
          </w:p>
        </w:tc>
        <w:tc>
          <w:tcPr>
            <w:tcW w:w="620" w:type="dxa"/>
            <w:vAlign w:val="bottom"/>
          </w:tcPr>
          <w:p>
            <w:pPr>
              <w:spacing w:after="0"/>
              <w:rPr>
                <w:sz w:val="16"/>
                <w:szCs w:val="16"/>
                <w:color w:val="auto"/>
              </w:rPr>
            </w:pPr>
          </w:p>
        </w:tc>
        <w:tc>
          <w:tcPr>
            <w:tcW w:w="1060" w:type="dxa"/>
            <w:vAlign w:val="bottom"/>
            <w:tcBorders>
              <w:right w:val="single" w:sz="8" w:color="47829E"/>
            </w:tcBorders>
            <w:gridSpan w:val="2"/>
          </w:tcPr>
          <w:p>
            <w:pPr>
              <w:jc w:val="right"/>
              <w:ind w:right="140"/>
              <w:spacing w:after="0" w:line="189" w:lineRule="exact"/>
              <w:rPr>
                <w:sz w:val="20"/>
                <w:szCs w:val="20"/>
                <w:color w:val="auto"/>
              </w:rPr>
            </w:pPr>
            <w:r>
              <w:rPr>
                <w:rFonts w:ascii="Arial" w:cs="Arial" w:eastAsia="Arial" w:hAnsi="Arial"/>
                <w:sz w:val="17"/>
                <w:szCs w:val="17"/>
                <w:color w:val="auto"/>
              </w:rPr>
              <w:t>1,112,200</w:t>
            </w:r>
          </w:p>
        </w:tc>
        <w:tc>
          <w:tcPr>
            <w:tcW w:w="244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20" w:type="dxa"/>
            <w:vAlign w:val="bottom"/>
            <w:tcBorders>
              <w:left w:val="single" w:sz="8" w:color="47829E"/>
              <w:right w:val="single" w:sz="8" w:color="47829E"/>
            </w:tcBorders>
            <w:shd w:val="clear" w:color="auto" w:fill="ECF2F5"/>
          </w:tcPr>
          <w:p>
            <w:pPr>
              <w:ind w:left="500"/>
              <w:spacing w:after="0" w:line="183" w:lineRule="exact"/>
              <w:rPr>
                <w:sz w:val="20"/>
                <w:szCs w:val="20"/>
                <w:color w:val="auto"/>
              </w:rPr>
            </w:pPr>
            <w:r>
              <w:rPr>
                <w:rFonts w:ascii="Arial" w:cs="Arial" w:eastAsia="Arial" w:hAnsi="Arial"/>
                <w:sz w:val="17"/>
                <w:szCs w:val="17"/>
                <w:color w:val="auto"/>
              </w:rPr>
              <w:t>Shares available for grant under outstanding stock-based compensation plans as of</w:t>
            </w:r>
          </w:p>
        </w:tc>
        <w:tc>
          <w:tcPr>
            <w:tcW w:w="620" w:type="dxa"/>
            <w:vAlign w:val="bottom"/>
            <w:shd w:val="clear" w:color="auto" w:fill="ECF2F5"/>
          </w:tcPr>
          <w:p>
            <w:pPr>
              <w:spacing w:after="0"/>
              <w:rPr>
                <w:sz w:val="15"/>
                <w:szCs w:val="15"/>
                <w:color w:val="auto"/>
              </w:rPr>
            </w:pPr>
          </w:p>
        </w:tc>
        <w:tc>
          <w:tcPr>
            <w:tcW w:w="1060" w:type="dxa"/>
            <w:vAlign w:val="bottom"/>
            <w:tcBorders>
              <w:right w:val="single" w:sz="8" w:color="47829E"/>
            </w:tcBorders>
            <w:gridSpan w:val="2"/>
            <w:vMerge w:val="restart"/>
            <w:shd w:val="clear" w:color="auto" w:fill="ECF2F5"/>
          </w:tcPr>
          <w:p>
            <w:pPr>
              <w:jc w:val="right"/>
              <w:ind w:right="140"/>
              <w:spacing w:after="0" w:line="193" w:lineRule="exact"/>
              <w:rPr>
                <w:sz w:val="20"/>
                <w:szCs w:val="20"/>
                <w:color w:val="auto"/>
              </w:rPr>
            </w:pPr>
            <w:r>
              <w:rPr>
                <w:rFonts w:ascii="Arial" w:cs="Arial" w:eastAsia="Arial" w:hAnsi="Arial"/>
                <w:sz w:val="17"/>
                <w:szCs w:val="17"/>
                <w:color w:val="auto"/>
              </w:rPr>
              <w:t>435,979</w:t>
            </w:r>
          </w:p>
        </w:tc>
        <w:tc>
          <w:tcPr>
            <w:tcW w:w="2440" w:type="dxa"/>
            <w:vAlign w:val="bottom"/>
            <w:tcBorders>
              <w:right w:val="single" w:sz="8" w:color="47829E"/>
            </w:tcBorders>
            <w:shd w:val="clear" w:color="auto" w:fill="ECF2F5"/>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7320" w:type="dxa"/>
            <w:vAlign w:val="bottom"/>
            <w:tcBorders>
              <w:left w:val="single" w:sz="8" w:color="47829E"/>
              <w:right w:val="single" w:sz="8" w:color="47829E"/>
            </w:tcBorders>
            <w:shd w:val="clear" w:color="auto" w:fill="ECF2F5"/>
          </w:tcPr>
          <w:p>
            <w:pPr>
              <w:ind w:left="680"/>
              <w:spacing w:after="0" w:line="10" w:lineRule="exact"/>
              <w:rPr>
                <w:sz w:val="20"/>
                <w:szCs w:val="20"/>
                <w:color w:val="auto"/>
              </w:rPr>
            </w:pPr>
            <w:r>
              <w:rPr>
                <w:rFonts w:ascii="Arial" w:cs="Arial" w:eastAsia="Arial" w:hAnsi="Arial"/>
                <w:sz w:val="1"/>
                <w:szCs w:val="1"/>
                <w:color w:val="auto"/>
              </w:rPr>
              <w:t>March 11, 2016</w:t>
            </w:r>
          </w:p>
        </w:tc>
        <w:tc>
          <w:tcPr>
            <w:tcW w:w="620" w:type="dxa"/>
            <w:vAlign w:val="bottom"/>
            <w:shd w:val="clear" w:color="auto" w:fill="ECF2F5"/>
          </w:tcPr>
          <w:p>
            <w:pPr>
              <w:spacing w:after="0" w:line="20" w:lineRule="exact"/>
              <w:rPr>
                <w:sz w:val="1"/>
                <w:szCs w:val="1"/>
                <w:color w:val="auto"/>
              </w:rPr>
            </w:pPr>
          </w:p>
        </w:tc>
        <w:tc>
          <w:tcPr>
            <w:tcW w:w="1060" w:type="dxa"/>
            <w:vAlign w:val="bottom"/>
            <w:tcBorders>
              <w:right w:val="single" w:sz="8" w:color="47829E"/>
            </w:tcBorders>
            <w:gridSpan w:val="2"/>
            <w:vMerge w:val="continue"/>
            <w:shd w:val="clear" w:color="auto" w:fill="ECF2F5"/>
          </w:tcPr>
          <w:p>
            <w:pPr>
              <w:spacing w:after="0" w:line="20" w:lineRule="exact"/>
              <w:rPr>
                <w:sz w:val="1"/>
                <w:szCs w:val="1"/>
                <w:color w:val="auto"/>
              </w:rPr>
            </w:pPr>
          </w:p>
        </w:tc>
        <w:tc>
          <w:tcPr>
            <w:tcW w:w="2440" w:type="dxa"/>
            <w:vAlign w:val="bottom"/>
            <w:tcBorders>
              <w:right w:val="single" w:sz="8" w:color="47829E"/>
            </w:tcBorders>
            <w:shd w:val="clear" w:color="auto" w:fill="ECF2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20" w:type="dxa"/>
            <w:vAlign w:val="bottom"/>
            <w:tcBorders>
              <w:left w:val="single" w:sz="8" w:color="47829E"/>
              <w:right w:val="single" w:sz="8" w:color="47829E"/>
            </w:tcBorders>
            <w:shd w:val="clear" w:color="auto" w:fill="ECF2F5"/>
          </w:tcPr>
          <w:p>
            <w:pPr>
              <w:ind w:left="1860"/>
              <w:spacing w:after="0"/>
              <w:rPr>
                <w:sz w:val="20"/>
                <w:szCs w:val="20"/>
                <w:color w:val="auto"/>
              </w:rPr>
            </w:pPr>
            <w:r>
              <w:rPr>
                <w:rFonts w:ascii="Arial" w:cs="Arial" w:eastAsia="Arial" w:hAnsi="Arial"/>
                <w:sz w:val="15"/>
                <w:szCs w:val="15"/>
                <w:color w:val="auto"/>
              </w:rPr>
              <w:t>(2)</w:t>
            </w:r>
          </w:p>
        </w:tc>
        <w:tc>
          <w:tcPr>
            <w:tcW w:w="620" w:type="dxa"/>
            <w:vAlign w:val="bottom"/>
            <w:shd w:val="clear" w:color="auto" w:fill="ECF2F5"/>
          </w:tcPr>
          <w:p>
            <w:pPr>
              <w:spacing w:after="0"/>
              <w:rPr>
                <w:sz w:val="16"/>
                <w:szCs w:val="16"/>
                <w:color w:val="auto"/>
              </w:rPr>
            </w:pPr>
          </w:p>
        </w:tc>
        <w:tc>
          <w:tcPr>
            <w:tcW w:w="920" w:type="dxa"/>
            <w:vAlign w:val="bottom"/>
            <w:shd w:val="clear" w:color="auto" w:fill="ECF2F5"/>
          </w:tcPr>
          <w:p>
            <w:pPr>
              <w:spacing w:after="0"/>
              <w:rPr>
                <w:sz w:val="16"/>
                <w:szCs w:val="16"/>
                <w:color w:val="auto"/>
              </w:rPr>
            </w:pPr>
          </w:p>
        </w:tc>
        <w:tc>
          <w:tcPr>
            <w:tcW w:w="140" w:type="dxa"/>
            <w:vAlign w:val="bottom"/>
            <w:tcBorders>
              <w:right w:val="single" w:sz="8" w:color="47829E"/>
            </w:tcBorders>
            <w:shd w:val="clear" w:color="auto" w:fill="ECF2F5"/>
          </w:tcPr>
          <w:p>
            <w:pPr>
              <w:spacing w:after="0"/>
              <w:rPr>
                <w:sz w:val="16"/>
                <w:szCs w:val="16"/>
                <w:color w:val="auto"/>
              </w:rPr>
            </w:pPr>
          </w:p>
        </w:tc>
        <w:tc>
          <w:tcPr>
            <w:tcW w:w="2440" w:type="dxa"/>
            <w:vAlign w:val="bottom"/>
            <w:tcBorders>
              <w:right w:val="single" w:sz="8" w:color="47829E"/>
            </w:tcBorders>
            <w:shd w:val="clear" w:color="auto" w:fill="ECF2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tcPr>
          <w:p>
            <w:pPr>
              <w:ind w:left="500"/>
              <w:spacing w:after="0" w:line="189" w:lineRule="exact"/>
              <w:rPr>
                <w:sz w:val="20"/>
                <w:szCs w:val="20"/>
                <w:color w:val="auto"/>
              </w:rPr>
            </w:pPr>
            <w:r>
              <w:rPr>
                <w:rFonts w:ascii="Arial" w:cs="Arial" w:eastAsia="Arial" w:hAnsi="Arial"/>
                <w:sz w:val="17"/>
                <w:szCs w:val="17"/>
                <w:color w:val="auto"/>
              </w:rPr>
              <w:t>Additional requested shares under the 2016 Stock Plan</w:t>
            </w:r>
          </w:p>
        </w:tc>
        <w:tc>
          <w:tcPr>
            <w:tcW w:w="620" w:type="dxa"/>
            <w:vAlign w:val="bottom"/>
          </w:tcPr>
          <w:p>
            <w:pPr>
              <w:spacing w:after="0"/>
              <w:rPr>
                <w:sz w:val="16"/>
                <w:szCs w:val="16"/>
                <w:color w:val="auto"/>
              </w:rPr>
            </w:pPr>
          </w:p>
        </w:tc>
        <w:tc>
          <w:tcPr>
            <w:tcW w:w="1060" w:type="dxa"/>
            <w:vAlign w:val="bottom"/>
            <w:tcBorders>
              <w:right w:val="single" w:sz="8" w:color="47829E"/>
            </w:tcBorders>
            <w:gridSpan w:val="2"/>
          </w:tcPr>
          <w:p>
            <w:pPr>
              <w:jc w:val="right"/>
              <w:ind w:right="140"/>
              <w:spacing w:after="0" w:line="189" w:lineRule="exact"/>
              <w:rPr>
                <w:sz w:val="20"/>
                <w:szCs w:val="20"/>
                <w:color w:val="auto"/>
              </w:rPr>
            </w:pPr>
            <w:r>
              <w:rPr>
                <w:rFonts w:ascii="Arial" w:cs="Arial" w:eastAsia="Arial" w:hAnsi="Arial"/>
                <w:sz w:val="17"/>
                <w:szCs w:val="17"/>
                <w:color w:val="auto"/>
              </w:rPr>
              <w:t>800,000</w:t>
            </w:r>
          </w:p>
        </w:tc>
        <w:tc>
          <w:tcPr>
            <w:tcW w:w="2440" w:type="dxa"/>
            <w:vAlign w:val="bottom"/>
            <w:tcBorders>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1.22%</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7320" w:type="dxa"/>
            <w:vAlign w:val="bottom"/>
            <w:tcBorders>
              <w:left w:val="single" w:sz="8" w:color="47829E"/>
              <w:right w:val="single" w:sz="8" w:color="47829E"/>
            </w:tcBorders>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47829E"/>
            </w:tcBorders>
          </w:tcPr>
          <w:p>
            <w:pPr>
              <w:spacing w:after="0"/>
              <w:rPr>
                <w:sz w:val="2"/>
                <w:szCs w:val="2"/>
                <w:color w:val="auto"/>
              </w:rPr>
            </w:pPr>
          </w:p>
        </w:tc>
        <w:tc>
          <w:tcPr>
            <w:tcW w:w="244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tcBorders>
              <w:left w:val="single" w:sz="8" w:color="47829E"/>
              <w:bottom w:val="single" w:sz="8" w:color="47829E"/>
              <w:right w:val="single" w:sz="8" w:color="47829E"/>
            </w:tcBorders>
            <w:shd w:val="clear" w:color="auto" w:fill="ECF2F5"/>
          </w:tcPr>
          <w:p>
            <w:pPr>
              <w:ind w:left="840"/>
              <w:spacing w:after="0" w:line="189" w:lineRule="exact"/>
              <w:rPr>
                <w:sz w:val="20"/>
                <w:szCs w:val="20"/>
                <w:color w:val="auto"/>
              </w:rPr>
            </w:pPr>
            <w:r>
              <w:rPr>
                <w:rFonts w:ascii="Arial" w:cs="Arial" w:eastAsia="Arial" w:hAnsi="Arial"/>
                <w:sz w:val="17"/>
                <w:szCs w:val="17"/>
                <w:color w:val="auto"/>
              </w:rPr>
              <w:t>Total Potential Voting Power Outstanding and Dilution</w:t>
            </w:r>
          </w:p>
        </w:tc>
        <w:tc>
          <w:tcPr>
            <w:tcW w:w="620" w:type="dxa"/>
            <w:vAlign w:val="bottom"/>
            <w:tcBorders>
              <w:bottom w:val="single" w:sz="8" w:color="47829E"/>
            </w:tcBorders>
            <w:shd w:val="clear" w:color="auto" w:fill="ECF2F5"/>
          </w:tcPr>
          <w:p>
            <w:pPr>
              <w:spacing w:after="0"/>
              <w:rPr>
                <w:sz w:val="16"/>
                <w:szCs w:val="16"/>
                <w:color w:val="auto"/>
              </w:rPr>
            </w:pPr>
          </w:p>
        </w:tc>
        <w:tc>
          <w:tcPr>
            <w:tcW w:w="1060" w:type="dxa"/>
            <w:vAlign w:val="bottom"/>
            <w:tcBorders>
              <w:bottom w:val="single" w:sz="8" w:color="47829E"/>
              <w:right w:val="single" w:sz="8" w:color="47829E"/>
            </w:tcBorders>
            <w:gridSpan w:val="2"/>
            <w:shd w:val="clear" w:color="auto" w:fill="ECF2F5"/>
          </w:tcPr>
          <w:p>
            <w:pPr>
              <w:jc w:val="right"/>
              <w:ind w:right="140"/>
              <w:spacing w:after="0" w:line="189" w:lineRule="exact"/>
              <w:rPr>
                <w:sz w:val="20"/>
                <w:szCs w:val="20"/>
                <w:color w:val="auto"/>
              </w:rPr>
            </w:pPr>
            <w:r>
              <w:rPr>
                <w:rFonts w:ascii="Arial" w:cs="Arial" w:eastAsia="Arial" w:hAnsi="Arial"/>
                <w:sz w:val="17"/>
                <w:szCs w:val="17"/>
                <w:color w:val="auto"/>
              </w:rPr>
              <w:t>65,836,260</w:t>
            </w:r>
          </w:p>
        </w:tc>
        <w:tc>
          <w:tcPr>
            <w:tcW w:w="2440" w:type="dxa"/>
            <w:vAlign w:val="bottom"/>
            <w:tcBorders>
              <w:bottom w:val="single" w:sz="8" w:color="47829E"/>
              <w:right w:val="single" w:sz="8" w:color="47829E"/>
            </w:tcBorders>
            <w:shd w:val="clear" w:color="auto" w:fill="ECF2F5"/>
          </w:tcPr>
          <w:p>
            <w:pPr>
              <w:jc w:val="right"/>
              <w:ind w:right="135"/>
              <w:spacing w:after="0" w:line="189" w:lineRule="exact"/>
              <w:rPr>
                <w:sz w:val="20"/>
                <w:szCs w:val="20"/>
                <w:color w:val="auto"/>
              </w:rPr>
            </w:pPr>
            <w:r>
              <w:rPr>
                <w:rFonts w:ascii="Arial" w:cs="Arial" w:eastAsia="Arial" w:hAnsi="Arial"/>
                <w:sz w:val="17"/>
                <w:szCs w:val="17"/>
                <w:color w:val="auto"/>
              </w:rPr>
              <w:t>3.57%</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1"/>
          <w:szCs w:val="11"/>
          <w:color w:val="auto"/>
        </w:rPr>
      </w:pPr>
      <w:r>
        <w:rPr>
          <w:rFonts w:ascii="Arial" w:cs="Arial" w:eastAsia="Arial" w:hAnsi="Arial"/>
          <w:sz w:val="12"/>
          <w:szCs w:val="12"/>
          <w:color w:val="auto"/>
        </w:rPr>
        <w:t>The amounts included for performance-based restricted stock units are based on target performance for awards that are payable only upon the satisfaction of performance measures.</w:t>
      </w:r>
    </w:p>
    <w:p>
      <w:pPr>
        <w:spacing w:after="0" w:line="51" w:lineRule="exact"/>
        <w:rPr>
          <w:rFonts w:ascii="Arial" w:cs="Arial" w:eastAsia="Arial" w:hAnsi="Arial"/>
          <w:sz w:val="11"/>
          <w:szCs w:val="11"/>
          <w:color w:val="auto"/>
        </w:rPr>
      </w:pPr>
    </w:p>
    <w:p>
      <w:pPr>
        <w:jc w:val="both"/>
        <w:ind w:left="340" w:right="20" w:hanging="332"/>
        <w:spacing w:after="0" w:line="226"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4"/>
          <w:szCs w:val="14"/>
          <w:color w:val="auto"/>
        </w:rPr>
        <w:t>Amount includes 77,061 shares available under the Stock-Based Award Plan, 150,943 shares available under the Common Stock Purchase Plan for Directors, and 207,975 shares available under the Shareholder Value Achievement Plan, each as of March 11, 2016. No awards have been granted under the Shareholder Value Achievement Plan after 2000, and Martin Marietta does not intend to make further grants under this plan. No further awards under the TXI Legacy Plan (1,859,204 shares as of December 31, 2015) will be granted upon approval of the 2016 Stock Plan.</w:t>
      </w:r>
    </w:p>
    <w:p>
      <w:pPr>
        <w:spacing w:after="0" w:line="28" w:lineRule="exact"/>
        <w:rPr>
          <w:rFonts w:ascii="Arial" w:cs="Arial" w:eastAsia="Arial" w:hAnsi="Arial"/>
          <w:sz w:val="11"/>
          <w:szCs w:val="11"/>
          <w:color w:val="auto"/>
        </w:rPr>
      </w:pPr>
    </w:p>
    <w:p>
      <w:pPr>
        <w:ind w:left="340" w:right="40" w:hanging="332"/>
        <w:spacing w:after="0" w:line="231"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4"/>
          <w:szCs w:val="14"/>
          <w:color w:val="auto"/>
        </w:rPr>
        <w:t>Potential voting power dilution attributable to the additional requested shares is calculated as (additional requested shares) / (shares outstanding + equity awards outstanding + shares available for grant + additional requested shares).</w:t>
      </w:r>
    </w:p>
    <w:p>
      <w:pPr>
        <w:spacing w:after="0" w:line="27" w:lineRule="exact"/>
        <w:rPr>
          <w:rFonts w:ascii="Arial" w:cs="Arial" w:eastAsia="Arial" w:hAnsi="Arial"/>
          <w:sz w:val="11"/>
          <w:szCs w:val="11"/>
          <w:color w:val="auto"/>
        </w:rPr>
      </w:pPr>
    </w:p>
    <w:p>
      <w:pPr>
        <w:ind w:left="340" w:right="20" w:hanging="332"/>
        <w:spacing w:after="0" w:line="231"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4"/>
          <w:szCs w:val="14"/>
          <w:color w:val="auto"/>
        </w:rPr>
        <w:t>Total potential voting power dilution is calculated as (equity awards outstanding + shares available for grant + additional requested shares) / (shares outstanding + equity awards outstanding + shares available for grant + additional requested shares).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sz w:val="1"/>
          <w:szCs w:val="1"/>
          <w:color w:val="auto"/>
        </w:rPr>
        <w:drawing>
          <wp:inline distT="0" distB="0" distL="0" distR="0">
            <wp:extent cx="342900" cy="2057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62" w:right="2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u w:val="single" w:color="auto"/>
          <w:color w:val="auto"/>
        </w:rPr>
        <w:t>Summary of 2016 Stock Plan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is a summary of the terms of the 2016 Stock Plan. This summary is qualified in its entirety by reference to the complete text of the 2016 Stock Plan, which is attached as Appendix 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purpose of the 2016 Stock Plan is to benefit Martin Marietta’s shareholders by encouraging high levels of performance by individuals who are key to its success and to enable Martin Marietta to attract, motivate, and retain talented and experienced individuals essential to its continued success. This is accomplished by providing such employees and non-employee Directors an opportunity to obtain or increase their proprietary interest in Martin Marietta’s performance and by providing such employees and non-employee Directors with additional incentives to remain with Martin Marietta.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Duration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2016 Stock Plan will remain in effect until all awards under the plan have been exercised or terminated under the terms of the plan and the applicable awards agreements. However, awards under the 2016 Stock Plan may only be granted until the tenth anniversary of the date of shareholder approval of the updated 2016 Stock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Board of Directors may at any time amend, suspend, or discontinue the 2016 Stock Plan. The Committee may at any time alter or amend any or all of the award agreements under the 2016 Stock Plan to the extent permitted by law. However, any action of the Board of Directors or the Committee that requires shareholder approval pursuant to applicable law will not be effective without such approval.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to be Issued</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Martin Marietta initially reserved, and the shareholders originally approved, 5,000,000 shares under the 2016 Stock Plan. As of April 1, 2016, there were 77,061 shares remaining available for grant under that plan. If this proposal is approved by shareholders, an additional 800,000 shares will be available for grant under the 2016 Stock Plan. Shares subject to terminated, canceled, or forfeited awards and shares tendered or withheld in satisfaction of tax withholding obligations in connection with an award once again become available for grant under the 2016 Stock Plan. Shares tendered as full or partial payment upon exercise of a non-qualified stock option or to settle a stock appreciation right upon exercise will not become available for grant under the 2016 Stock Plan.</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On April 15, 2016, the closing price per share on the New York Stock</w:t>
      </w:r>
    </w:p>
    <w:p>
      <w:pPr>
        <w:spacing w:after="0"/>
        <w:tabs>
          <w:tab w:leader="none" w:pos="1820" w:val="left"/>
        </w:tabs>
        <w:rPr>
          <w:sz w:val="20"/>
          <w:szCs w:val="20"/>
          <w:color w:val="auto"/>
        </w:rPr>
      </w:pPr>
      <w:r>
        <w:rPr>
          <w:rFonts w:ascii="Arial" w:cs="Arial" w:eastAsia="Arial" w:hAnsi="Arial"/>
          <w:sz w:val="17"/>
          <w:szCs w:val="17"/>
          <w:color w:val="auto"/>
        </w:rPr>
        <w:t>Exchange was $</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2016 Stock Plan and the awards granted under it are administered by the Committee. In the event the Management Development and Compensation Committee does not (i) satisfy the requirements under Section 162(m) of the Code to grant Section 162(m) Awards (as defined below) and (ii) consist solely of “non-employee directors” within the meaning of Rule 16b-3 under the Exchange Act, then the Committee will be another committee of the Board of Directors that, unless otherwise determined by the Board of Directors, satisfies such criteria.</w:t>
      </w:r>
    </w:p>
    <w:p>
      <w:pPr>
        <w:spacing w:after="0" w:line="204"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Committee (i) determines the employees who will be eligible for and granted awards; (ii) determines the nature, amount, pricing, timing, and other terms of awards made to employees; and (iii) interprets and administers the 2016 Stock Plan. All questions of interpretation with respect to the 2016 Stock Plan and the terms of any award agreements will be determined by the Committee and its determination will be final and conclusive upon all parties in interest.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and Eligibility</w:t>
      </w:r>
    </w:p>
    <w:p>
      <w:pPr>
        <w:spacing w:after="0" w:line="23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Any exempt salaried employee of Martin Marietta or its subsidiaries or any non-employee Director may receive an award under the 2016 Stock Plan. Presently, there are approximately 200 individuals who may be eligible to participate in the 2016 Stock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Adjustments</w:t>
      </w:r>
    </w:p>
    <w:p>
      <w:pPr>
        <w:spacing w:after="0" w:line="23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share limitations under the 2016 Stock Plan, as well as the terms of outstanding awards, are subject to adjustment as the Committee deems equitable or appropriate in connection with certain changes in the capitalization of Martin Marietta or certain other transactions affecting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 and Stock Appreciation Rights</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The Committee may grant to a participant incentive stock options that qualify under Section 422 of the Code, options which do not qualify as incentive stock options (“non-qualified options”), or a combination thereof. However, to the extent that the aggregate fair market value (determined at the time of grant) of the shares subject to incentive stock options which are exercisable by a participant for the first time during a calendar year would exceed $100,000, the excess will instead be treated as non-qualified options. The Committee may also grant to a participant stock appreciation rights, which entitles the participant to receive, upon its exercise, a payment equal to (i) the excess of the fair market value of a share on the exercise date over the base price of the stock appreciation right, multiplied by (ii) the number of shares with respect to which the stock appreciation right is exercised.</w:t>
      </w:r>
    </w:p>
    <w:p>
      <w:pPr>
        <w:spacing w:after="0" w:line="207"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 terms and conditions of stock option and stock appreciation rights, including the quantity, exercise price, base price, vesting periods, and other conditions on exercise, will be</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57" w:name="page58"/>
    <w:bookmarkEnd w:id="57"/>
    <w:p>
      <w:pPr>
        <w:jc w:val="both"/>
        <w:spacing w:after="0" w:line="233" w:lineRule="auto"/>
        <w:rPr>
          <w:sz w:val="20"/>
          <w:szCs w:val="20"/>
          <w:color w:val="auto"/>
        </w:rPr>
      </w:pPr>
      <w:r>
        <w:rPr>
          <w:rFonts w:ascii="Arial" w:cs="Arial" w:eastAsia="Arial" w:hAnsi="Arial"/>
          <w:sz w:val="17"/>
          <w:szCs w:val="17"/>
          <w:color w:val="auto"/>
        </w:rPr>
        <w:t>determined by the Committee. During any calendar year, no participant may be granted options and stock appreciation rights in respect of more than 300,000 shares (1) in the case of an employee participant, 300,000 shares and (2) in the case of a non-employee Director participant, 20,000 shares (in each case, subject to adjustment, as described above in “Certain Adjustments”). Options and stock appreciation rights generally will have a term of ten years, except that the option or stock appreciation right may expire earlier upon a participant’s termination of services (which includes the participant’s death, permanent disability, or retirement, a termination due to a reduction in force, or other termination) as set forth in the 2016 Stock Plan and in the participant’s award agreement.</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exercise price for stock options and the base price for stock appreciation rights will be determined by the Committee at its discretion, provided that the exercise price or base price per share will be at least equal to 100% of the fair market value of a share on the date when the stock option or stock appreciation right is granted. Payment for shares on the exercise of stock options may be made in cash or, in the discretion of the committee, by the tender of shares, a combination of cash and shares or through such other means as the Committee determines are consistent with the purposes of the 2016 Stock Plan and applicable law.</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Other than as provided in the adjustment provisions of the 2016 Stock Plan, without shareholder approval, no stock option or stock appreciation right may be (i) amended to reduce its exercise price or base price without shareholder approval, (ii) granted in exchange for the cancellation or surrender of a stock option, stock appreciation right, or other award having a lower exercise price or base price, and (iii) no stock option may be granted with an automatic reload feature whereby Martin Marietta is obligated to grant a new award under the 2016 Stock Plan upon the exercise of the stock option. In addition, no action may be taken without shareholder approval with respect to a stock option or stock appreciation right that may be treated as a repricing under the rules and regulations of the New York Stock Exchange. In no event will Martin Marietta pay cash or other consideration for stock options or stock appreciation rights where at the time of payment the exercise price or base price is less than the fair market value of a share.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b w:val="1"/>
          <w:bCs w:val="1"/>
          <w:color w:val="auto"/>
        </w:rPr>
        <w:t>Restricted Stock, Restricted Stock Units, and Other Stock-Based Awards</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may award to a participant shares subject to restrictions on transfer and/or such other restrictions or incidents of ownership as the Committee may determine. The Committee may also award to a participant other awards that (i) are valued in whole or in part by reference to, or are otherwise based on, shares or other property, including restricted stock units, (ii) provide the participant with any other right to purchase or receive shares, or (iii) otherwise relate to shares (including, but not limited to phantom securities or dividend equivalents) (collectively, “other stock-based awards”). Other stock-based awards will be in a form determined by the Committee, but will not be inconsistent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sz w:val="1"/>
          <w:szCs w:val="1"/>
          <w:color w:val="auto"/>
        </w:rPr>
        <w:drawing>
          <wp:inline distT="0" distB="0" distL="0" distR="0">
            <wp:extent cx="342900" cy="20574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with the terms and purposes of the 2016 Stock Plan. During any calendar year, no participant may be granted restricted shares and other stock-based awards, including restricted stock units, in respect of more than (1) in the case of an employee participant, 300,000 shares and (2) in the case of a non-employee Director participant, 7,000 shares (in each case, (subject to adjustment, as described above in “certain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-970915</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Awards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Committee may grant any of the foregoing awards subject to the achievement of predetermined performance targets over a specified performance period. Any such performance targets will be determined by the Committee. Awards intended to qualify as “performance-based” for purposes of Section 162(m) of the Code (“Section 162(m) Awards”) will include specified levels of one or more of the following metrics: stock price (including return on shareholder’s equity or total shareholder return ),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(the “Quantitative Performance Standards”). Quantitative Performance Standards applicable to an award may provide for a targeted level or levels of achievement on a whole company basis or with respect to one or more businesses, business units, segments or subsidiaries, or on the basis of individual performance.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 operations; (ix) an event either not directly related to the operations of Martin Marietta or not within the reasonable control of management;</w:t>
      </w:r>
    </w:p>
    <w:p>
      <w:pPr>
        <w:sectPr>
          <w:pgSz w:w="11900" w:h="16838" w:orient="portrait"/>
          <w:cols w:equalWidth="0" w:num="2">
            <w:col w:w="5480" w:space="340"/>
            <w:col w:w="5480"/>
          </w:cols>
          <w:pgMar w:left="240" w:top="336" w:right="359" w:bottom="1440" w:gutter="0" w:footer="0" w:header="0"/>
        </w:sectPr>
      </w:pPr>
    </w:p>
    <w:bookmarkStart w:id="58" w:name="page59"/>
    <w:bookmarkEnd w:id="58"/>
    <w:p>
      <w:pPr>
        <w:jc w:val="both"/>
        <w:ind w:firstLine="8"/>
        <w:spacing w:after="0" w:line="232" w:lineRule="auto"/>
        <w:tabs>
          <w:tab w:leader="none" w:pos="2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change in the fiscal year of Martin Marietta; (xi) costs associated with refinancing or repurchase of bank loans or debt securities;</w:t>
      </w:r>
    </w:p>
    <w:p>
      <w:pPr>
        <w:ind w:firstLine="8"/>
        <w:spacing w:after="0" w:line="243" w:lineRule="auto"/>
        <w:tabs>
          <w:tab w:leader="none" w:pos="36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unbudgeted capital expenditures; and (xiii) business interruption events.</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awards intended to qualify as Section 162(m) Awards, the Quantitative Performance Standards and the performance targets will be set within the time period prescribed by, and will otherwise comply with the requirements of, Section 162(m) of the Code. The Committee may decrease but in no event increase, the cash, shares or other property payable in connection with a Section 162(m) Award for any reason. A participant will not be entitled to receive payment for any dividends or dividend equivalents with respect to a Section 162(m) Award unless, until, and except to the extent that the applicable Quantitative Performance Standards are achieved or are otherwise deemed to be satisfied.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Minimum Vesting Periods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Except in the case of Awards made in connection with non-employee Directors or the recruitment of new employees (including new officers), or as otherwise provided in the 2016 Stock Plan, or otherwise provided by the award agreement in connection with retirement, disability, or death of the holder, (i) non-qualified options will vest in equal annual installments over a period of not less than three years and (ii) restricted stock, restricted stock units, incentive stock options and stock appreciation rights will vest not earlier than one year from the grant date of the award. The Committee may, in its sole discretion, waive, in whole or in part, any remaining conditions to vesting or exercisability, other than with respect to any Section 162(m) Award to the extent such action would result in such award not being tax deductible under Section 162(m)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 Agreements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Each award granted under the 2016 Stock Plan will be evidenced by an award agreement that will set forth the number of shares subject to the award and such other terms and conditions applicable to the award as determined by the Committee. Award agreements may also contain the following terms, except to the extent prohibited by the 2016 Stock Plan:</w:t>
      </w:r>
    </w:p>
    <w:p>
      <w:pPr>
        <w:spacing w:after="0" w:line="1" w:lineRule="exact"/>
        <w:rPr>
          <w:sz w:val="20"/>
          <w:szCs w:val="20"/>
          <w:color w:val="auto"/>
        </w:rPr>
      </w:pPr>
    </w:p>
    <w:p>
      <w:pPr>
        <w:jc w:val="both"/>
        <w:ind w:firstLine="8"/>
        <w:spacing w:after="0" w:line="233" w:lineRule="auto"/>
        <w:tabs>
          <w:tab w:leader="none" w:pos="22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provision describing the treatment of an award in the event of a participant’s retirement, disability, death, or other termination of employment or service with Martin Marietta; (ii) a provision that the participant will have no rights as a shareholder under an award until the date the participant becomes the holder of record; (iii) a provision requiring the withholding of applicable taxes required by law from all amounts paid in satisfaction of an award; (iv) a provision stating that no award is enforceable until the award agreement has been signed by the participant and the Chairman, the CEO or the General Counsel (in each case, (or his or her delegate); (v) the permitted methods of exercising and paying the exercise price with respect to an award; (vi) the vesting conditions applicable to an award; (vii) provisions permitting or requiring the surrender of outstanding awards or securities held be the</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Arial" w:cs="Arial" w:eastAsia="Arial" w:hAnsi="Arial"/>
          <w:sz w:val="17"/>
          <w:szCs w:val="17"/>
          <w:color w:val="auto"/>
        </w:rPr>
        <w:t>participant to exercise or realize rights under awards or for the grant of new awards; (viii) provisions providing for dividend equivalents (provided that such equivalents will be paid no earlier than the lapsing of restrictions applicable to the award); and (ix) such other terms as are necessary and appropriate to effect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-731520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Unless otherwise provided by the Committee in an applicable award agreement, in the event of a change in control (as defined in the 2016 Stock Plan), all time periods for purposes of vesting in, or realizing gain from, any and all outstanding awards under the 2016 Stock Plan will automatically accelerate and all performance criteria will be deemed achieved at the greater of (i) target levels of achievement and (ii) actual levels of achievement determined by the Committee in its sole discretion as of the date of the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An award held by a participant will be cancelled if such participant, without the consent of Martin Marietta, violates any policy relating to the recovery of compensation granted, paid, delivered, awarded, or otherwise provided to any participant as such policy is in effect on the date of grant of the applicable award or, to the extent necessary to address the requirements of applicable law. In addition, to the extent provided in any such policy, (i) a participant will forfeit any gain realized on the vesting or exercise of an award if the participant engages in any activity referred to in the preceding sentence, or (ii) a participant must repay the gain to Martin Marietta realized under a previously paid award (including a Section 162(m) Award) subject to performance requirements if a financial restatement reduces the amount that would have been earned under such award.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Income Tax Consequences</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following is a summary of the principal federal income tax consequences of awards that may be granted under the 2016 Stock Plan under present tax law. This summary is not intended to be exhaustive and, among other things, does not describe state, local, or foreign tax consequences. The discussion of Martin Marietta tax deductions assumes that all awards are structured to comply with the “performance-based” compensation exception, or are otherwise deductible, under Section 162(m) of the Code.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28"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No tax is incurred by the participant, and no amount is deductible by Martin Marietta, upon the grant of a nonqualified stock option. At the time of exercise of such an option, the difference between the exercise price and the fair market value of a share will constitute ordinary income to the participant. Martin Marietta will be allowed a deduction equal to the amount of ordinary income recognized by the participant.</w:t>
      </w:r>
    </w:p>
    <w:p>
      <w:pPr>
        <w:spacing w:after="0" w:line="202"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In the case of incentive stock options, although no income is recognized upon exercise by the participant and Martin Marietta is not entitled to a deduction, the excess of the fair</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59" w:name="page60"/>
    <w:bookmarkEnd w:id="59"/>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market value of a share on the date of exercise over the exercise price is counted in determining the participant’s alternative minimum taxable income. If the participant does not dispose of the shares acquired on the exercise of an incentive stock option within one year after their receipt and within two years after the grant of the incentive stock option, gain or loss recognized on the disposition of the shares will be treated as long-term capital gain or loss. In the event of an earlier disposition of shares acquired upon the exercise of an incentive stock option, the participant may recognize ordinary income, and if so, Martin Marietta will be entitled to a deduction in the same amount.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Appreciation Rights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participant will not recognize any income at the time of the grant of a stock appreciation right. Upon the exercise of a stock appreciation right, the cash received will constitute ordinary income to the participant. Martin Marietta will be entitled to a deduction in the amount of such income at the time of exercise.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Shares</w:t>
      </w:r>
    </w:p>
    <w:p>
      <w:pPr>
        <w:spacing w:after="0" w:line="22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 participant normally will not recognize taxable income upon an award of restricted shares, and Martin Marietta will not be entitled to a deduction until the lapse of the applicable restrictions. Upon the lapse of the restrictions, the participant will recognize ordinary taxable income in an amount equal to the fair market value of a share as to which the restrictions have lapsed, and Martin Marietta will be entitled to a deduction in the same amount. However, a participant may elect under Section 83(b) of the Code to recognize taxable ordinary income in the year the restricted shares are awarded in an amount equal to the fair market value of the shares at that time, determined without regard to the restrictions. In such event, Martin Marietta will then be entitled to a deduction in the same amount. Any gain or loss subsequently recognized by the participant will be a short-term or long-term capital gain or loss, depending on how long the shares are held by the 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-236855</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 participant normally will not recognize taxable income upon an award of restricted stock units, and Martin Marietta will not be entitled to a deduction until the lapse of the applicable restrictions. Upon the lapse of the restrictions and the issuance of the earned shares, the participant will recognize ordinary taxable income in an amount equal to the fair market value of the shares or the amount of cash received and Martin Marietta will be entitled to a deduction in the same amount.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 and Other Stock-Based Awards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Normally, a participant will not recognize taxable income upon the award of such grants. Subsequently, when the conditions and requirements for the grants have been satisfied and the payment determined, any cash received and the fair market value of any shares received will constitute ordinary income to the participant. Martin Marietta will then be entitled to a deduction in the same amount.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Benefits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benefits or amounts that individuals will receive in the future under the 2016 Stock Plan are not determinable. In 2015, the non-employee Directors and the named executive officers were granted awards as set forth in, respectively, the non-employee Director Compensation Table for 2015 and the Grants of Plan-Based Awards Table in 2015 on pages 15 and 43 of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approval of the 2016 Stock Plan requires the affirmative vote of a majority of the votes cast on the proposal at the Annual Meeting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713105</wp:posOffset>
            </wp:positionV>
            <wp:extent cx="7267575" cy="535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535940"/>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5480" w:space="340"/>
            <w:col w:w="5480"/>
          </w:cols>
          <w:pgMar w:left="240" w:top="318" w:right="3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THE BOARD UNANIMOUSLY RECOMMENDS</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THE 2016 STOCK PLAN AND THE</w:t>
      </w:r>
    </w:p>
    <w:p>
      <w:pPr>
        <w:ind w:left="3100"/>
        <w:spacing w:after="0"/>
        <w:rPr>
          <w:sz w:val="20"/>
          <w:szCs w:val="20"/>
          <w:color w:val="auto"/>
        </w:rPr>
      </w:pPr>
      <w:r>
        <w:rPr>
          <w:rFonts w:ascii="Arial" w:cs="Arial" w:eastAsia="Arial" w:hAnsi="Arial"/>
          <w:sz w:val="22"/>
          <w:szCs w:val="22"/>
          <w:b w:val="1"/>
          <w:bCs w:val="1"/>
          <w:color w:val="auto"/>
        </w:rPr>
        <w:t>PERFORMANCE GOALS PROVIDED THEREUNDER</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47829E"/>
        </w:rPr>
        <w:t>PROPOSAL 5</w:t>
      </w:r>
    </w:p>
    <w:p>
      <w:pPr>
        <w:spacing w:after="0" w:line="16" w:lineRule="exact"/>
        <w:rPr>
          <w:sz w:val="20"/>
          <w:szCs w:val="20"/>
          <w:color w:val="auto"/>
        </w:rPr>
      </w:pPr>
    </w:p>
    <w:p>
      <w:pPr>
        <w:jc w:val="center"/>
        <w:ind w:left="2840" w:right="2700"/>
        <w:spacing w:after="0" w:line="235" w:lineRule="auto"/>
        <w:rPr>
          <w:sz w:val="20"/>
          <w:szCs w:val="20"/>
          <w:color w:val="auto"/>
        </w:rPr>
      </w:pPr>
      <w:r>
        <w:rPr>
          <w:rFonts w:ascii="Arial" w:cs="Arial" w:eastAsia="Arial" w:hAnsi="Arial"/>
          <w:sz w:val="22"/>
          <w:szCs w:val="22"/>
          <w:b w:val="1"/>
          <w:bCs w:val="1"/>
          <w:color w:val="47829E"/>
        </w:rPr>
        <w:t xml:space="preserve">APPROVE EXECUTIVE CASH INCENTIVE PLAN AND THE PERFORMANCE GOALS PROVIDED THEREUNDER </w:t>
      </w:r>
      <w:r>
        <w:rPr>
          <w:rFonts w:ascii="Arial" w:cs="Arial" w:eastAsia="Arial" w:hAnsi="Arial"/>
          <w:sz w:val="22"/>
          <w:szCs w:val="22"/>
          <w:i w:val="1"/>
          <w:iCs w:val="1"/>
          <w:color w:val="47829E"/>
        </w:rPr>
        <w:t>(Item 5 on Proxy Card)</w:t>
      </w:r>
    </w:p>
    <w:p>
      <w:pPr>
        <w:sectPr>
          <w:pgSz w:w="11900" w:h="16838" w:orient="portrait"/>
          <w:cols w:equalWidth="0" w:num="1">
            <w:col w:w="11300"/>
          </w:cols>
          <w:pgMar w:left="240" w:top="318" w:right="35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General</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Board of Directors is requesting that shareholders vote in favor of the Martin Marietta Executive Cash Incentive Plan, which is set forth in its entirety as Appendix E (the “Incentive Plan”). In addition, approval of this proposal is intended to</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constitute approval of the material terms of the performance goals under the Incentive Plan for purposes of Section 162(m) of the Code.</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Incentive Plan is intended to provide annual cash-based incentive compensation to eligible employees of Martin</w:t>
      </w:r>
    </w:p>
    <w:p>
      <w:pPr>
        <w:spacing w:after="0" w:line="383" w:lineRule="exact"/>
        <w:rPr>
          <w:sz w:val="20"/>
          <w:szCs w:val="20"/>
          <w:color w:val="auto"/>
        </w:rPr>
      </w:pPr>
    </w:p>
    <w:p>
      <w:pPr>
        <w:sectPr>
          <w:pgSz w:w="11900" w:h="16838" w:orient="portrait"/>
          <w:cols w:equalWidth="0" w:num="2">
            <w:col w:w="5480" w:space="340"/>
            <w:col w:w="5480"/>
          </w:cols>
          <w:pgMar w:left="240" w:top="318" w:right="35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sz w:val="1"/>
          <w:szCs w:val="1"/>
          <w:color w:val="auto"/>
        </w:rPr>
        <w:drawing>
          <wp:inline distT="0" distB="0" distL="0" distR="0">
            <wp:extent cx="342900" cy="20574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300"/>
          </w:cols>
          <w:pgMar w:left="240" w:top="318" w:right="359" w:bottom="1440" w:gutter="0" w:footer="0" w:header="0"/>
          <w:type w:val="continuous"/>
        </w:sectPr>
      </w:pPr>
    </w:p>
    <w:bookmarkStart w:id="60" w:name="page61"/>
    <w:bookmarkEnd w:id="60"/>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Marietta in order to reward annual performance and achievement of strategic goals. The Board of Directors believes that our Incentive Plan is in the best interest of shareholders and Martin Marietta, as awards granted under the Incentive Plan help to attract, motivate, and retain talented employees; align employee and shareholder interests; and link employee compensation to Martin Marietta’s performance. In addition, shareholder approval of the Incentive Plan will permit Martin Marietta to grant awards intended to qualify as performance-based compensation deductible under Section 162(m) of the Code until its 2021 Annual Meeting of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Summary of Incentive Plan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is a summary of the terms of the Incentive Plan. This summary is qualified in its entirety by reference to the complete text of the Incentive Plan, which is attached as Appendix 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purpose of the Incentive Plan is to provide management employees of Martin Marietta with an incentive to accomplish business objectives that are determined by the Management Development and Compensation Committee (the “Committee”) to be in the best interests of Martin Marietta and its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Administration</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Incentive Plan and the awards granted under it are administered by the Committee. In the event the Management Development and Compensation Committee does not satisfy the requirements under Section 162(m) of the Code to grant Section 162(m) Awards (as defined below), then the Committee will be another committee of the Board of Directors that, unless otherwise determined by the Board of Directors, satisfies such requirements.</w:t>
      </w:r>
    </w:p>
    <w:p>
      <w:pPr>
        <w:spacing w:after="0" w:line="20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Committee, among other things, (i) determines the employees who will be eligible for and granted awards; (ii) determines the nature, amount, timing, and other terms of awards made to employees; and</w:t>
      </w:r>
    </w:p>
    <w:p>
      <w:pPr>
        <w:jc w:val="both"/>
        <w:ind w:firstLine="8"/>
        <w:spacing w:after="0" w:line="236" w:lineRule="auto"/>
        <w:tabs>
          <w:tab w:leader="none" w:pos="3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interprets and administers the Incentive Plan. All questions of interpretation with respect to the Incentive Plan and the terms of any award agreements will be determined by the Committee and its determination will be final and conclusive upon all parties in interest.</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may delegate its authority under the Incentive Plan, and actions taken by such delegate will have the same force and effect as actions taken by the Committee. However, any such delegation in connection with a Section 162(m) Award must be to a committee of the Board of Directors satisfying the requirements of Section 162(m) of the Code.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Termination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Board of Directors or the Committee may at any time amend or terminate the Incentive Plan, however, no award under the Incentive Plan will be adversely affected by such amendment or termination without the written consent of the award recipient.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Participants and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Any employee of Martin Marietta or its affiliates may receive an award under the Incentive Plan. Presently, there are approximately 60 individuals who may be eligible to participate in the Incentive Plan.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Awards</w:t>
      </w:r>
    </w:p>
    <w:p>
      <w:pPr>
        <w:spacing w:after="0" w:line="230"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The Committee may grant awards subject to the achievement of predetermined performance targets during a calendar year, however, in no event will the amount payable to any award recipient for any calendar year exceed $7.5 million. Any such performance targets will be determined by the Committee, however, awards intended to qualify as “performance-based” for purposes of Section 162(m) of the Code (“Section 162(m) Awards”) will include specified levels of one or more Quantitative Performance Standards: stock price (including return on shareholder’s equity or total shareholder return ),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Quantitative Performance Standards applicable to an award may provide for a targeted level or levels of achievement on a whole company basis or with respect to one or more businesses, business units, segments or subsidiaries, or on the basis of individual performance. Any Quantitative Performance Standards that are financial metrics may be determined in accordance with United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 operations; (ix) an event either not directly related to the operations of Martin Marietta or not within the reasonable control of management; (x) a change in the fiscal year of Martin Marietta; (xi) costs associated with refinancing or repurchase of bank loans or debt securities; (xii) unbudgeted capital expenditures; and (xiii) business interruption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61" w:name="page62"/>
    <w:bookmarkEnd w:id="61"/>
    <w:p>
      <w:pPr>
        <w:jc w:val="both"/>
        <w:spacing w:after="0" w:line="233" w:lineRule="auto"/>
        <w:rPr>
          <w:sz w:val="20"/>
          <w:szCs w:val="20"/>
          <w:color w:val="auto"/>
        </w:rPr>
      </w:pPr>
      <w:r>
        <w:rPr>
          <w:rFonts w:ascii="Arial" w:cs="Arial" w:eastAsia="Arial" w:hAnsi="Arial"/>
          <w:sz w:val="17"/>
          <w:szCs w:val="17"/>
          <w:color w:val="auto"/>
        </w:rPr>
        <w:t>In the case of a significant acquisition or divestiture, the relevant Quantitative Performance Standards will be adjusted by increasing or decreasing such goals in the same proportion as the relevant performance measure of Martin Marietta or the applicable division or business unit would have been affected for the prior performance measurement period on a pro forma basis had such event occurred on the same date during the prior performance measurement period. Such adjustment will be based on the appropriate historical equivalents of the relevant performance measures, further adjusted to reflect other aspects of the transaction that should be taken into account to ensure comparability between amounts.</w:t>
      </w:r>
    </w:p>
    <w:p>
      <w:pPr>
        <w:spacing w:after="0" w:line="16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Unless otherwise provided by the Committee, the target amount payable under an award will be expressed as a percentage of the award recipient’s base salary on the date of grant. The amount earned under an award, if any, will be determined only after the Committee certifies the extent to which the applicable performance targets have been satisfied and will be payable in either installments or a lump sum, as determined by the Committee. Notwithstanding the determination of the amount payable under an award, the Committee will have the discretion to reduce or eliminate such amount if it determines such reduction or elimination is in the best interests of Martin Marietta. Award recipients who are hired by Martin Marietta and its affiliates after the start of the applicable calendar year will receive a prorated payment in respect of their award.</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awards intended to qualify as Section 162(m) Awards, the Quantitative Performance Standards and the performance targets will be set within the time period prescribed by, and will otherwise comply with the requirements of, Section 162(m) of the Code. The Committee may decrease, but in no event increase, the amount payable in connection with a Section 162(m) Award for any reason.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and Termination of Employment</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the case of a transfer of employment of an award recipient between Martin Marietta and one of its affiliates, the Committee reserves the right to modify the calculation of the amount payable under an award in connection with the transfer, except in the case of a Section 162(m) Award. In general and unless otherwise provided by the Committee, the award will be bifurcated, with the portion of the amount payable under the award in respect of the period elapsed prior to the date of transfer being determined under the original terms of the award and the remaining portion being determined under the terms of the award as adjusted for the transfer.</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general and unless otherwise provided by the Committee, an employee must be a full-time employee of Martin Marietta or one of its affiliates on December 31 of the applicable calendar year to be eligible to receive payment under an award, and any termination of employment prior to such date will result in forfeiture of such employee’s award. However, in the event of</w:t>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Arial" w:cs="Arial" w:eastAsia="Arial" w:hAnsi="Arial"/>
          <w:sz w:val="17"/>
          <w:szCs w:val="17"/>
          <w:color w:val="auto"/>
        </w:rPr>
        <w:t>an employee’s death, retirement or termination of employment due to disability during the calendar year, the employee (or his or her estate) will receive a prorated amount under his or her award for such year. Such pro rated amount will be based on target performance under the award in the case of death and actual performance for the calendar year in the case of retirement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An award held by an award recipient will be cancelled if such recipient, without the consent of Martin Marietta, violates any policy relating to the recovery of compensation granted, paid, delivered, awarded, or otherwise provided to any award recipient as such policy is in effect on the date of grant of the applicable award or, to the extent necessary to address the requirements of applicable law. In addition, to the extent provided in any such policy, (i) an award recipient will forfeit any amount paid under an award if the recipient engages in any activity referred to in the preceding sentence, or (ii) an award recipient must repay to Martin Marietta the amount previously paid under any award (including a Section 162(m) Award) subject to performance requirements if a financial restatement reduces the amount that would have been earned under such award.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Income Tax Consequences</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following is a summary of the principal federal income tax consequences of awards that may be granted under the Incentive Plan under present tax law. This summary is not intended to be exhaustive and, among other things, does not describe state, local, or foreign tax consequences. The discussion of Martin Marietta tax deductions assumes that all awards are structured to comply with the “performance-based” compensation exception, or are otherwise deductible, under Section 162(m) of the Code.</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Upon receipt of the amount earned under an award, the award recipient will recognize ordinary income equal to the amount earned. Martin Marietta will then be entitled to a deduction in the same amount.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Benefits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benefits or amounts that individuals will receive in the future under the Incentive Plan are not determinable. In 2015, the named executive officers were granted awards as set forth in the Grants of Plan-Based Awards Table in 2015 and received payments under such awards as set forth in the Summary Compensation Table on pages 42 and 43 of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approval of the Incentive Plan requires the affirmative vote of a majority of the votes cast on the proposal at the Annual Meeting in person or by proxy.</w:t>
      </w:r>
    </w:p>
    <w:p>
      <w:pPr>
        <w:spacing w:after="0" w:line="200" w:lineRule="exact"/>
        <w:rPr>
          <w:sz w:val="20"/>
          <w:szCs w:val="20"/>
          <w:color w:val="auto"/>
        </w:rPr>
      </w:pPr>
    </w:p>
    <w:p>
      <w:pPr>
        <w:sectPr>
          <w:pgSz w:w="11900" w:h="16838" w:orient="portrait"/>
          <w:cols w:equalWidth="0" w:num="2">
            <w:col w:w="5480" w:space="340"/>
            <w:col w:w="5480"/>
          </w:cols>
          <w:pgMar w:left="240" w:top="336" w:right="359" w:bottom="1440" w:gutter="0" w:footer="0" w:header="0"/>
        </w:sectPr>
      </w:pP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THE BOARD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514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THE INCENTIVE PLAN AND THE</w:t>
      </w:r>
    </w:p>
    <w:p>
      <w:pPr>
        <w:jc w:val="center"/>
        <w:ind w:right="-119"/>
        <w:spacing w:after="0"/>
        <w:rPr>
          <w:sz w:val="20"/>
          <w:szCs w:val="20"/>
          <w:color w:val="auto"/>
        </w:rPr>
      </w:pPr>
      <w:r>
        <w:rPr>
          <w:rFonts w:ascii="Arial" w:cs="Arial" w:eastAsia="Arial" w:hAnsi="Arial"/>
          <w:sz w:val="21"/>
          <w:szCs w:val="21"/>
          <w:b w:val="1"/>
          <w:bCs w:val="1"/>
          <w:color w:val="auto"/>
        </w:rPr>
        <w:t>PERFORMANCE GOALS PROVIDED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58  </w:t>
      </w:r>
      <w:r>
        <w:rPr>
          <w:sz w:val="1"/>
          <w:szCs w:val="1"/>
          <w:color w:val="auto"/>
        </w:rPr>
        <w:drawing>
          <wp:inline distT="0" distB="0" distL="0" distR="0">
            <wp:extent cx="342900" cy="20574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300"/>
          </w:cols>
          <w:pgMar w:left="240" w:top="336" w:right="35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6</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47829E"/>
        </w:rPr>
        <w:t>ADVISORY VOTE ON THE COMPENSATION OF OUR</w:t>
      </w:r>
    </w:p>
    <w:p>
      <w:pPr>
        <w:jc w:val="center"/>
        <w:ind w:right="-19"/>
        <w:spacing w:after="0" w:line="232" w:lineRule="auto"/>
        <w:rPr>
          <w:sz w:val="20"/>
          <w:szCs w:val="20"/>
          <w:color w:val="auto"/>
        </w:rPr>
      </w:pPr>
      <w:r>
        <w:rPr>
          <w:rFonts w:ascii="Arial" w:cs="Arial" w:eastAsia="Arial" w:hAnsi="Arial"/>
          <w:sz w:val="22"/>
          <w:szCs w:val="22"/>
          <w:b w:val="1"/>
          <w:bCs w:val="1"/>
          <w:color w:val="47829E"/>
        </w:rPr>
        <w:t>NAMED EXECUTIVE OFFICERS</w:t>
      </w:r>
    </w:p>
    <w:p>
      <w:pPr>
        <w:jc w:val="center"/>
        <w:ind w:right="-19"/>
        <w:spacing w:after="0"/>
        <w:rPr>
          <w:sz w:val="20"/>
          <w:szCs w:val="20"/>
          <w:color w:val="auto"/>
        </w:rPr>
      </w:pPr>
      <w:r>
        <w:rPr>
          <w:rFonts w:ascii="Arial" w:cs="Arial" w:eastAsia="Arial" w:hAnsi="Arial"/>
          <w:sz w:val="22"/>
          <w:szCs w:val="22"/>
          <w:i w:val="1"/>
          <w:iCs w:val="1"/>
          <w:color w:val="47829E"/>
        </w:rPr>
        <w:t>(Item 6 on Proxy Card)</w:t>
      </w:r>
    </w:p>
    <w:p>
      <w:pPr>
        <w:sectPr>
          <w:pgSz w:w="11900" w:h="16838" w:orient="portrait"/>
          <w:cols w:equalWidth="0" w:num="1">
            <w:col w:w="11420"/>
          </w:cols>
          <w:pgMar w:left="240" w:top="256" w:right="239" w:bottom="1440" w:gutter="0" w:footer="0" w:header="0"/>
        </w:sectPr>
      </w:pPr>
    </w:p>
    <w:p>
      <w:pPr>
        <w:spacing w:after="0" w:line="28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204" w:lineRule="exact"/>
        <w:rPr>
          <w:sz w:val="20"/>
          <w:szCs w:val="20"/>
          <w:color w:val="auto"/>
        </w:rPr>
      </w:pPr>
    </w:p>
    <w:p>
      <w:pPr>
        <w:jc w:val="both"/>
        <w:ind w:left="700"/>
        <w:spacing w:after="0" w:line="235" w:lineRule="auto"/>
        <w:rPr>
          <w:sz w:val="20"/>
          <w:szCs w:val="20"/>
          <w:color w:val="auto"/>
        </w:rPr>
      </w:pPr>
      <w:r>
        <w:rPr>
          <w:rFonts w:ascii="Arial" w:cs="Arial" w:eastAsia="Arial" w:hAnsi="Arial"/>
          <w:sz w:val="17"/>
          <w:szCs w:val="17"/>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 xml:space="preserve">Shareholders are urged to read the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w:t>
      </w:r>
      <w:r>
        <w:rPr>
          <w:rFonts w:ascii="Arial" w:cs="Arial" w:eastAsia="Arial" w:hAnsi="Arial"/>
          <w:sz w:val="17"/>
          <w:szCs w:val="17"/>
          <w:color w:val="auto"/>
        </w:rPr>
        <w:t>and consider the various factors regarding compensation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2015 was appropriate and aligned with 2015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00"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600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THIS PROPOSAL</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Authorized for Issuance Under Equity Compensation Plans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following table shows information as of December 31, 2015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1420"/>
          </w:cols>
          <w:pgMar w:left="240" w:top="2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Plan Category</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Equity compensation plans approved by shareholders</w:t>
      </w:r>
    </w:p>
    <w:p>
      <w:pPr>
        <w:ind w:left="160"/>
        <w:spacing w:after="0" w:line="232" w:lineRule="auto"/>
        <w:rPr>
          <w:sz w:val="20"/>
          <w:szCs w:val="20"/>
          <w:color w:val="auto"/>
        </w:rPr>
      </w:pPr>
      <w:r>
        <w:rPr>
          <w:rFonts w:ascii="Arial" w:cs="Arial" w:eastAsia="Arial" w:hAnsi="Arial"/>
          <w:sz w:val="17"/>
          <w:szCs w:val="17"/>
          <w:color w:val="auto"/>
        </w:rPr>
        <w:t>Equity compensation plans not approved by</w:t>
      </w:r>
    </w:p>
    <w:p>
      <w:pPr>
        <w:ind w:left="160"/>
        <w:spacing w:after="0" w:line="232" w:lineRule="auto"/>
        <w:rPr>
          <w:sz w:val="20"/>
          <w:szCs w:val="20"/>
          <w:color w:val="auto"/>
        </w:rPr>
      </w:pPr>
      <w:r>
        <w:rPr>
          <w:rFonts w:ascii="Arial" w:cs="Arial" w:eastAsia="Arial" w:hAnsi="Arial"/>
          <w:sz w:val="17"/>
          <w:szCs w:val="17"/>
          <w:color w:val="auto"/>
        </w:rPr>
        <w:t>shareholders</w:t>
      </w:r>
    </w:p>
    <w:p>
      <w:pPr>
        <w:ind w:left="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7"/>
                <w:szCs w:val="17"/>
                <w:b w:val="1"/>
                <w:bCs w:val="1"/>
                <w:color w:val="FFFFFF"/>
              </w:rPr>
              <w:t>Number of securities remaining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w w:val="99"/>
              </w:rPr>
              <w:t>Number of securities to be</w:t>
            </w:r>
          </w:p>
        </w:tc>
        <w:tc>
          <w:tcPr>
            <w:tcW w:w="14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FFFFFF"/>
              </w:rPr>
              <w:t>Weighted-average</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available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issued upon exercise of</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right="315"/>
              <w:spacing w:after="0" w:line="189" w:lineRule="exact"/>
              <w:rPr>
                <w:sz w:val="20"/>
                <w:szCs w:val="20"/>
                <w:color w:val="auto"/>
              </w:rPr>
            </w:pPr>
            <w:r>
              <w:rPr>
                <w:rFonts w:ascii="Arial" w:cs="Arial" w:eastAsia="Arial" w:hAnsi="Arial"/>
                <w:sz w:val="17"/>
                <w:szCs w:val="17"/>
                <w:b w:val="1"/>
                <w:bCs w:val="1"/>
                <w:color w:val="FFFFFF"/>
                <w:w w:val="99"/>
              </w:rPr>
              <w:t>exercise</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for future issuance under 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outstanding</w:t>
            </w:r>
          </w:p>
        </w:tc>
        <w:tc>
          <w:tcPr>
            <w:tcW w:w="14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FFFFFF"/>
              </w:rPr>
              <w:t>price of outstanding</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compensation plans (excluding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options, warrants, and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right="335"/>
              <w:spacing w:after="0" w:line="189" w:lineRule="exact"/>
              <w:rPr>
                <w:sz w:val="20"/>
                <w:szCs w:val="20"/>
                <w:color w:val="auto"/>
              </w:rPr>
            </w:pPr>
            <w:r>
              <w:rPr>
                <w:rFonts w:ascii="Arial" w:cs="Arial" w:eastAsia="Arial" w:hAnsi="Arial"/>
                <w:sz w:val="17"/>
                <w:szCs w:val="17"/>
                <w:b w:val="1"/>
                <w:bCs w:val="1"/>
                <w:color w:val="FFFFFF"/>
                <w:w w:val="99"/>
              </w:rPr>
              <w:t>options,</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securities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w w:val="97"/>
              </w:rPr>
              <w:t>rights</w:t>
            </w:r>
          </w:p>
        </w:tc>
        <w:tc>
          <w:tcPr>
            <w:tcW w:w="14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FFFFFF"/>
              </w:rPr>
              <w:t>warrants, and rights</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reflected in column (a))</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7"/>
                <w:szCs w:val="17"/>
                <w:b w:val="1"/>
                <w:bCs w:val="1"/>
                <w:color w:val="FFFFFF"/>
              </w:rPr>
              <w:t>(a)</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center"/>
              <w:ind w:right="335"/>
              <w:spacing w:after="0"/>
              <w:rPr>
                <w:sz w:val="20"/>
                <w:szCs w:val="20"/>
                <w:color w:val="auto"/>
              </w:rPr>
            </w:pPr>
            <w:r>
              <w:rPr>
                <w:rFonts w:ascii="Arial" w:cs="Arial" w:eastAsia="Arial" w:hAnsi="Arial"/>
                <w:sz w:val="17"/>
                <w:szCs w:val="17"/>
                <w:b w:val="1"/>
                <w:bCs w:val="1"/>
                <w:color w:val="FFFFFF"/>
              </w:rPr>
              <w:t>(b)</w:t>
            </w:r>
            <w:r>
              <w:rPr>
                <w:rFonts w:ascii="Arial" w:cs="Arial" w:eastAsia="Arial" w:hAnsi="Arial"/>
                <w:sz w:val="14"/>
                <w:szCs w:val="14"/>
                <w:b w:val="1"/>
                <w:bCs w:val="1"/>
                <w:color w:val="FFFFFF"/>
              </w:rPr>
              <w:t>3</w:t>
            </w:r>
          </w:p>
        </w:tc>
        <w:tc>
          <w:tcPr>
            <w:tcW w:w="2680" w:type="dxa"/>
            <w:vAlign w:val="bottom"/>
          </w:tcPr>
          <w:p>
            <w:pPr>
              <w:jc w:val="center"/>
              <w:spacing w:after="0"/>
              <w:rPr>
                <w:sz w:val="20"/>
                <w:szCs w:val="20"/>
                <w:color w:val="auto"/>
              </w:rPr>
            </w:pPr>
            <w:r>
              <w:rPr>
                <w:rFonts w:ascii="Arial" w:cs="Arial" w:eastAsia="Arial" w:hAnsi="Arial"/>
                <w:sz w:val="17"/>
                <w:szCs w:val="17"/>
                <w:b w:val="1"/>
                <w:bCs w:val="1"/>
                <w:color w:val="FFFFFF"/>
              </w:rPr>
              <w:t>(c)</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160" w:type="dxa"/>
            <w:vAlign w:val="bottom"/>
          </w:tcPr>
          <w:p>
            <w:pPr>
              <w:jc w:val="right"/>
              <w:spacing w:after="0" w:line="142" w:lineRule="exact"/>
              <w:rPr>
                <w:sz w:val="20"/>
                <w:szCs w:val="20"/>
                <w:color w:val="auto"/>
              </w:rPr>
            </w:pPr>
            <w:r>
              <w:rPr>
                <w:rFonts w:ascii="Arial" w:cs="Arial" w:eastAsia="Arial" w:hAnsi="Arial"/>
                <w:sz w:val="16"/>
                <w:szCs w:val="16"/>
                <w:color w:val="auto"/>
              </w:rPr>
              <w:t>865,736</w:t>
            </w:r>
          </w:p>
        </w:tc>
        <w:tc>
          <w:tcPr>
            <w:tcW w:w="14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5"/>
                <w:szCs w:val="15"/>
                <w:color w:val="auto"/>
                <w:w w:val="71"/>
              </w:rPr>
              <w:t>1</w:t>
            </w:r>
          </w:p>
        </w:tc>
        <w:tc>
          <w:tcPr>
            <w:tcW w:w="340" w:type="dxa"/>
            <w:vAlign w:val="bottom"/>
          </w:tcPr>
          <w:p>
            <w:pPr>
              <w:jc w:val="right"/>
              <w:ind w:right="115"/>
              <w:spacing w:after="0" w:line="142" w:lineRule="exact"/>
              <w:rPr>
                <w:sz w:val="20"/>
                <w:szCs w:val="20"/>
                <w:color w:val="auto"/>
              </w:rPr>
            </w:pPr>
            <w:r>
              <w:rPr>
                <w:rFonts w:ascii="Arial" w:cs="Arial" w:eastAsia="Arial" w:hAnsi="Arial"/>
                <w:sz w:val="16"/>
                <w:szCs w:val="16"/>
                <w:color w:val="auto"/>
              </w:rPr>
              <w:t>$</w:t>
            </w:r>
          </w:p>
        </w:tc>
        <w:tc>
          <w:tcPr>
            <w:tcW w:w="1480" w:type="dxa"/>
            <w:vAlign w:val="bottom"/>
            <w:tcBorders>
              <w:right w:val="single" w:sz="8" w:color="47829E"/>
            </w:tcBorders>
          </w:tcPr>
          <w:p>
            <w:pPr>
              <w:jc w:val="right"/>
              <w:ind w:right="35"/>
              <w:spacing w:after="0" w:line="142" w:lineRule="exact"/>
              <w:rPr>
                <w:sz w:val="20"/>
                <w:szCs w:val="20"/>
                <w:color w:val="auto"/>
              </w:rPr>
            </w:pPr>
            <w:r>
              <w:rPr>
                <w:rFonts w:ascii="Arial" w:cs="Arial" w:eastAsia="Arial" w:hAnsi="Arial"/>
                <w:sz w:val="16"/>
                <w:szCs w:val="16"/>
                <w:color w:val="auto"/>
              </w:rPr>
              <w:t>106.23</w:t>
            </w:r>
          </w:p>
        </w:tc>
        <w:tc>
          <w:tcPr>
            <w:tcW w:w="2680" w:type="dxa"/>
            <w:vAlign w:val="bottom"/>
          </w:tcPr>
          <w:p>
            <w:pPr>
              <w:jc w:val="right"/>
              <w:spacing w:after="0" w:line="142" w:lineRule="exact"/>
              <w:rPr>
                <w:sz w:val="20"/>
                <w:szCs w:val="20"/>
                <w:color w:val="auto"/>
              </w:rPr>
            </w:pPr>
            <w:r>
              <w:rPr>
                <w:rFonts w:ascii="Arial" w:cs="Arial" w:eastAsia="Arial" w:hAnsi="Arial"/>
                <w:sz w:val="16"/>
                <w:szCs w:val="16"/>
                <w:color w:val="auto"/>
              </w:rPr>
              <w:t>599,797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4</w:t>
            </w:r>
          </w:p>
        </w:tc>
        <w:tc>
          <w:tcPr>
            <w:tcW w:w="0" w:type="dxa"/>
            <w:vAlign w:val="bottom"/>
          </w:tcPr>
          <w:p>
            <w:pPr>
              <w:spacing w:after="0"/>
              <w:rPr>
                <w:sz w:val="1"/>
                <w:szCs w:val="1"/>
                <w:color w:val="auto"/>
              </w:rPr>
            </w:pPr>
          </w:p>
        </w:tc>
      </w:tr>
      <w:tr>
        <w:trPr>
          <w:trHeight w:val="42"/>
        </w:trPr>
        <w:tc>
          <w:tcPr>
            <w:tcW w:w="2160" w:type="dxa"/>
            <w:vAlign w:val="bottom"/>
            <w:vMerge w:val="restart"/>
          </w:tcPr>
          <w:p>
            <w:pPr>
              <w:jc w:val="right"/>
              <w:spacing w:after="0"/>
              <w:rPr>
                <w:sz w:val="20"/>
                <w:szCs w:val="20"/>
                <w:color w:val="auto"/>
              </w:rPr>
            </w:pPr>
            <w:r>
              <w:rPr>
                <w:rFonts w:ascii="Arial" w:cs="Arial" w:eastAsia="Arial" w:hAnsi="Arial"/>
                <w:sz w:val="17"/>
                <w:szCs w:val="17"/>
                <w:color w:val="auto"/>
              </w:rPr>
              <w:t>182,786</w:t>
            </w:r>
          </w:p>
        </w:tc>
        <w:tc>
          <w:tcPr>
            <w:tcW w:w="140" w:type="dxa"/>
            <w:vAlign w:val="bottom"/>
            <w:tcBorders>
              <w:right w:val="single" w:sz="8" w:color="47829E"/>
            </w:tcBorders>
            <w:vMerge w:val="continue"/>
          </w:tcPr>
          <w:p>
            <w:pPr>
              <w:spacing w:after="0"/>
              <w:rPr>
                <w:sz w:val="3"/>
                <w:szCs w:val="3"/>
                <w:color w:val="auto"/>
              </w:rPr>
            </w:pPr>
          </w:p>
        </w:tc>
        <w:tc>
          <w:tcPr>
            <w:tcW w:w="34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480" w:type="dxa"/>
            <w:vAlign w:val="bottom"/>
            <w:tcBorders>
              <w:right w:val="single" w:sz="8" w:color="47829E"/>
            </w:tcBorders>
            <w:vMerge w:val="restart"/>
          </w:tcPr>
          <w:p>
            <w:pPr>
              <w:jc w:val="right"/>
              <w:ind w:right="35"/>
              <w:spacing w:after="0"/>
              <w:rPr>
                <w:sz w:val="20"/>
                <w:szCs w:val="20"/>
                <w:color w:val="auto"/>
              </w:rPr>
            </w:pPr>
            <w:r>
              <w:rPr>
                <w:rFonts w:ascii="Arial" w:cs="Arial" w:eastAsia="Arial" w:hAnsi="Arial"/>
                <w:sz w:val="17"/>
                <w:szCs w:val="17"/>
                <w:color w:val="auto"/>
              </w:rPr>
              <w:t>59.68</w:t>
            </w:r>
          </w:p>
        </w:tc>
        <w:tc>
          <w:tcPr>
            <w:tcW w:w="2680" w:type="dxa"/>
            <w:vAlign w:val="bottom"/>
            <w:vMerge w:val="restart"/>
          </w:tcPr>
          <w:p>
            <w:pPr>
              <w:jc w:val="right"/>
              <w:spacing w:after="0"/>
              <w:rPr>
                <w:sz w:val="20"/>
                <w:szCs w:val="20"/>
                <w:color w:val="auto"/>
              </w:rPr>
            </w:pPr>
            <w:r>
              <w:rPr>
                <w:rFonts w:ascii="Arial" w:cs="Arial" w:eastAsia="Arial" w:hAnsi="Arial"/>
                <w:sz w:val="17"/>
                <w:szCs w:val="17"/>
                <w:color w:val="auto"/>
              </w:rPr>
              <w:t>1,859,204</w:t>
            </w: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160" w:type="dxa"/>
            <w:vAlign w:val="bottom"/>
            <w:vMerge w:val="continue"/>
          </w:tcPr>
          <w:p>
            <w:pPr>
              <w:spacing w:after="0"/>
              <w:rPr>
                <w:sz w:val="21"/>
                <w:szCs w:val="21"/>
                <w:color w:val="auto"/>
              </w:rPr>
            </w:pPr>
          </w:p>
        </w:tc>
        <w:tc>
          <w:tcPr>
            <w:tcW w:w="14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5"/>
                <w:szCs w:val="15"/>
                <w:color w:val="auto"/>
                <w:w w:val="71"/>
              </w:rPr>
              <w:t>2</w:t>
            </w:r>
          </w:p>
        </w:tc>
        <w:tc>
          <w:tcPr>
            <w:tcW w:w="340" w:type="dxa"/>
            <w:vAlign w:val="bottom"/>
            <w:vMerge w:val="continue"/>
          </w:tcPr>
          <w:p>
            <w:pPr>
              <w:spacing w:after="0"/>
              <w:rPr>
                <w:sz w:val="21"/>
                <w:szCs w:val="21"/>
                <w:color w:val="auto"/>
              </w:rPr>
            </w:pPr>
          </w:p>
        </w:tc>
        <w:tc>
          <w:tcPr>
            <w:tcW w:w="1480" w:type="dxa"/>
            <w:vAlign w:val="bottom"/>
            <w:tcBorders>
              <w:right w:val="single" w:sz="8" w:color="47829E"/>
            </w:tcBorders>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140" w:type="dxa"/>
            <w:vAlign w:val="bottom"/>
            <w:tcBorders>
              <w:right w:val="single" w:sz="8" w:color="47829E"/>
            </w:tcBorders>
            <w:vMerge w:val="continue"/>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Borders>
              <w:right w:val="single" w:sz="8" w:color="47829E"/>
            </w:tcBorders>
          </w:tcPr>
          <w:p>
            <w:pPr>
              <w:spacing w:after="0"/>
              <w:rPr>
                <w:sz w:val="3"/>
                <w:szCs w:val="3"/>
                <w:color w:val="auto"/>
              </w:rPr>
            </w:pPr>
          </w:p>
        </w:tc>
        <w:tc>
          <w:tcPr>
            <w:tcW w:w="26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160" w:type="dxa"/>
            <w:vAlign w:val="bottom"/>
          </w:tcPr>
          <w:p>
            <w:pPr>
              <w:jc w:val="right"/>
              <w:spacing w:after="0"/>
              <w:rPr>
                <w:sz w:val="20"/>
                <w:szCs w:val="20"/>
                <w:color w:val="auto"/>
              </w:rPr>
            </w:pPr>
            <w:r>
              <w:rPr>
                <w:rFonts w:ascii="Arial" w:cs="Arial" w:eastAsia="Arial" w:hAnsi="Arial"/>
                <w:sz w:val="17"/>
                <w:szCs w:val="17"/>
                <w:color w:val="auto"/>
              </w:rPr>
              <w:t>1,048,522</w:t>
            </w:r>
          </w:p>
        </w:tc>
        <w:tc>
          <w:tcPr>
            <w:tcW w:w="140" w:type="dxa"/>
            <w:vAlign w:val="bottom"/>
            <w:tcBorders>
              <w:right w:val="single" w:sz="8" w:color="47829E"/>
            </w:tcBorders>
          </w:tcPr>
          <w:p>
            <w:pPr>
              <w:spacing w:after="0"/>
              <w:rPr>
                <w:sz w:val="24"/>
                <w:szCs w:val="24"/>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80" w:type="dxa"/>
            <w:vAlign w:val="bottom"/>
            <w:tcBorders>
              <w:right w:val="single" w:sz="8" w:color="47829E"/>
            </w:tcBorders>
          </w:tcPr>
          <w:p>
            <w:pPr>
              <w:jc w:val="right"/>
              <w:ind w:right="35"/>
              <w:spacing w:after="0"/>
              <w:rPr>
                <w:sz w:val="20"/>
                <w:szCs w:val="20"/>
                <w:color w:val="auto"/>
              </w:rPr>
            </w:pPr>
            <w:r>
              <w:rPr>
                <w:rFonts w:ascii="Arial" w:cs="Arial" w:eastAsia="Arial" w:hAnsi="Arial"/>
                <w:sz w:val="17"/>
                <w:szCs w:val="17"/>
                <w:color w:val="auto"/>
              </w:rPr>
              <w:t>94.90</w:t>
            </w:r>
          </w:p>
        </w:tc>
        <w:tc>
          <w:tcPr>
            <w:tcW w:w="2680" w:type="dxa"/>
            <w:vAlign w:val="bottom"/>
          </w:tcPr>
          <w:p>
            <w:pPr>
              <w:jc w:val="right"/>
              <w:spacing w:after="0"/>
              <w:rPr>
                <w:sz w:val="20"/>
                <w:szCs w:val="20"/>
                <w:color w:val="auto"/>
              </w:rPr>
            </w:pPr>
            <w:r>
              <w:rPr>
                <w:rFonts w:ascii="Arial" w:cs="Arial" w:eastAsia="Arial" w:hAnsi="Arial"/>
                <w:sz w:val="17"/>
                <w:szCs w:val="17"/>
                <w:color w:val="auto"/>
              </w:rPr>
              <w:t>2,459,001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-1345565</wp:posOffset>
            </wp:positionV>
            <wp:extent cx="7254875" cy="13462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134620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4240" w:space="100"/>
            <w:col w:w="7080"/>
          </w:cols>
          <w:pgMar w:left="240" w:top="256" w:right="239" w:bottom="1440" w:gutter="0" w:footer="0" w:header="0"/>
          <w:type w:val="continuous"/>
        </w:sectPr>
      </w:pPr>
    </w:p>
    <w:p>
      <w:pPr>
        <w:jc w:val="both"/>
        <w:ind w:left="340" w:hanging="332"/>
        <w:spacing w:after="0" w:line="226" w:lineRule="auto"/>
        <w:tabs>
          <w:tab w:leader="none" w:pos="34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Includes 509,917 stock options that have a weighted-average exercise price of $107.77; 287,750 restricted stock units that have a $0 exercise price; and 37,340 stock units granted in accordance with Martin Marietta’s Incentive Stock Plan that are credited to participants at an average weighted cost of $85.16.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28"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1"/>
          <w:szCs w:val="11"/>
          <w:color w:val="auto"/>
        </w:rPr>
      </w:pPr>
      <w:r>
        <w:rPr>
          <w:rFonts w:ascii="Arial" w:cs="Arial" w:eastAsia="Arial" w:hAnsi="Arial"/>
          <w:sz w:val="14"/>
          <w:szCs w:val="14"/>
          <w:color w:val="auto"/>
        </w:rPr>
        <w:t>Represents stock options and restricted stock units granted to legacy TXI employees and employees hired after July 1, 2014.</w:t>
      </w:r>
    </w:p>
    <w:p>
      <w:pPr>
        <w:spacing w:after="0" w:line="28"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1"/>
          <w:szCs w:val="11"/>
          <w:color w:val="auto"/>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28" w:lineRule="exact"/>
        <w:rPr>
          <w:sz w:val="20"/>
          <w:szCs w:val="20"/>
          <w:color w:val="auto"/>
        </w:rPr>
      </w:pPr>
    </w:p>
    <w:p>
      <w:pPr>
        <w:ind w:left="340" w:hanging="332"/>
        <w:spacing w:after="0" w:line="231" w:lineRule="auto"/>
        <w:tabs>
          <w:tab w:leader="none" w:pos="340" w:val="left"/>
        </w:tabs>
        <w:numPr>
          <w:ilvl w:val="0"/>
          <w:numId w:val="107"/>
        </w:numPr>
        <w:rPr>
          <w:rFonts w:ascii="Arial" w:cs="Arial" w:eastAsia="Arial" w:hAnsi="Arial"/>
          <w:sz w:val="11"/>
          <w:szCs w:val="11"/>
          <w:color w:val="auto"/>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2015 in the following amounts: Directors’ Plan (152,419 shares), Stock-Based Award Plan (239,403 shares), and Shareholder Value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63" w:name="page64"/>
    <w:bookmarkEnd w:id="63"/>
    <w:p>
      <w:pPr>
        <w:jc w:val="both"/>
        <w:ind w:left="340"/>
        <w:spacing w:after="0" w:line="22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Achievement Plan (207,975 shares). Also excludes Texas Industries Inc. stock-based award plans (1,859,204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27"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1"/>
          <w:szCs w:val="11"/>
          <w:color w:val="auto"/>
        </w:rPr>
      </w:pPr>
      <w:r>
        <w:rPr>
          <w:rFonts w:ascii="Arial" w:cs="Arial" w:eastAsia="Arial" w:hAnsi="Arial"/>
          <w:sz w:val="14"/>
          <w:szCs w:val="14"/>
          <w:color w:val="auto"/>
        </w:rPr>
        <w:t>Represents shares of Martin Marietta’s common stock available for issuance to legacy TXI employees.</w:t>
      </w:r>
    </w:p>
    <w:p>
      <w:pPr>
        <w:sectPr>
          <w:pgSz w:w="11900" w:h="16838" w:orient="portrait"/>
          <w:cols w:equalWidth="0" w:num="1">
            <w:col w:w="11420"/>
          </w:cols>
          <w:pgMar w:left="240" w:top="287" w:right="239" w:bottom="1440" w:gutter="0" w:footer="0" w:header="0"/>
        </w:sectPr>
      </w:pPr>
    </w:p>
    <w:p>
      <w:pPr>
        <w:spacing w:after="0" w:line="2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July 1, 2014, in conjunction with the merger of Texas Industries, Inc. (TXI) into a wholly-owned subsidiary of Martin Marietta, the Company assumed the TXI Legacy Plan and TXI’s Management Deferred Compensation Plan (the TXI DC Plan) and shares available for future issuance under the TXI Legacy Plan and the TXI DC Plan following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TXI Legacy Plan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TXI Legacy Plan became effective as of July 11, 2012 and will terminate on July 11, 2022 unless sooner terminated. All legacy employees of TXI and its affiliates and subsidiaries are eligible to receive awards.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Management Development and Compensation Committee (the Committee) may grant incentive stock options and non-qualified stock options and stock appreciation rights (either alone or in tandem with options) under the TXI Legacy Plan. These awards may have terms of up to ten years from the date of grant. The Committee may award restricted stock and restricted stock units, subject to such vesting schedules, limitations on transfer and other restrictions as the Committee may determine. The Committee may award performance units and performance shares to participants under the TXI Legacy Plan. Performance units have an initial value determined by the Committee, while performance shares will have an initial value based on the fair market value of the stock on the date of grant. Such awards will be earned only if performance goals over performance periods established by or under the direction of the Committee are met.</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Subject to the terms of the TXI Legacy Plan, the Committee may grant other equity-based awards on such terms as it may determine. The Committee may establish performance goals in its discretion. Such awards may involve the transfer of actual shares to participants or the payment in cash or otherwise of amounts based on the value of shares.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If Martin Marietta is dissolved or liquidated, or if substantially all of its assets are sold or there is a merger or consolidation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Deferred Compensation Plan</w:t>
      </w:r>
    </w:p>
    <w:p>
      <w:pPr>
        <w:spacing w:after="0" w:line="23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TXI DC Plan became effective as of July 11, 2012 and will terminate on July 11, 2022 unless sooner terminated. Key management legacy employees of TXI, its subsidiaries and its affiliates are eligible to participate in the TXI DC Plan. Under the terms of the TXI DC Plan, participants may elect each year to defer all or a portion of their eligible compensation received during that year.</w:t>
      </w:r>
    </w:p>
    <w:p>
      <w:pPr>
        <w:spacing w:after="0" w:line="202"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In lieu of receiving the compensation being deferred, participants will be awarded restricted stock units. At the discretion of the Committee, a participant may be entitled to receive dividend equivalents with respect to dividends declared on shares of common stock. The Committee may determine that additional awards of matching restricted stock units will be made to participants and the rate at which matching restricted stock units will be awarded. The matching restricted stock units will have the same deferral period and forfeiture and cancelation provisions as the restricted stock units that are being matched, except that matching restricted stock units may vest in accordance with such schedule as the Committee may determine.</w:t>
      </w:r>
    </w:p>
    <w:p>
      <w:pPr>
        <w:spacing w:after="0" w:line="208"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611" w:lineRule="exact"/>
        <w:rPr>
          <w:sz w:val="20"/>
          <w:szCs w:val="20"/>
          <w:color w:val="auto"/>
        </w:rPr>
      </w:pPr>
    </w:p>
    <w:p>
      <w:pPr>
        <w:sectPr>
          <w:pgSz w:w="11900" w:h="16838" w:orient="portrait"/>
          <w:cols w:equalWidth="0" w:num="2">
            <w:col w:w="5480" w:space="340"/>
            <w:col w:w="5600"/>
          </w:cols>
          <w:pgMar w:left="240" w:top="287" w:right="2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  </w:t>
      </w:r>
      <w:r>
        <w:rPr>
          <w:sz w:val="1"/>
          <w:szCs w:val="1"/>
          <w:color w:val="auto"/>
        </w:rPr>
        <w:drawing>
          <wp:inline distT="0" distB="0" distL="0" distR="0">
            <wp:extent cx="342900" cy="2057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87"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Audit Committee Report beginning on page 25 and the Management Development and Compensation Committee Report beginning on page 26 do not constitute soliciting material and should not be deemed filed or incorporated by reference into any other filing by Martin Marietta under the 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SHAREHOLDERS’ PROPOSALS FOR 2017 ANNUAL MEETING</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Proposals by shareholders intended to be presented at the 2017 Annual Meeting of Shareholders of Martin Marietta must be received by the Secretary of Martin Marietta no later than December 24, 2016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2017 Annual Meeting of Shareholders, proposals must be received by the Secretary of Martin Marietta no earlier than January 20, 2017 and no later than February 19, 2017.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186"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MARTIN MARIETTA MATERIALS,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April 20, 2016</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MARTIN MARIETTA</w:t>
      </w:r>
    </w:p>
    <w:p>
      <w:pPr>
        <w:jc w:val="center"/>
        <w:spacing w:after="0"/>
        <w:rPr>
          <w:sz w:val="20"/>
          <w:szCs w:val="20"/>
          <w:color w:val="auto"/>
        </w:rPr>
      </w:pPr>
      <w:r>
        <w:rPr>
          <w:rFonts w:ascii="Arial" w:cs="Arial" w:eastAsia="Arial" w:hAnsi="Arial"/>
          <w:sz w:val="21"/>
          <w:szCs w:val="21"/>
          <w:b w:val="1"/>
          <w:bCs w:val="1"/>
          <w:color w:val="47829E"/>
        </w:rPr>
        <w:t>GUIDELINES FOR POTENTIAL NEW BOARD MEMBERS</w:t>
      </w:r>
    </w:p>
    <w:p>
      <w:pPr>
        <w:sectPr>
          <w:pgSz w:w="11900" w:h="16838" w:orient="portrait"/>
          <w:cols w:equalWidth="0" w:num="1">
            <w:col w:w="11420"/>
          </w:cols>
          <w:pgMar w:left="240" w:top="256" w:right="239" w:bottom="1440" w:gutter="0" w:footer="0" w:header="0"/>
        </w:sectPr>
      </w:pPr>
    </w:p>
    <w:p>
      <w:pPr>
        <w:spacing w:after="0" w:line="2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u w:val="single" w:color="auto"/>
          <w:color w:val="auto"/>
        </w:rPr>
        <w:t>Preamble</w:t>
      </w:r>
      <w:r>
        <w:rPr>
          <w:rFonts w:ascii="Arial" w:cs="Arial" w:eastAsia="Arial" w:hAnsi="Arial"/>
          <w:sz w:val="17"/>
          <w:szCs w:val="17"/>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7" w:lineRule="exact"/>
        <w:rPr>
          <w:sz w:val="20"/>
          <w:szCs w:val="20"/>
          <w:color w:val="auto"/>
        </w:rPr>
      </w:pPr>
    </w:p>
    <w:p>
      <w:pPr>
        <w:ind w:left="340" w:hanging="237"/>
        <w:spacing w:after="0" w:line="243"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Candidates should have a long-term history of the highest integrity and should ascribe fully to the ethics program of Martin Marietta.</w:t>
      </w:r>
    </w:p>
    <w:p>
      <w:pPr>
        <w:spacing w:after="0" w:line="103" w:lineRule="exact"/>
        <w:rPr>
          <w:rFonts w:ascii="Arial" w:cs="Arial" w:eastAsia="Arial" w:hAnsi="Arial"/>
          <w:sz w:val="17"/>
          <w:szCs w:val="17"/>
          <w:color w:val="auto"/>
        </w:rPr>
      </w:pPr>
    </w:p>
    <w:p>
      <w:pPr>
        <w:jc w:val="both"/>
        <w:ind w:left="340" w:hanging="237"/>
        <w:spacing w:after="0" w:line="238"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Candidates should be experienced, seasoned and have mature business judgment. It would be desirable if they are still active in their careers.</w:t>
      </w:r>
    </w:p>
    <w:p>
      <w:pPr>
        <w:spacing w:after="0" w:line="107" w:lineRule="exact"/>
        <w:rPr>
          <w:rFonts w:ascii="Arial" w:cs="Arial" w:eastAsia="Arial" w:hAnsi="Arial"/>
          <w:sz w:val="17"/>
          <w:szCs w:val="17"/>
          <w:color w:val="auto"/>
        </w:rPr>
      </w:pPr>
    </w:p>
    <w:p>
      <w:pPr>
        <w:ind w:left="340" w:hanging="237"/>
        <w:spacing w:after="0" w:line="243"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Consideration should be given to matching the geographic base of the candidate with the geographic coverage of Martin Marietta.</w:t>
      </w:r>
    </w:p>
    <w:p>
      <w:pPr>
        <w:spacing w:after="0" w:line="103" w:lineRule="exact"/>
        <w:rPr>
          <w:rFonts w:ascii="Arial" w:cs="Arial" w:eastAsia="Arial" w:hAnsi="Arial"/>
          <w:sz w:val="17"/>
          <w:szCs w:val="17"/>
          <w:color w:val="auto"/>
        </w:rPr>
      </w:pPr>
    </w:p>
    <w:p>
      <w:pPr>
        <w:jc w:val="both"/>
        <w:ind w:left="340" w:hanging="237"/>
        <w:spacing w:after="0" w:line="236"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ind w:left="340" w:right="120" w:hanging="237"/>
        <w:spacing w:after="0" w:line="23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Generally, candidates should not come from firms or companies that are significant sellers or buyers of goods and services to or from Martin Marietta.</w:t>
      </w:r>
    </w:p>
    <w:p>
      <w:pPr>
        <w:spacing w:after="0" w:line="107" w:lineRule="exact"/>
        <w:rPr>
          <w:rFonts w:ascii="Arial" w:cs="Arial" w:eastAsia="Arial" w:hAnsi="Arial"/>
          <w:sz w:val="17"/>
          <w:szCs w:val="17"/>
          <w:color w:val="auto"/>
        </w:rPr>
      </w:pPr>
    </w:p>
    <w:p>
      <w:pPr>
        <w:jc w:val="both"/>
        <w:ind w:left="340" w:right="120" w:hanging="237"/>
        <w:spacing w:after="0" w:line="235"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jc w:val="both"/>
        <w:ind w:left="340" w:right="120" w:hanging="237"/>
        <w:spacing w:after="0" w:line="234"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10" w:lineRule="exact"/>
        <w:rPr>
          <w:rFonts w:ascii="Arial" w:cs="Arial" w:eastAsia="Arial" w:hAnsi="Arial"/>
          <w:sz w:val="17"/>
          <w:szCs w:val="17"/>
          <w:color w:val="auto"/>
        </w:rPr>
      </w:pPr>
    </w:p>
    <w:p>
      <w:pPr>
        <w:jc w:val="both"/>
        <w:ind w:left="340" w:right="120" w:hanging="237"/>
        <w:spacing w:after="0" w:line="235"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107" w:lineRule="exact"/>
        <w:rPr>
          <w:rFonts w:ascii="Arial" w:cs="Arial" w:eastAsia="Arial" w:hAnsi="Arial"/>
          <w:sz w:val="17"/>
          <w:szCs w:val="17"/>
          <w:color w:val="auto"/>
        </w:rPr>
      </w:pPr>
    </w:p>
    <w:p>
      <w:pPr>
        <w:ind w:left="340" w:hanging="237"/>
        <w:spacing w:after="0"/>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Public company experience is highly desirable.</w:t>
      </w:r>
    </w:p>
    <w:p>
      <w:pPr>
        <w:spacing w:after="0" w:line="115" w:lineRule="exact"/>
        <w:rPr>
          <w:rFonts w:ascii="Arial" w:cs="Arial" w:eastAsia="Arial" w:hAnsi="Arial"/>
          <w:sz w:val="17"/>
          <w:szCs w:val="17"/>
          <w:color w:val="auto"/>
        </w:rPr>
      </w:pPr>
    </w:p>
    <w:p>
      <w:pPr>
        <w:jc w:val="both"/>
        <w:ind w:left="340" w:right="120" w:hanging="332"/>
        <w:spacing w:after="0" w:line="23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Candidates from education or nonprofit organizations will be considered where there is a specific priority need identified by the Board and where such a candidate can add value.</w:t>
      </w:r>
    </w:p>
    <w:p>
      <w:pPr>
        <w:spacing w:after="0" w:line="107" w:lineRule="exact"/>
        <w:rPr>
          <w:rFonts w:ascii="Arial" w:cs="Arial" w:eastAsia="Arial" w:hAnsi="Arial"/>
          <w:sz w:val="17"/>
          <w:szCs w:val="17"/>
          <w:color w:val="auto"/>
        </w:rPr>
      </w:pPr>
    </w:p>
    <w:p>
      <w:pPr>
        <w:jc w:val="both"/>
        <w:ind w:left="340" w:right="120" w:hanging="332"/>
        <w:spacing w:after="0" w:line="23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Board candidates ideally would serve on no more than three for-profit boards inclusive of Martin Marietta Materials to assure adequate time to discharge the duties of a Board member.</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-107950</wp:posOffset>
            </wp:positionV>
            <wp:extent cx="34290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256" w:right="239" w:bottom="1440" w:gutter="0" w:footer="0" w:header="0"/>
          <w:type w:val="continuous"/>
        </w:sectPr>
      </w:pPr>
    </w:p>
    <w:bookmarkStart w:id="66" w:name="page67"/>
    <w:bookmarkEnd w:id="66"/>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47829E"/>
        </w:rPr>
        <w:t>RECONCILIATION OF NON-GAAP MEASURES</w:t>
      </w:r>
    </w:p>
    <w:p>
      <w:pPr>
        <w:spacing w:after="0" w:line="20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Gross margin as a percentage of net sales represents a non-GAAP measure. The Company presents this ratio based on net sales, as it is consistent with the basis by which management reviews the Company’s operating results. Management believes it is consistent with the basis by which investors analyze the Company’s operating results given that freight and delivery revenues and costs represent pass-throughs and have no profit mark-up. Gross margin calculated as percentages of total revenues represents the most directly comparable financial measure calculated in accordance with generally accepted accounting principles (GAAP).</w:t>
      </w:r>
    </w:p>
    <w:p>
      <w:pPr>
        <w:spacing w:after="0" w:line="204"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EBITDA is a widely accepted financial indicator of a company’s ability to service and/or incur indebtedness. EBITDA is not defined by GAAP and, as such, should not be construed as an alternative to net earnings or operating cash flow.</w:t>
      </w:r>
    </w:p>
    <w:p>
      <w:pPr>
        <w:spacing w:after="0" w:line="19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Adjusted earnings per diluted share (“Adjusted EPS”) for the year ended December 31, 2015, is a non-GAAP measure that excludes the impact of TXI acquisition-related expenses, net, and the impact of the write-up of acquired inventory to fair value. The Company presents this measure to allow investors to analyze and forecast the Company’s operating results given that these costs are nonrecurring.</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following presents (i) the calculations of gross margin for the years ended December 31, 2015 and 2014 in accordance with GAAP and reconciliations of the ratios as percentages of total revenues to percentages of net sales; (ii) a reconciliation of net earnings attributable to Martin Marietta to consolidated EBITDA for the years ended December 31, 2015 and 2014; and (iii) the reconciliation of earnings per diluted share to Adjusted EPS for the year ended December 31, 2015.</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7340" w:type="dxa"/>
            <w:vAlign w:val="bottom"/>
          </w:tcPr>
          <w:p>
            <w:pPr>
              <w:spacing w:after="0"/>
              <w:rPr>
                <w:sz w:val="20"/>
                <w:szCs w:val="20"/>
                <w:color w:val="auto"/>
              </w:rPr>
            </w:pPr>
            <w:r>
              <w:rPr>
                <w:rFonts w:ascii="Arial" w:cs="Arial" w:eastAsia="Arial" w:hAnsi="Arial"/>
                <w:sz w:val="17"/>
                <w:szCs w:val="17"/>
                <w:color w:val="auto"/>
              </w:rPr>
              <w:t>(in all tables, dollars, other than per share amounts, in thousands)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340" w:type="dxa"/>
            <w:vAlign w:val="bottom"/>
          </w:tcPr>
          <w:p>
            <w:pPr>
              <w:spacing w:after="0"/>
              <w:rPr>
                <w:sz w:val="20"/>
                <w:szCs w:val="20"/>
                <w:color w:val="auto"/>
              </w:rPr>
            </w:pPr>
            <w:r>
              <w:rPr>
                <w:rFonts w:ascii="Arial" w:cs="Arial" w:eastAsia="Arial" w:hAnsi="Arial"/>
                <w:sz w:val="17"/>
                <w:szCs w:val="17"/>
                <w:b w:val="1"/>
                <w:bCs w:val="1"/>
                <w:color w:val="auto"/>
              </w:rPr>
              <w:t>Consolidated Gross Margin in Accordance with GAAP for years ended December 31: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Borders>
              <w:left w:val="single" w:sz="8" w:color="47829E"/>
              <w:right w:val="single" w:sz="8" w:color="47829E"/>
            </w:tcBorders>
            <w:shd w:val="clear" w:color="auto" w:fill="47829E"/>
          </w:tcPr>
          <w:p>
            <w:pPr>
              <w:spacing w:after="0"/>
              <w:rPr>
                <w:sz w:val="19"/>
                <w:szCs w:val="19"/>
                <w:color w:val="auto"/>
              </w:rPr>
            </w:pPr>
          </w:p>
        </w:tc>
        <w:tc>
          <w:tcPr>
            <w:tcW w:w="480" w:type="dxa"/>
            <w:vAlign w:val="bottom"/>
            <w:shd w:val="clear" w:color="auto" w:fill="47829E"/>
          </w:tcPr>
          <w:p>
            <w:pPr>
              <w:spacing w:after="0"/>
              <w:rPr>
                <w:sz w:val="19"/>
                <w:szCs w:val="19"/>
                <w:color w:val="auto"/>
              </w:rPr>
            </w:pPr>
          </w:p>
        </w:tc>
        <w:tc>
          <w:tcPr>
            <w:tcW w:w="280" w:type="dxa"/>
            <w:vAlign w:val="bottom"/>
            <w:shd w:val="clear" w:color="auto" w:fill="47829E"/>
          </w:tcPr>
          <w:p>
            <w:pPr>
              <w:spacing w:after="0"/>
              <w:rPr>
                <w:sz w:val="19"/>
                <w:szCs w:val="19"/>
                <w:color w:val="auto"/>
              </w:rPr>
            </w:pPr>
          </w:p>
        </w:tc>
        <w:tc>
          <w:tcPr>
            <w:tcW w:w="100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19"/>
                <w:szCs w:val="19"/>
                <w:color w:val="auto"/>
              </w:rPr>
            </w:pPr>
          </w:p>
        </w:tc>
        <w:tc>
          <w:tcPr>
            <w:tcW w:w="460" w:type="dxa"/>
            <w:vAlign w:val="bottom"/>
            <w:shd w:val="clear" w:color="auto" w:fill="47829E"/>
          </w:tcPr>
          <w:p>
            <w:pPr>
              <w:spacing w:after="0"/>
              <w:rPr>
                <w:sz w:val="19"/>
                <w:szCs w:val="19"/>
                <w:color w:val="auto"/>
              </w:rPr>
            </w:pPr>
          </w:p>
        </w:tc>
        <w:tc>
          <w:tcPr>
            <w:tcW w:w="300" w:type="dxa"/>
            <w:vAlign w:val="bottom"/>
            <w:shd w:val="clear" w:color="auto" w:fill="47829E"/>
          </w:tcPr>
          <w:p>
            <w:pPr>
              <w:spacing w:after="0"/>
              <w:rPr>
                <w:sz w:val="19"/>
                <w:szCs w:val="19"/>
                <w:color w:val="auto"/>
              </w:rPr>
            </w:pPr>
          </w:p>
        </w:tc>
        <w:tc>
          <w:tcPr>
            <w:tcW w:w="980" w:type="dxa"/>
            <w:vAlign w:val="bottom"/>
            <w:shd w:val="clear" w:color="auto" w:fill="47829E"/>
          </w:tcPr>
          <w:p>
            <w:pPr>
              <w:jc w:val="right"/>
              <w:ind w:right="33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340" w:type="dxa"/>
            <w:vAlign w:val="bottom"/>
            <w:tcBorders>
              <w:left w:val="single" w:sz="8" w:color="47829E"/>
              <w:right w:val="single" w:sz="8" w:color="47829E"/>
            </w:tcBorders>
            <w:shd w:val="clear" w:color="auto" w:fill="47829E"/>
          </w:tcPr>
          <w:p>
            <w:pPr>
              <w:spacing w:after="0"/>
              <w:rPr>
                <w:sz w:val="14"/>
                <w:szCs w:val="14"/>
                <w:color w:val="auto"/>
              </w:rPr>
            </w:pPr>
          </w:p>
        </w:tc>
        <w:tc>
          <w:tcPr>
            <w:tcW w:w="760" w:type="dxa"/>
            <w:vAlign w:val="bottom"/>
            <w:gridSpan w:val="2"/>
            <w:shd w:val="clear" w:color="auto" w:fill="47829E"/>
          </w:tcPr>
          <w:p>
            <w:pPr>
              <w:spacing w:after="0"/>
              <w:rPr>
                <w:sz w:val="14"/>
                <w:szCs w:val="14"/>
                <w:color w:val="auto"/>
              </w:rPr>
            </w:pPr>
          </w:p>
        </w:tc>
        <w:tc>
          <w:tcPr>
            <w:tcW w:w="1220" w:type="dxa"/>
            <w:vAlign w:val="bottom"/>
            <w:tcBorders>
              <w:right w:val="single" w:sz="8" w:color="47829E"/>
            </w:tcBorders>
            <w:gridSpan w:val="2"/>
            <w:shd w:val="clear" w:color="auto" w:fill="47829E"/>
          </w:tcPr>
          <w:p>
            <w:pPr>
              <w:spacing w:after="0"/>
              <w:rPr>
                <w:sz w:val="14"/>
                <w:szCs w:val="14"/>
                <w:color w:val="auto"/>
              </w:rPr>
            </w:pPr>
          </w:p>
        </w:tc>
        <w:tc>
          <w:tcPr>
            <w:tcW w:w="760" w:type="dxa"/>
            <w:vAlign w:val="bottom"/>
            <w:gridSpan w:val="2"/>
            <w:shd w:val="clear" w:color="auto" w:fill="47829E"/>
          </w:tcPr>
          <w:p>
            <w:pPr>
              <w:spacing w:after="0"/>
              <w:rPr>
                <w:sz w:val="14"/>
                <w:szCs w:val="14"/>
                <w:color w:val="auto"/>
              </w:rPr>
            </w:pPr>
          </w:p>
        </w:tc>
        <w:tc>
          <w:tcPr>
            <w:tcW w:w="1360" w:type="dxa"/>
            <w:vAlign w:val="bottom"/>
            <w:tcBorders>
              <w:right w:val="single" w:sz="8" w:color="47829E"/>
            </w:tcBorders>
            <w:gridSpan w:val="2"/>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Gross profit</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721,767</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tcPr>
          <w:p>
            <w:pPr>
              <w:jc w:val="right"/>
              <w:ind w:right="380"/>
              <w:spacing w:after="0" w:line="189" w:lineRule="exact"/>
              <w:rPr>
                <w:sz w:val="20"/>
                <w:szCs w:val="20"/>
                <w:color w:val="auto"/>
              </w:rPr>
            </w:pPr>
            <w:r>
              <w:rPr>
                <w:rFonts w:ascii="Arial" w:cs="Arial" w:eastAsia="Arial" w:hAnsi="Arial"/>
                <w:sz w:val="17"/>
                <w:szCs w:val="17"/>
                <w:color w:val="auto"/>
              </w:rPr>
              <w:t>522,360</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4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7"/>
                <w:szCs w:val="17"/>
                <w:color w:val="auto"/>
              </w:rPr>
              <w:t>Total revenues</w:t>
            </w:r>
          </w:p>
        </w:tc>
        <w:tc>
          <w:tcPr>
            <w:tcW w:w="760" w:type="dxa"/>
            <w:vAlign w:val="bottom"/>
            <w:gridSpan w:val="2"/>
            <w:shd w:val="clear" w:color="auto" w:fill="DAE6EB"/>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rPr>
                <w:sz w:val="20"/>
                <w:szCs w:val="20"/>
                <w:color w:val="auto"/>
              </w:rPr>
            </w:pPr>
            <w:r>
              <w:rPr>
                <w:rFonts w:ascii="Arial" w:cs="Arial" w:eastAsia="Arial" w:hAnsi="Arial"/>
                <w:sz w:val="17"/>
                <w:szCs w:val="17"/>
                <w:color w:val="auto"/>
              </w:rPr>
              <w:t>3,539,570</w:t>
            </w:r>
          </w:p>
        </w:tc>
        <w:tc>
          <w:tcPr>
            <w:tcW w:w="760" w:type="dxa"/>
            <w:vAlign w:val="bottom"/>
            <w:gridSpan w:val="2"/>
            <w:shd w:val="clear" w:color="auto" w:fill="DAE6EB"/>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rPr>
                <w:sz w:val="20"/>
                <w:szCs w:val="20"/>
                <w:color w:val="auto"/>
              </w:rPr>
            </w:pPr>
            <w:r>
              <w:rPr>
                <w:rFonts w:ascii="Arial" w:cs="Arial" w:eastAsia="Arial" w:hAnsi="Arial"/>
                <w:sz w:val="17"/>
                <w:szCs w:val="17"/>
                <w:color w:val="auto"/>
              </w:rPr>
              <w:t>2,957,951</w:t>
            </w:r>
          </w:p>
        </w:tc>
        <w:tc>
          <w:tcPr>
            <w:tcW w:w="0" w:type="dxa"/>
            <w:vAlign w:val="bottom"/>
          </w:tcPr>
          <w:p>
            <w:pPr>
              <w:spacing w:after="0"/>
              <w:rPr>
                <w:sz w:val="1"/>
                <w:szCs w:val="1"/>
                <w:color w:val="auto"/>
              </w:rPr>
            </w:pPr>
          </w:p>
        </w:tc>
      </w:tr>
      <w:tr>
        <w:trPr>
          <w:trHeight w:val="79"/>
        </w:trPr>
        <w:tc>
          <w:tcPr>
            <w:tcW w:w="7340" w:type="dxa"/>
            <w:vAlign w:val="bottom"/>
            <w:tcBorders>
              <w:left w:val="single" w:sz="8" w:color="47829E"/>
              <w:right w:val="single" w:sz="8" w:color="47829E"/>
            </w:tcBorders>
            <w:shd w:val="clear" w:color="auto" w:fill="DAE6EB"/>
          </w:tcPr>
          <w:p>
            <w:pPr>
              <w:spacing w:after="0"/>
              <w:rPr>
                <w:sz w:val="6"/>
                <w:szCs w:val="6"/>
                <w:color w:val="auto"/>
              </w:rPr>
            </w:pPr>
          </w:p>
        </w:tc>
        <w:tc>
          <w:tcPr>
            <w:tcW w:w="480" w:type="dxa"/>
            <w:vAlign w:val="bottom"/>
            <w:shd w:val="clear" w:color="auto" w:fill="DAE6EB"/>
          </w:tcPr>
          <w:p>
            <w:pPr>
              <w:spacing w:after="0"/>
              <w:rPr>
                <w:sz w:val="6"/>
                <w:szCs w:val="6"/>
                <w:color w:val="auto"/>
              </w:rPr>
            </w:pPr>
          </w:p>
        </w:tc>
        <w:tc>
          <w:tcPr>
            <w:tcW w:w="280" w:type="dxa"/>
            <w:vAlign w:val="bottom"/>
            <w:tcBorders>
              <w:bottom w:val="single" w:sz="8" w:color="auto"/>
            </w:tcBorders>
            <w:shd w:val="clear" w:color="auto" w:fill="DAE6EB"/>
          </w:tcPr>
          <w:p>
            <w:pPr>
              <w:spacing w:after="0"/>
              <w:rPr>
                <w:sz w:val="6"/>
                <w:szCs w:val="6"/>
                <w:color w:val="auto"/>
              </w:rPr>
            </w:pPr>
          </w:p>
        </w:tc>
        <w:tc>
          <w:tcPr>
            <w:tcW w:w="1000" w:type="dxa"/>
            <w:vAlign w:val="bottom"/>
            <w:tcBorders>
              <w:bottom w:val="single" w:sz="8" w:color="auto"/>
            </w:tcBorders>
            <w:shd w:val="clear" w:color="auto" w:fill="DAE6EB"/>
          </w:tcPr>
          <w:p>
            <w:pPr>
              <w:spacing w:after="0"/>
              <w:rPr>
                <w:sz w:val="6"/>
                <w:szCs w:val="6"/>
                <w:color w:val="auto"/>
              </w:rPr>
            </w:pPr>
          </w:p>
        </w:tc>
        <w:tc>
          <w:tcPr>
            <w:tcW w:w="220" w:type="dxa"/>
            <w:vAlign w:val="bottom"/>
            <w:tcBorders>
              <w:right w:val="single" w:sz="8" w:color="47829E"/>
            </w:tcBorders>
            <w:shd w:val="clear" w:color="auto" w:fill="DAE6EB"/>
          </w:tcPr>
          <w:p>
            <w:pPr>
              <w:spacing w:after="0"/>
              <w:rPr>
                <w:sz w:val="6"/>
                <w:szCs w:val="6"/>
                <w:color w:val="auto"/>
              </w:rPr>
            </w:pPr>
          </w:p>
        </w:tc>
        <w:tc>
          <w:tcPr>
            <w:tcW w:w="460" w:type="dxa"/>
            <w:vAlign w:val="bottom"/>
            <w:shd w:val="clear" w:color="auto" w:fill="DAE6EB"/>
          </w:tcPr>
          <w:p>
            <w:pPr>
              <w:spacing w:after="0"/>
              <w:rPr>
                <w:sz w:val="6"/>
                <w:szCs w:val="6"/>
                <w:color w:val="auto"/>
              </w:rPr>
            </w:pPr>
          </w:p>
        </w:tc>
        <w:tc>
          <w:tcPr>
            <w:tcW w:w="300" w:type="dxa"/>
            <w:vAlign w:val="bottom"/>
            <w:tcBorders>
              <w:bottom w:val="single" w:sz="8" w:color="auto"/>
            </w:tcBorders>
            <w:shd w:val="clear" w:color="auto" w:fill="DAE6EB"/>
          </w:tcPr>
          <w:p>
            <w:pPr>
              <w:spacing w:after="0"/>
              <w:rPr>
                <w:sz w:val="6"/>
                <w:szCs w:val="6"/>
                <w:color w:val="auto"/>
              </w:rPr>
            </w:pPr>
          </w:p>
        </w:tc>
        <w:tc>
          <w:tcPr>
            <w:tcW w:w="980" w:type="dxa"/>
            <w:vAlign w:val="bottom"/>
            <w:tcBorders>
              <w:bottom w:val="single" w:sz="8" w:color="auto"/>
            </w:tcBorders>
            <w:shd w:val="clear" w:color="auto" w:fill="DAE6EB"/>
          </w:tcPr>
          <w:p>
            <w:pPr>
              <w:spacing w:after="0"/>
              <w:rPr>
                <w:sz w:val="6"/>
                <w:szCs w:val="6"/>
                <w:color w:val="auto"/>
              </w:rPr>
            </w:pPr>
          </w:p>
        </w:tc>
        <w:tc>
          <w:tcPr>
            <w:tcW w:w="380" w:type="dxa"/>
            <w:vAlign w:val="bottom"/>
            <w:tcBorders>
              <w:right w:val="single" w:sz="8" w:color="47829E"/>
            </w:tcBorders>
            <w:shd w:val="clear" w:color="auto" w:fill="DAE6EB"/>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7"/>
                <w:szCs w:val="17"/>
                <w:color w:val="auto"/>
              </w:rPr>
              <w:t>Gross margin</w:t>
            </w: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right w:val="single" w:sz="8" w:color="47829E"/>
            </w:tcBorders>
            <w:gridSpan w:val="2"/>
          </w:tcPr>
          <w:p>
            <w:pPr>
              <w:jc w:val="right"/>
              <w:ind w:right="80"/>
              <w:spacing w:after="0" w:line="183" w:lineRule="exact"/>
              <w:rPr>
                <w:sz w:val="20"/>
                <w:szCs w:val="20"/>
                <w:color w:val="auto"/>
              </w:rPr>
            </w:pPr>
            <w:r>
              <w:rPr>
                <w:rFonts w:ascii="Arial" w:cs="Arial" w:eastAsia="Arial" w:hAnsi="Arial"/>
                <w:sz w:val="17"/>
                <w:szCs w:val="17"/>
                <w:color w:val="auto"/>
              </w:rPr>
              <w:t>20.4%</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right w:val="single" w:sz="8" w:color="47829E"/>
            </w:tcBorders>
            <w:gridSpan w:val="2"/>
          </w:tcPr>
          <w:p>
            <w:pPr>
              <w:jc w:val="right"/>
              <w:ind w:right="220"/>
              <w:spacing w:after="0" w:line="183" w:lineRule="exact"/>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48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00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right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980" w:type="dxa"/>
            <w:vAlign w:val="bottom"/>
            <w:tcBorders>
              <w:bottom w:val="single" w:sz="8" w:color="47829E"/>
            </w:tcBorders>
          </w:tcPr>
          <w:p>
            <w:pPr>
              <w:spacing w:after="0" w:line="20" w:lineRule="exact"/>
              <w:rPr>
                <w:sz w:val="1"/>
                <w:szCs w:val="1"/>
                <w:color w:val="auto"/>
              </w:rPr>
            </w:pPr>
          </w:p>
        </w:tc>
        <w:tc>
          <w:tcPr>
            <w:tcW w:w="38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Gross Margin (Excluding Freight and Delivery Revenues) for years ended December 31:</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7340" w:type="dxa"/>
            <w:vAlign w:val="bottom"/>
            <w:tcBorders>
              <w:left w:val="single" w:sz="8" w:color="47829E"/>
              <w:right w:val="single" w:sz="8" w:color="47829E"/>
            </w:tcBorders>
            <w:shd w:val="clear" w:color="auto" w:fill="47829E"/>
          </w:tcPr>
          <w:p>
            <w:pPr>
              <w:spacing w:after="0"/>
              <w:rPr>
                <w:sz w:val="21"/>
                <w:szCs w:val="21"/>
                <w:color w:val="auto"/>
              </w:rPr>
            </w:pPr>
          </w:p>
        </w:tc>
        <w:tc>
          <w:tcPr>
            <w:tcW w:w="380" w:type="dxa"/>
            <w:vAlign w:val="bottom"/>
            <w:shd w:val="clear" w:color="auto" w:fill="47829E"/>
          </w:tcPr>
          <w:p>
            <w:pPr>
              <w:spacing w:after="0"/>
              <w:rPr>
                <w:sz w:val="21"/>
                <w:szCs w:val="21"/>
                <w:color w:val="auto"/>
              </w:rPr>
            </w:pPr>
          </w:p>
        </w:tc>
        <w:tc>
          <w:tcPr>
            <w:tcW w:w="100" w:type="dxa"/>
            <w:vAlign w:val="bottom"/>
            <w:shd w:val="clear" w:color="auto" w:fill="47829E"/>
          </w:tcPr>
          <w:p>
            <w:pPr>
              <w:spacing w:after="0"/>
              <w:rPr>
                <w:sz w:val="21"/>
                <w:szCs w:val="21"/>
                <w:color w:val="auto"/>
              </w:rPr>
            </w:pPr>
          </w:p>
        </w:tc>
        <w:tc>
          <w:tcPr>
            <w:tcW w:w="280" w:type="dxa"/>
            <w:vAlign w:val="bottom"/>
            <w:shd w:val="clear" w:color="auto" w:fill="47829E"/>
          </w:tcPr>
          <w:p>
            <w:pPr>
              <w:spacing w:after="0"/>
              <w:rPr>
                <w:sz w:val="21"/>
                <w:szCs w:val="21"/>
                <w:color w:val="auto"/>
              </w:rPr>
            </w:pPr>
          </w:p>
        </w:tc>
        <w:tc>
          <w:tcPr>
            <w:tcW w:w="100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21"/>
                <w:szCs w:val="21"/>
                <w:color w:val="auto"/>
              </w:rPr>
            </w:pPr>
          </w:p>
        </w:tc>
        <w:tc>
          <w:tcPr>
            <w:tcW w:w="460" w:type="dxa"/>
            <w:vAlign w:val="bottom"/>
            <w:shd w:val="clear" w:color="auto" w:fill="47829E"/>
          </w:tcPr>
          <w:p>
            <w:pPr>
              <w:spacing w:after="0"/>
              <w:rPr>
                <w:sz w:val="21"/>
                <w:szCs w:val="21"/>
                <w:color w:val="auto"/>
              </w:rPr>
            </w:pPr>
          </w:p>
        </w:tc>
        <w:tc>
          <w:tcPr>
            <w:tcW w:w="300" w:type="dxa"/>
            <w:vAlign w:val="bottom"/>
            <w:shd w:val="clear" w:color="auto" w:fill="47829E"/>
          </w:tcPr>
          <w:p>
            <w:pPr>
              <w:spacing w:after="0"/>
              <w:rPr>
                <w:sz w:val="21"/>
                <w:szCs w:val="21"/>
                <w:color w:val="auto"/>
              </w:rPr>
            </w:pPr>
          </w:p>
        </w:tc>
        <w:tc>
          <w:tcPr>
            <w:tcW w:w="980" w:type="dxa"/>
            <w:vAlign w:val="bottom"/>
            <w:shd w:val="clear" w:color="auto" w:fill="47829E"/>
          </w:tcPr>
          <w:p>
            <w:pPr>
              <w:jc w:val="right"/>
              <w:ind w:right="33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7340" w:type="dxa"/>
            <w:vAlign w:val="bottom"/>
            <w:tcBorders>
              <w:left w:val="single" w:sz="8" w:color="47829E"/>
              <w:right w:val="single" w:sz="8" w:color="47829E"/>
            </w:tcBorders>
            <w:shd w:val="clear" w:color="auto" w:fill="47829E"/>
          </w:tcPr>
          <w:p>
            <w:pPr>
              <w:spacing w:after="0"/>
              <w:rPr>
                <w:sz w:val="12"/>
                <w:szCs w:val="12"/>
                <w:color w:val="auto"/>
              </w:rPr>
            </w:pPr>
          </w:p>
        </w:tc>
        <w:tc>
          <w:tcPr>
            <w:tcW w:w="380" w:type="dxa"/>
            <w:vAlign w:val="bottom"/>
            <w:shd w:val="clear" w:color="auto" w:fill="47829E"/>
          </w:tcPr>
          <w:p>
            <w:pPr>
              <w:spacing w:after="0"/>
              <w:rPr>
                <w:sz w:val="12"/>
                <w:szCs w:val="12"/>
                <w:color w:val="auto"/>
              </w:rPr>
            </w:pPr>
          </w:p>
        </w:tc>
        <w:tc>
          <w:tcPr>
            <w:tcW w:w="380" w:type="dxa"/>
            <w:vAlign w:val="bottom"/>
            <w:gridSpan w:val="2"/>
            <w:shd w:val="clear" w:color="auto" w:fill="47829E"/>
          </w:tcPr>
          <w:p>
            <w:pPr>
              <w:spacing w:after="0"/>
              <w:rPr>
                <w:sz w:val="12"/>
                <w:szCs w:val="12"/>
                <w:color w:val="auto"/>
              </w:rPr>
            </w:pPr>
          </w:p>
        </w:tc>
        <w:tc>
          <w:tcPr>
            <w:tcW w:w="1220" w:type="dxa"/>
            <w:vAlign w:val="bottom"/>
            <w:tcBorders>
              <w:right w:val="single" w:sz="8" w:color="47829E"/>
            </w:tcBorders>
            <w:gridSpan w:val="2"/>
            <w:shd w:val="clear" w:color="auto" w:fill="47829E"/>
          </w:tcPr>
          <w:p>
            <w:pPr>
              <w:spacing w:after="0"/>
              <w:rPr>
                <w:sz w:val="12"/>
                <w:szCs w:val="12"/>
                <w:color w:val="auto"/>
              </w:rPr>
            </w:pPr>
          </w:p>
        </w:tc>
        <w:tc>
          <w:tcPr>
            <w:tcW w:w="760" w:type="dxa"/>
            <w:vAlign w:val="bottom"/>
            <w:gridSpan w:val="2"/>
            <w:shd w:val="clear" w:color="auto" w:fill="47829E"/>
          </w:tcPr>
          <w:p>
            <w:pPr>
              <w:spacing w:after="0"/>
              <w:rPr>
                <w:sz w:val="12"/>
                <w:szCs w:val="12"/>
                <w:color w:val="auto"/>
              </w:rPr>
            </w:pPr>
          </w:p>
        </w:tc>
        <w:tc>
          <w:tcPr>
            <w:tcW w:w="1360" w:type="dxa"/>
            <w:vAlign w:val="bottom"/>
            <w:tcBorders>
              <w:right w:val="single" w:sz="8" w:color="47829E"/>
            </w:tcBorders>
            <w:gridSpan w:val="2"/>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16"/>
                <w:szCs w:val="16"/>
                <w:color w:val="auto"/>
              </w:rPr>
            </w:pPr>
          </w:p>
        </w:tc>
        <w:tc>
          <w:tcPr>
            <w:tcW w:w="3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721,767</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tcPr>
          <w:p>
            <w:pPr>
              <w:jc w:val="right"/>
              <w:ind w:right="380"/>
              <w:spacing w:after="0" w:line="189" w:lineRule="exact"/>
              <w:rPr>
                <w:sz w:val="20"/>
                <w:szCs w:val="20"/>
                <w:color w:val="auto"/>
              </w:rPr>
            </w:pPr>
            <w:r>
              <w:rPr>
                <w:rFonts w:ascii="Arial" w:cs="Arial" w:eastAsia="Arial" w:hAnsi="Arial"/>
                <w:sz w:val="17"/>
                <w:szCs w:val="17"/>
                <w:color w:val="auto"/>
              </w:rPr>
              <w:t>522,360</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shd w:val="clear" w:color="auto" w:fill="DAE6EB"/>
          </w:tcPr>
          <w:p>
            <w:pPr>
              <w:ind w:left="160"/>
              <w:spacing w:after="0" w:line="183" w:lineRule="exact"/>
              <w:rPr>
                <w:sz w:val="20"/>
                <w:szCs w:val="20"/>
                <w:color w:val="auto"/>
              </w:rPr>
            </w:pPr>
            <w:r>
              <w:rPr>
                <w:rFonts w:ascii="Arial" w:cs="Arial" w:eastAsia="Arial" w:hAnsi="Arial"/>
                <w:sz w:val="17"/>
                <w:szCs w:val="17"/>
                <w:color w:val="auto"/>
              </w:rPr>
              <w:t>Total revenues</w:t>
            </w:r>
          </w:p>
        </w:tc>
        <w:tc>
          <w:tcPr>
            <w:tcW w:w="380" w:type="dxa"/>
            <w:vAlign w:val="bottom"/>
            <w:shd w:val="clear" w:color="auto" w:fill="DAE6EB"/>
          </w:tcPr>
          <w:p>
            <w:pPr>
              <w:spacing w:after="0"/>
              <w:rPr>
                <w:sz w:val="15"/>
                <w:szCs w:val="15"/>
                <w:color w:val="auto"/>
              </w:rPr>
            </w:pPr>
          </w:p>
        </w:tc>
        <w:tc>
          <w:tcPr>
            <w:tcW w:w="38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line="183" w:lineRule="exact"/>
              <w:rPr>
                <w:sz w:val="20"/>
                <w:szCs w:val="20"/>
                <w:color w:val="auto"/>
              </w:rPr>
            </w:pPr>
            <w:r>
              <w:rPr>
                <w:rFonts w:ascii="Arial" w:cs="Arial" w:eastAsia="Arial" w:hAnsi="Arial"/>
                <w:sz w:val="17"/>
                <w:szCs w:val="17"/>
                <w:color w:val="auto"/>
              </w:rPr>
              <w:t>3,539,570</w:t>
            </w:r>
          </w:p>
        </w:tc>
        <w:tc>
          <w:tcPr>
            <w:tcW w:w="76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line="183" w:lineRule="exact"/>
              <w:rPr>
                <w:sz w:val="20"/>
                <w:szCs w:val="20"/>
                <w:color w:val="auto"/>
              </w:rPr>
            </w:pPr>
            <w:r>
              <w:rPr>
                <w:rFonts w:ascii="Arial" w:cs="Arial" w:eastAsia="Arial" w:hAnsi="Arial"/>
                <w:sz w:val="17"/>
                <w:szCs w:val="17"/>
                <w:color w:val="auto"/>
              </w:rPr>
              <w:t>2,957,951</w:t>
            </w: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Less: Freight and delivery revenues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Borders>
              <w:right w:val="single" w:sz="8" w:color="47829E"/>
            </w:tcBorders>
            <w:gridSpan w:val="2"/>
          </w:tcPr>
          <w:p>
            <w:pPr>
              <w:jc w:val="right"/>
              <w:ind w:right="160"/>
              <w:spacing w:after="0" w:line="189" w:lineRule="exact"/>
              <w:rPr>
                <w:sz w:val="20"/>
                <w:szCs w:val="20"/>
                <w:color w:val="auto"/>
              </w:rPr>
            </w:pPr>
            <w:r>
              <w:rPr>
                <w:rFonts w:ascii="Arial" w:cs="Arial" w:eastAsia="Arial" w:hAnsi="Arial"/>
                <w:sz w:val="17"/>
                <w:szCs w:val="17"/>
                <w:color w:val="auto"/>
              </w:rPr>
              <w:t>(271,454)</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Borders>
              <w:right w:val="single" w:sz="8" w:color="47829E"/>
            </w:tcBorders>
            <w:gridSpan w:val="2"/>
          </w:tcPr>
          <w:p>
            <w:pPr>
              <w:jc w:val="right"/>
              <w:ind w:right="320"/>
              <w:spacing w:after="0" w:line="189" w:lineRule="exact"/>
              <w:rPr>
                <w:sz w:val="20"/>
                <w:szCs w:val="20"/>
                <w:color w:val="auto"/>
              </w:rPr>
            </w:pPr>
            <w:r>
              <w:rPr>
                <w:rFonts w:ascii="Arial" w:cs="Arial" w:eastAsia="Arial" w:hAnsi="Arial"/>
                <w:sz w:val="17"/>
                <w:szCs w:val="17"/>
                <w:color w:val="auto"/>
              </w:rPr>
              <w:t>(278,856)</w:t>
            </w:r>
          </w:p>
        </w:tc>
        <w:tc>
          <w:tcPr>
            <w:tcW w:w="0" w:type="dxa"/>
            <w:vAlign w:val="bottom"/>
          </w:tcPr>
          <w:p>
            <w:pPr>
              <w:spacing w:after="0"/>
              <w:rPr>
                <w:sz w:val="1"/>
                <w:szCs w:val="1"/>
                <w:color w:val="auto"/>
              </w:rPr>
            </w:pPr>
          </w:p>
        </w:tc>
      </w:tr>
      <w:tr>
        <w:trPr>
          <w:trHeight w:val="27"/>
        </w:trPr>
        <w:tc>
          <w:tcPr>
            <w:tcW w:w="7340" w:type="dxa"/>
            <w:vAlign w:val="bottom"/>
            <w:tcBorders>
              <w:left w:val="single" w:sz="8" w:color="47829E"/>
              <w:right w:val="single" w:sz="8" w:color="47829E"/>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47829E"/>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Net sales</w:t>
            </w:r>
          </w:p>
        </w:tc>
        <w:tc>
          <w:tcPr>
            <w:tcW w:w="380" w:type="dxa"/>
            <w:vAlign w:val="bottom"/>
            <w:shd w:val="clear" w:color="auto" w:fill="DAE6EB"/>
          </w:tcPr>
          <w:p>
            <w:pPr>
              <w:spacing w:after="0"/>
              <w:rPr>
                <w:sz w:val="16"/>
                <w:szCs w:val="16"/>
                <w:color w:val="auto"/>
              </w:rPr>
            </w:pPr>
          </w:p>
        </w:tc>
        <w:tc>
          <w:tcPr>
            <w:tcW w:w="380" w:type="dxa"/>
            <w:vAlign w:val="bottom"/>
            <w:gridSpan w:val="2"/>
            <w:shd w:val="clear" w:color="auto" w:fill="DAE6EB"/>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line="189" w:lineRule="exact"/>
              <w:rPr>
                <w:sz w:val="20"/>
                <w:szCs w:val="20"/>
                <w:color w:val="auto"/>
              </w:rPr>
            </w:pPr>
            <w:r>
              <w:rPr>
                <w:rFonts w:ascii="Arial" w:cs="Arial" w:eastAsia="Arial" w:hAnsi="Arial"/>
                <w:sz w:val="17"/>
                <w:szCs w:val="17"/>
                <w:color w:val="auto"/>
              </w:rPr>
              <w:t>3,268,116</w:t>
            </w:r>
          </w:p>
        </w:tc>
        <w:tc>
          <w:tcPr>
            <w:tcW w:w="760" w:type="dxa"/>
            <w:vAlign w:val="bottom"/>
            <w:gridSpan w:val="2"/>
            <w:shd w:val="clear" w:color="auto" w:fill="DAE6EB"/>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line="189" w:lineRule="exact"/>
              <w:rPr>
                <w:sz w:val="20"/>
                <w:szCs w:val="20"/>
                <w:color w:val="auto"/>
              </w:rPr>
            </w:pPr>
            <w:r>
              <w:rPr>
                <w:rFonts w:ascii="Arial" w:cs="Arial" w:eastAsia="Arial" w:hAnsi="Arial"/>
                <w:sz w:val="17"/>
                <w:szCs w:val="17"/>
                <w:color w:val="auto"/>
              </w:rPr>
              <w:t>2,679,095</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7"/>
                <w:szCs w:val="17"/>
                <w:color w:val="auto"/>
              </w:rPr>
              <w:t>Gross margin (excluding freight and delivery revenues)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right w:val="single" w:sz="8" w:color="47829E"/>
            </w:tcBorders>
            <w:gridSpan w:val="2"/>
          </w:tcPr>
          <w:p>
            <w:pPr>
              <w:jc w:val="right"/>
              <w:ind w:right="80"/>
              <w:spacing w:after="0" w:line="183" w:lineRule="exact"/>
              <w:rPr>
                <w:sz w:val="20"/>
                <w:szCs w:val="20"/>
                <w:color w:val="auto"/>
              </w:rPr>
            </w:pPr>
            <w:r>
              <w:rPr>
                <w:rFonts w:ascii="Arial" w:cs="Arial" w:eastAsia="Arial" w:hAnsi="Arial"/>
                <w:sz w:val="17"/>
                <w:szCs w:val="17"/>
                <w:color w:val="auto"/>
              </w:rPr>
              <w:t>22.1%</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right w:val="single" w:sz="8" w:color="47829E"/>
            </w:tcBorders>
            <w:gridSpan w:val="2"/>
          </w:tcPr>
          <w:p>
            <w:pPr>
              <w:jc w:val="right"/>
              <w:ind w:right="220"/>
              <w:spacing w:after="0" w:line="183"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380" w:type="dxa"/>
            <w:vAlign w:val="bottom"/>
            <w:tcBorders>
              <w:bottom w:val="single" w:sz="8" w:color="47829E"/>
            </w:tcBorders>
          </w:tcPr>
          <w:p>
            <w:pPr>
              <w:spacing w:after="0" w:line="20" w:lineRule="exact"/>
              <w:rPr>
                <w:sz w:val="1"/>
                <w:szCs w:val="1"/>
                <w:color w:val="auto"/>
              </w:rPr>
            </w:pPr>
          </w:p>
        </w:tc>
        <w:tc>
          <w:tcPr>
            <w:tcW w:w="10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00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right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980" w:type="dxa"/>
            <w:vAlign w:val="bottom"/>
            <w:tcBorders>
              <w:bottom w:val="single" w:sz="8" w:color="47829E"/>
            </w:tcBorders>
          </w:tcPr>
          <w:p>
            <w:pPr>
              <w:spacing w:after="0" w:line="20" w:lineRule="exact"/>
              <w:rPr>
                <w:sz w:val="1"/>
                <w:szCs w:val="1"/>
                <w:color w:val="auto"/>
              </w:rPr>
            </w:pPr>
          </w:p>
        </w:tc>
        <w:tc>
          <w:tcPr>
            <w:tcW w:w="38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720" w:type="dxa"/>
            <w:vAlign w:val="bottom"/>
            <w:gridSpan w:val="2"/>
          </w:tcPr>
          <w:p>
            <w:pPr>
              <w:spacing w:after="0"/>
              <w:rPr>
                <w:sz w:val="20"/>
                <w:szCs w:val="20"/>
                <w:color w:val="auto"/>
              </w:rPr>
            </w:pPr>
            <w:r>
              <w:rPr>
                <w:rFonts w:ascii="Arial" w:cs="Arial" w:eastAsia="Arial" w:hAnsi="Arial"/>
                <w:sz w:val="17"/>
                <w:szCs w:val="17"/>
                <w:b w:val="1"/>
                <w:bCs w:val="1"/>
                <w:color w:val="auto"/>
              </w:rPr>
              <w:t>Heritage Consolidated Gross Margin in Accordance with GAAP for years ended 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Borders>
              <w:left w:val="single" w:sz="8" w:color="47829E"/>
              <w:right w:val="single" w:sz="8" w:color="47829E"/>
            </w:tcBorders>
            <w:shd w:val="clear" w:color="auto" w:fill="47829E"/>
          </w:tcPr>
          <w:p>
            <w:pPr>
              <w:spacing w:after="0"/>
              <w:rPr>
                <w:sz w:val="19"/>
                <w:szCs w:val="19"/>
                <w:color w:val="auto"/>
              </w:rPr>
            </w:pPr>
          </w:p>
        </w:tc>
        <w:tc>
          <w:tcPr>
            <w:tcW w:w="380" w:type="dxa"/>
            <w:vAlign w:val="bottom"/>
            <w:shd w:val="clear" w:color="auto" w:fill="47829E"/>
          </w:tcPr>
          <w:p>
            <w:pPr>
              <w:spacing w:after="0"/>
              <w:rPr>
                <w:sz w:val="19"/>
                <w:szCs w:val="19"/>
                <w:color w:val="auto"/>
              </w:rPr>
            </w:pPr>
          </w:p>
        </w:tc>
        <w:tc>
          <w:tcPr>
            <w:tcW w:w="100" w:type="dxa"/>
            <w:vAlign w:val="bottom"/>
            <w:shd w:val="clear" w:color="auto" w:fill="47829E"/>
          </w:tcPr>
          <w:p>
            <w:pPr>
              <w:spacing w:after="0"/>
              <w:rPr>
                <w:sz w:val="19"/>
                <w:szCs w:val="19"/>
                <w:color w:val="auto"/>
              </w:rPr>
            </w:pPr>
          </w:p>
        </w:tc>
        <w:tc>
          <w:tcPr>
            <w:tcW w:w="280" w:type="dxa"/>
            <w:vAlign w:val="bottom"/>
            <w:shd w:val="clear" w:color="auto" w:fill="47829E"/>
          </w:tcPr>
          <w:p>
            <w:pPr>
              <w:spacing w:after="0"/>
              <w:rPr>
                <w:sz w:val="19"/>
                <w:szCs w:val="19"/>
                <w:color w:val="auto"/>
              </w:rPr>
            </w:pPr>
          </w:p>
        </w:tc>
        <w:tc>
          <w:tcPr>
            <w:tcW w:w="100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19"/>
                <w:szCs w:val="19"/>
                <w:color w:val="auto"/>
              </w:rPr>
            </w:pPr>
          </w:p>
        </w:tc>
        <w:tc>
          <w:tcPr>
            <w:tcW w:w="460" w:type="dxa"/>
            <w:vAlign w:val="bottom"/>
            <w:shd w:val="clear" w:color="auto" w:fill="47829E"/>
          </w:tcPr>
          <w:p>
            <w:pPr>
              <w:spacing w:after="0"/>
              <w:rPr>
                <w:sz w:val="19"/>
                <w:szCs w:val="19"/>
                <w:color w:val="auto"/>
              </w:rPr>
            </w:pPr>
          </w:p>
        </w:tc>
        <w:tc>
          <w:tcPr>
            <w:tcW w:w="300" w:type="dxa"/>
            <w:vAlign w:val="bottom"/>
            <w:shd w:val="clear" w:color="auto" w:fill="47829E"/>
          </w:tcPr>
          <w:p>
            <w:pPr>
              <w:spacing w:after="0"/>
              <w:rPr>
                <w:sz w:val="19"/>
                <w:szCs w:val="19"/>
                <w:color w:val="auto"/>
              </w:rPr>
            </w:pPr>
          </w:p>
        </w:tc>
        <w:tc>
          <w:tcPr>
            <w:tcW w:w="980" w:type="dxa"/>
            <w:vAlign w:val="bottom"/>
            <w:shd w:val="clear" w:color="auto" w:fill="47829E"/>
          </w:tcPr>
          <w:p>
            <w:pPr>
              <w:jc w:val="right"/>
              <w:ind w:right="33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340" w:type="dxa"/>
            <w:vAlign w:val="bottom"/>
            <w:tcBorders>
              <w:left w:val="single" w:sz="8" w:color="47829E"/>
              <w:right w:val="single" w:sz="8" w:color="47829E"/>
            </w:tcBorders>
            <w:shd w:val="clear" w:color="auto" w:fill="47829E"/>
          </w:tcPr>
          <w:p>
            <w:pPr>
              <w:spacing w:after="0"/>
              <w:rPr>
                <w:sz w:val="14"/>
                <w:szCs w:val="14"/>
                <w:color w:val="auto"/>
              </w:rPr>
            </w:pPr>
          </w:p>
        </w:tc>
        <w:tc>
          <w:tcPr>
            <w:tcW w:w="380" w:type="dxa"/>
            <w:vAlign w:val="bottom"/>
            <w:shd w:val="clear" w:color="auto" w:fill="47829E"/>
          </w:tcPr>
          <w:p>
            <w:pPr>
              <w:spacing w:after="0"/>
              <w:rPr>
                <w:sz w:val="14"/>
                <w:szCs w:val="14"/>
                <w:color w:val="auto"/>
              </w:rPr>
            </w:pPr>
          </w:p>
        </w:tc>
        <w:tc>
          <w:tcPr>
            <w:tcW w:w="380" w:type="dxa"/>
            <w:vAlign w:val="bottom"/>
            <w:gridSpan w:val="2"/>
            <w:shd w:val="clear" w:color="auto" w:fill="47829E"/>
          </w:tcPr>
          <w:p>
            <w:pPr>
              <w:spacing w:after="0"/>
              <w:rPr>
                <w:sz w:val="14"/>
                <w:szCs w:val="14"/>
                <w:color w:val="auto"/>
              </w:rPr>
            </w:pPr>
          </w:p>
        </w:tc>
        <w:tc>
          <w:tcPr>
            <w:tcW w:w="1220" w:type="dxa"/>
            <w:vAlign w:val="bottom"/>
            <w:tcBorders>
              <w:right w:val="single" w:sz="8" w:color="47829E"/>
            </w:tcBorders>
            <w:gridSpan w:val="2"/>
            <w:shd w:val="clear" w:color="auto" w:fill="47829E"/>
          </w:tcPr>
          <w:p>
            <w:pPr>
              <w:spacing w:after="0"/>
              <w:rPr>
                <w:sz w:val="14"/>
                <w:szCs w:val="14"/>
                <w:color w:val="auto"/>
              </w:rPr>
            </w:pPr>
          </w:p>
        </w:tc>
        <w:tc>
          <w:tcPr>
            <w:tcW w:w="760" w:type="dxa"/>
            <w:vAlign w:val="bottom"/>
            <w:gridSpan w:val="2"/>
            <w:shd w:val="clear" w:color="auto" w:fill="47829E"/>
          </w:tcPr>
          <w:p>
            <w:pPr>
              <w:spacing w:after="0"/>
              <w:rPr>
                <w:sz w:val="14"/>
                <w:szCs w:val="14"/>
                <w:color w:val="auto"/>
              </w:rPr>
            </w:pPr>
          </w:p>
        </w:tc>
        <w:tc>
          <w:tcPr>
            <w:tcW w:w="1360" w:type="dxa"/>
            <w:vAlign w:val="bottom"/>
            <w:tcBorders>
              <w:right w:val="single" w:sz="8" w:color="47829E"/>
            </w:tcBorders>
            <w:gridSpan w:val="2"/>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Heritage gross profit</w:t>
            </w:r>
          </w:p>
        </w:tc>
        <w:tc>
          <w:tcPr>
            <w:tcW w:w="380" w:type="dxa"/>
            <w:vAlign w:val="bottom"/>
          </w:tcPr>
          <w:p>
            <w:pPr>
              <w:spacing w:after="0"/>
              <w:rPr>
                <w:sz w:val="16"/>
                <w:szCs w:val="16"/>
                <w:color w:val="auto"/>
              </w:rPr>
            </w:pPr>
          </w:p>
        </w:tc>
        <w:tc>
          <w:tcPr>
            <w:tcW w:w="3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568,064</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tcPr>
          <w:p>
            <w:pPr>
              <w:jc w:val="right"/>
              <w:ind w:right="380"/>
              <w:spacing w:after="0" w:line="189" w:lineRule="exact"/>
              <w:rPr>
                <w:sz w:val="20"/>
                <w:szCs w:val="20"/>
                <w:color w:val="auto"/>
              </w:rPr>
            </w:pPr>
            <w:r>
              <w:rPr>
                <w:rFonts w:ascii="Arial" w:cs="Arial" w:eastAsia="Arial" w:hAnsi="Arial"/>
                <w:sz w:val="17"/>
                <w:szCs w:val="17"/>
                <w:color w:val="auto"/>
              </w:rPr>
              <w:t>454,625</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shd w:val="clear" w:color="auto" w:fill="DAE6EB"/>
          </w:tcPr>
          <w:p>
            <w:pPr>
              <w:ind w:left="160"/>
              <w:spacing w:after="0" w:line="183" w:lineRule="exact"/>
              <w:rPr>
                <w:sz w:val="20"/>
                <w:szCs w:val="20"/>
                <w:color w:val="auto"/>
              </w:rPr>
            </w:pPr>
            <w:r>
              <w:rPr>
                <w:rFonts w:ascii="Arial" w:cs="Arial" w:eastAsia="Arial" w:hAnsi="Arial"/>
                <w:sz w:val="17"/>
                <w:szCs w:val="17"/>
                <w:color w:val="auto"/>
              </w:rPr>
              <w:t>Heritage total revenues</w:t>
            </w:r>
          </w:p>
        </w:tc>
        <w:tc>
          <w:tcPr>
            <w:tcW w:w="380" w:type="dxa"/>
            <w:vAlign w:val="bottom"/>
            <w:shd w:val="clear" w:color="auto" w:fill="DAE6EB"/>
          </w:tcPr>
          <w:p>
            <w:pPr>
              <w:spacing w:after="0"/>
              <w:rPr>
                <w:sz w:val="15"/>
                <w:szCs w:val="15"/>
                <w:color w:val="auto"/>
              </w:rPr>
            </w:pPr>
          </w:p>
        </w:tc>
        <w:tc>
          <w:tcPr>
            <w:tcW w:w="38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line="183" w:lineRule="exact"/>
              <w:rPr>
                <w:sz w:val="20"/>
                <w:szCs w:val="20"/>
                <w:color w:val="auto"/>
              </w:rPr>
            </w:pPr>
            <w:r>
              <w:rPr>
                <w:rFonts w:ascii="Arial" w:cs="Arial" w:eastAsia="Arial" w:hAnsi="Arial"/>
                <w:sz w:val="17"/>
                <w:szCs w:val="17"/>
                <w:color w:val="auto"/>
              </w:rPr>
              <w:t>2,543,732</w:t>
            </w:r>
          </w:p>
        </w:tc>
        <w:tc>
          <w:tcPr>
            <w:tcW w:w="76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line="183" w:lineRule="exact"/>
              <w:rPr>
                <w:sz w:val="20"/>
                <w:szCs w:val="20"/>
                <w:color w:val="auto"/>
              </w:rPr>
            </w:pPr>
            <w:r>
              <w:rPr>
                <w:rFonts w:ascii="Arial" w:cs="Arial" w:eastAsia="Arial" w:hAnsi="Arial"/>
                <w:sz w:val="17"/>
                <w:szCs w:val="17"/>
                <w:color w:val="auto"/>
              </w:rPr>
              <w:t>2,418,920</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7"/>
                <w:szCs w:val="17"/>
                <w:color w:val="auto"/>
              </w:rPr>
              <w:t>Heritage gross margin</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right w:val="single" w:sz="8" w:color="47829E"/>
            </w:tcBorders>
            <w:gridSpan w:val="2"/>
          </w:tcPr>
          <w:p>
            <w:pPr>
              <w:jc w:val="right"/>
              <w:ind w:right="80"/>
              <w:spacing w:after="0" w:line="183" w:lineRule="exact"/>
              <w:rPr>
                <w:sz w:val="20"/>
                <w:szCs w:val="20"/>
                <w:color w:val="auto"/>
              </w:rPr>
            </w:pPr>
            <w:r>
              <w:rPr>
                <w:rFonts w:ascii="Arial" w:cs="Arial" w:eastAsia="Arial" w:hAnsi="Arial"/>
                <w:sz w:val="17"/>
                <w:szCs w:val="17"/>
                <w:color w:val="auto"/>
              </w:rPr>
              <w:t>22.3%</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right w:val="single" w:sz="8" w:color="47829E"/>
            </w:tcBorders>
            <w:gridSpan w:val="2"/>
          </w:tcPr>
          <w:p>
            <w:pPr>
              <w:jc w:val="right"/>
              <w:ind w:right="220"/>
              <w:spacing w:after="0" w:line="183" w:lineRule="exact"/>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380" w:type="dxa"/>
            <w:vAlign w:val="bottom"/>
            <w:tcBorders>
              <w:bottom w:val="single" w:sz="8" w:color="47829E"/>
            </w:tcBorders>
          </w:tcPr>
          <w:p>
            <w:pPr>
              <w:spacing w:after="0" w:line="20" w:lineRule="exact"/>
              <w:rPr>
                <w:sz w:val="1"/>
                <w:szCs w:val="1"/>
                <w:color w:val="auto"/>
              </w:rPr>
            </w:pPr>
          </w:p>
        </w:tc>
        <w:tc>
          <w:tcPr>
            <w:tcW w:w="10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00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right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980" w:type="dxa"/>
            <w:vAlign w:val="bottom"/>
            <w:tcBorders>
              <w:bottom w:val="single" w:sz="8" w:color="47829E"/>
            </w:tcBorders>
          </w:tcPr>
          <w:p>
            <w:pPr>
              <w:spacing w:after="0" w:line="20" w:lineRule="exact"/>
              <w:rPr>
                <w:sz w:val="1"/>
                <w:szCs w:val="1"/>
                <w:color w:val="auto"/>
              </w:rPr>
            </w:pPr>
          </w:p>
        </w:tc>
        <w:tc>
          <w:tcPr>
            <w:tcW w:w="38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936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-107950</wp:posOffset>
            </wp:positionV>
            <wp:extent cx="34290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56" w:right="2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Consolidated Gross Margin (Excluding Freight and Delivery Revenues) for years ended December 31:</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320" w:type="dxa"/>
            <w:vAlign w:val="bottom"/>
            <w:tcBorders>
              <w:left w:val="single" w:sz="8" w:color="47829E"/>
            </w:tcBorders>
            <w:shd w:val="clear" w:color="auto" w:fill="47829E"/>
          </w:tcPr>
          <w:p>
            <w:pPr>
              <w:spacing w:after="0"/>
              <w:rPr>
                <w:sz w:val="21"/>
                <w:szCs w:val="21"/>
                <w:color w:val="auto"/>
              </w:rPr>
            </w:pPr>
          </w:p>
        </w:tc>
        <w:tc>
          <w:tcPr>
            <w:tcW w:w="7060" w:type="dxa"/>
            <w:vAlign w:val="bottom"/>
            <w:tcBorders>
              <w:right w:val="single" w:sz="8" w:color="47829E"/>
            </w:tcBorders>
            <w:shd w:val="clear" w:color="auto" w:fill="47829E"/>
          </w:tcPr>
          <w:p>
            <w:pPr>
              <w:spacing w:after="0"/>
              <w:rPr>
                <w:sz w:val="21"/>
                <w:szCs w:val="21"/>
                <w:color w:val="auto"/>
              </w:rPr>
            </w:pPr>
          </w:p>
        </w:tc>
        <w:tc>
          <w:tcPr>
            <w:tcW w:w="440" w:type="dxa"/>
            <w:vAlign w:val="bottom"/>
            <w:shd w:val="clear" w:color="auto" w:fill="47829E"/>
          </w:tcPr>
          <w:p>
            <w:pPr>
              <w:spacing w:after="0"/>
              <w:rPr>
                <w:sz w:val="21"/>
                <w:szCs w:val="21"/>
                <w:color w:val="auto"/>
              </w:rPr>
            </w:pPr>
          </w:p>
        </w:tc>
        <w:tc>
          <w:tcPr>
            <w:tcW w:w="120" w:type="dxa"/>
            <w:vAlign w:val="bottom"/>
            <w:shd w:val="clear" w:color="auto" w:fill="47829E"/>
          </w:tcPr>
          <w:p>
            <w:pPr>
              <w:spacing w:after="0"/>
              <w:rPr>
                <w:sz w:val="21"/>
                <w:szCs w:val="21"/>
                <w:color w:val="auto"/>
              </w:rPr>
            </w:pPr>
          </w:p>
        </w:tc>
        <w:tc>
          <w:tcPr>
            <w:tcW w:w="220" w:type="dxa"/>
            <w:vAlign w:val="bottom"/>
            <w:shd w:val="clear" w:color="auto" w:fill="47829E"/>
          </w:tcPr>
          <w:p>
            <w:pPr>
              <w:spacing w:after="0"/>
              <w:rPr>
                <w:sz w:val="21"/>
                <w:szCs w:val="21"/>
                <w:color w:val="auto"/>
              </w:rPr>
            </w:pPr>
          </w:p>
        </w:tc>
        <w:tc>
          <w:tcPr>
            <w:tcW w:w="94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120" w:type="dxa"/>
            <w:vAlign w:val="bottom"/>
            <w:shd w:val="clear" w:color="auto" w:fill="47829E"/>
          </w:tcPr>
          <w:p>
            <w:pPr>
              <w:spacing w:after="0"/>
              <w:rPr>
                <w:sz w:val="21"/>
                <w:szCs w:val="21"/>
                <w:color w:val="auto"/>
              </w:rPr>
            </w:pPr>
          </w:p>
        </w:tc>
        <w:tc>
          <w:tcPr>
            <w:tcW w:w="120" w:type="dxa"/>
            <w:vAlign w:val="bottom"/>
            <w:tcBorders>
              <w:right w:val="single" w:sz="8" w:color="47829E"/>
            </w:tcBorders>
            <w:shd w:val="clear" w:color="auto" w:fill="47829E"/>
          </w:tcPr>
          <w:p>
            <w:pPr>
              <w:spacing w:after="0"/>
              <w:rPr>
                <w:sz w:val="21"/>
                <w:szCs w:val="21"/>
                <w:color w:val="auto"/>
              </w:rPr>
            </w:pPr>
          </w:p>
        </w:tc>
        <w:tc>
          <w:tcPr>
            <w:tcW w:w="240" w:type="dxa"/>
            <w:vAlign w:val="bottom"/>
            <w:tcBorders>
              <w:right w:val="single" w:sz="8" w:color="47829E"/>
            </w:tcBorders>
            <w:shd w:val="clear" w:color="auto" w:fill="47829E"/>
          </w:tcPr>
          <w:p>
            <w:pPr>
              <w:spacing w:after="0"/>
              <w:rPr>
                <w:sz w:val="21"/>
                <w:szCs w:val="21"/>
                <w:color w:val="auto"/>
              </w:rPr>
            </w:pPr>
          </w:p>
        </w:tc>
        <w:tc>
          <w:tcPr>
            <w:tcW w:w="200" w:type="dxa"/>
            <w:vAlign w:val="bottom"/>
            <w:shd w:val="clear" w:color="auto" w:fill="47829E"/>
          </w:tcPr>
          <w:p>
            <w:pPr>
              <w:spacing w:after="0"/>
              <w:rPr>
                <w:sz w:val="21"/>
                <w:szCs w:val="21"/>
                <w:color w:val="auto"/>
              </w:rPr>
            </w:pPr>
          </w:p>
        </w:tc>
        <w:tc>
          <w:tcPr>
            <w:tcW w:w="120" w:type="dxa"/>
            <w:vAlign w:val="bottom"/>
            <w:shd w:val="clear" w:color="auto" w:fill="47829E"/>
          </w:tcPr>
          <w:p>
            <w:pPr>
              <w:spacing w:after="0"/>
              <w:rPr>
                <w:sz w:val="21"/>
                <w:szCs w:val="21"/>
                <w:color w:val="auto"/>
              </w:rPr>
            </w:pPr>
          </w:p>
        </w:tc>
        <w:tc>
          <w:tcPr>
            <w:tcW w:w="220" w:type="dxa"/>
            <w:vAlign w:val="bottom"/>
            <w:shd w:val="clear" w:color="auto" w:fill="47829E"/>
          </w:tcPr>
          <w:p>
            <w:pPr>
              <w:spacing w:after="0"/>
              <w:rPr>
                <w:sz w:val="21"/>
                <w:szCs w:val="21"/>
                <w:color w:val="auto"/>
              </w:rPr>
            </w:pPr>
          </w:p>
        </w:tc>
        <w:tc>
          <w:tcPr>
            <w:tcW w:w="620" w:type="dxa"/>
            <w:vAlign w:val="bottom"/>
            <w:gridSpan w:val="2"/>
            <w:shd w:val="clear" w:color="auto" w:fill="47829E"/>
          </w:tcPr>
          <w:p>
            <w:pPr>
              <w:jc w:val="right"/>
              <w:ind w:right="15"/>
              <w:spacing w:after="0"/>
              <w:rPr>
                <w:sz w:val="20"/>
                <w:szCs w:val="20"/>
                <w:color w:val="auto"/>
              </w:rPr>
            </w:pPr>
            <w:r>
              <w:rPr>
                <w:rFonts w:ascii="Arial" w:cs="Arial" w:eastAsia="Arial" w:hAnsi="Arial"/>
                <w:sz w:val="17"/>
                <w:szCs w:val="17"/>
                <w:b w:val="1"/>
                <w:bCs w:val="1"/>
                <w:color w:val="FFFFFF"/>
              </w:rPr>
              <w:t>2014</w:t>
            </w:r>
          </w:p>
        </w:tc>
        <w:tc>
          <w:tcPr>
            <w:tcW w:w="320" w:type="dxa"/>
            <w:vAlign w:val="bottom"/>
            <w:shd w:val="clear" w:color="auto" w:fill="47829E"/>
          </w:tcPr>
          <w:p>
            <w:pPr>
              <w:spacing w:after="0"/>
              <w:rPr>
                <w:sz w:val="21"/>
                <w:szCs w:val="21"/>
                <w:color w:val="auto"/>
              </w:rPr>
            </w:pPr>
          </w:p>
        </w:tc>
        <w:tc>
          <w:tcPr>
            <w:tcW w:w="120" w:type="dxa"/>
            <w:vAlign w:val="bottom"/>
            <w:shd w:val="clear" w:color="auto" w:fill="47829E"/>
          </w:tcPr>
          <w:p>
            <w:pPr>
              <w:spacing w:after="0"/>
              <w:rPr>
                <w:sz w:val="21"/>
                <w:szCs w:val="21"/>
                <w:color w:val="auto"/>
              </w:rPr>
            </w:pPr>
          </w:p>
        </w:tc>
        <w:tc>
          <w:tcPr>
            <w:tcW w:w="260" w:type="dxa"/>
            <w:vAlign w:val="bottom"/>
            <w:tcBorders>
              <w:right w:val="single" w:sz="8" w:color="47829E"/>
            </w:tcBorders>
            <w:shd w:val="clear" w:color="auto" w:fill="47829E"/>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7380" w:type="dxa"/>
            <w:vAlign w:val="bottom"/>
            <w:tcBorders>
              <w:left w:val="single" w:sz="8" w:color="47829E"/>
              <w:right w:val="single" w:sz="8" w:color="47829E"/>
            </w:tcBorders>
            <w:gridSpan w:val="2"/>
            <w:shd w:val="clear" w:color="auto" w:fill="47829E"/>
          </w:tcPr>
          <w:p>
            <w:pPr>
              <w:spacing w:after="0"/>
              <w:rPr>
                <w:sz w:val="12"/>
                <w:szCs w:val="12"/>
                <w:color w:val="auto"/>
              </w:rPr>
            </w:pPr>
          </w:p>
        </w:tc>
        <w:tc>
          <w:tcPr>
            <w:tcW w:w="560" w:type="dxa"/>
            <w:vAlign w:val="bottom"/>
            <w:gridSpan w:val="2"/>
            <w:shd w:val="clear" w:color="auto" w:fill="47829E"/>
          </w:tcPr>
          <w:p>
            <w:pPr>
              <w:spacing w:after="0"/>
              <w:rPr>
                <w:sz w:val="12"/>
                <w:szCs w:val="12"/>
                <w:color w:val="auto"/>
              </w:rPr>
            </w:pPr>
          </w:p>
        </w:tc>
        <w:tc>
          <w:tcPr>
            <w:tcW w:w="220" w:type="dxa"/>
            <w:vAlign w:val="bottom"/>
            <w:shd w:val="clear" w:color="auto" w:fill="47829E"/>
          </w:tcPr>
          <w:p>
            <w:pPr>
              <w:spacing w:after="0"/>
              <w:rPr>
                <w:sz w:val="12"/>
                <w:szCs w:val="12"/>
                <w:color w:val="auto"/>
              </w:rPr>
            </w:pPr>
          </w:p>
        </w:tc>
        <w:tc>
          <w:tcPr>
            <w:tcW w:w="1060" w:type="dxa"/>
            <w:vAlign w:val="bottom"/>
            <w:gridSpan w:val="2"/>
            <w:shd w:val="clear" w:color="auto" w:fill="47829E"/>
          </w:tcPr>
          <w:p>
            <w:pPr>
              <w:spacing w:after="0"/>
              <w:rPr>
                <w:sz w:val="12"/>
                <w:szCs w:val="12"/>
                <w:color w:val="auto"/>
              </w:rPr>
            </w:pPr>
          </w:p>
        </w:tc>
        <w:tc>
          <w:tcPr>
            <w:tcW w:w="120" w:type="dxa"/>
            <w:vAlign w:val="bottom"/>
            <w:tcBorders>
              <w:right w:val="single" w:sz="8" w:color="47829E"/>
            </w:tcBorders>
            <w:shd w:val="clear" w:color="auto" w:fill="47829E"/>
          </w:tcPr>
          <w:p>
            <w:pPr>
              <w:spacing w:after="0"/>
              <w:rPr>
                <w:sz w:val="12"/>
                <w:szCs w:val="12"/>
                <w:color w:val="auto"/>
              </w:rPr>
            </w:pPr>
          </w:p>
        </w:tc>
        <w:tc>
          <w:tcPr>
            <w:tcW w:w="240" w:type="dxa"/>
            <w:vAlign w:val="bottom"/>
            <w:tcBorders>
              <w:right w:val="single" w:sz="8" w:color="47829E"/>
            </w:tcBorders>
            <w:shd w:val="clear" w:color="auto" w:fill="47829E"/>
          </w:tcPr>
          <w:p>
            <w:pPr>
              <w:spacing w:after="0"/>
              <w:rPr>
                <w:sz w:val="12"/>
                <w:szCs w:val="12"/>
                <w:color w:val="auto"/>
              </w:rPr>
            </w:pPr>
          </w:p>
        </w:tc>
        <w:tc>
          <w:tcPr>
            <w:tcW w:w="320" w:type="dxa"/>
            <w:vAlign w:val="bottom"/>
            <w:gridSpan w:val="2"/>
            <w:shd w:val="clear" w:color="auto" w:fill="47829E"/>
          </w:tcPr>
          <w:p>
            <w:pPr>
              <w:spacing w:after="0"/>
              <w:rPr>
                <w:sz w:val="12"/>
                <w:szCs w:val="12"/>
                <w:color w:val="auto"/>
              </w:rPr>
            </w:pPr>
          </w:p>
        </w:tc>
        <w:tc>
          <w:tcPr>
            <w:tcW w:w="220" w:type="dxa"/>
            <w:vAlign w:val="bottom"/>
            <w:shd w:val="clear" w:color="auto" w:fill="47829E"/>
          </w:tcPr>
          <w:p>
            <w:pPr>
              <w:spacing w:after="0"/>
              <w:rPr>
                <w:sz w:val="12"/>
                <w:szCs w:val="12"/>
                <w:color w:val="auto"/>
              </w:rPr>
            </w:pPr>
          </w:p>
        </w:tc>
        <w:tc>
          <w:tcPr>
            <w:tcW w:w="120" w:type="dxa"/>
            <w:vAlign w:val="bottom"/>
            <w:shd w:val="clear" w:color="auto" w:fill="47829E"/>
          </w:tcPr>
          <w:p>
            <w:pPr>
              <w:spacing w:after="0"/>
              <w:rPr>
                <w:sz w:val="12"/>
                <w:szCs w:val="12"/>
                <w:color w:val="auto"/>
              </w:rPr>
            </w:pPr>
          </w:p>
        </w:tc>
        <w:tc>
          <w:tcPr>
            <w:tcW w:w="500" w:type="dxa"/>
            <w:vAlign w:val="bottom"/>
            <w:shd w:val="clear" w:color="auto" w:fill="47829E"/>
          </w:tcPr>
          <w:p>
            <w:pPr>
              <w:spacing w:after="0"/>
              <w:rPr>
                <w:sz w:val="12"/>
                <w:szCs w:val="12"/>
                <w:color w:val="auto"/>
              </w:rPr>
            </w:pPr>
          </w:p>
        </w:tc>
        <w:tc>
          <w:tcPr>
            <w:tcW w:w="440" w:type="dxa"/>
            <w:vAlign w:val="bottom"/>
            <w:gridSpan w:val="2"/>
            <w:shd w:val="clear" w:color="auto" w:fill="47829E"/>
          </w:tcPr>
          <w:p>
            <w:pPr>
              <w:spacing w:after="0"/>
              <w:rPr>
                <w:sz w:val="12"/>
                <w:szCs w:val="12"/>
                <w:color w:val="auto"/>
              </w:rPr>
            </w:pPr>
          </w:p>
        </w:tc>
        <w:tc>
          <w:tcPr>
            <w:tcW w:w="260" w:type="dxa"/>
            <w:vAlign w:val="bottom"/>
            <w:tcBorders>
              <w:right w:val="single" w:sz="8" w:color="47829E"/>
            </w:tcBorders>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Heritage gross profit</w:t>
            </w:r>
          </w:p>
        </w:tc>
        <w:tc>
          <w:tcPr>
            <w:tcW w:w="5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568,064</w:t>
            </w:r>
          </w:p>
        </w:tc>
        <w:tc>
          <w:tcPr>
            <w:tcW w:w="120" w:type="dxa"/>
            <w:vAlign w:val="bottom"/>
            <w:tcBorders>
              <w:right w:val="single" w:sz="8" w:color="47829E"/>
            </w:tcBorders>
          </w:tcPr>
          <w:p>
            <w:pPr>
              <w:spacing w:after="0"/>
              <w:rPr>
                <w:sz w:val="16"/>
                <w:szCs w:val="16"/>
                <w:color w:val="auto"/>
              </w:rPr>
            </w:pPr>
          </w:p>
        </w:tc>
        <w:tc>
          <w:tcPr>
            <w:tcW w:w="56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454,625</w:t>
            </w: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47829E"/>
            </w:tcBorders>
          </w:tcPr>
          <w:p>
            <w:pPr>
              <w:spacing w:after="0" w:line="20" w:lineRule="exact"/>
              <w:rPr>
                <w:sz w:val="1"/>
                <w:szCs w:val="1"/>
                <w:color w:val="auto"/>
              </w:rPr>
            </w:pPr>
          </w:p>
        </w:tc>
        <w:tc>
          <w:tcPr>
            <w:tcW w:w="7060" w:type="dxa"/>
            <w:vAlign w:val="bottom"/>
            <w:tcBorders>
              <w:right w:val="single" w:sz="8" w:color="47829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left w:val="single" w:sz="8" w:color="47829E"/>
              <w:right w:val="single" w:sz="8" w:color="47829E"/>
            </w:tcBorders>
            <w:gridSpan w:val="2"/>
            <w:shd w:val="clear" w:color="auto" w:fill="DAE6EB"/>
          </w:tcPr>
          <w:p>
            <w:pPr>
              <w:ind w:left="160"/>
              <w:spacing w:after="0" w:line="183" w:lineRule="exact"/>
              <w:rPr>
                <w:sz w:val="20"/>
                <w:szCs w:val="20"/>
                <w:color w:val="auto"/>
              </w:rPr>
            </w:pPr>
            <w:r>
              <w:rPr>
                <w:rFonts w:ascii="Arial" w:cs="Arial" w:eastAsia="Arial" w:hAnsi="Arial"/>
                <w:sz w:val="17"/>
                <w:szCs w:val="17"/>
                <w:color w:val="auto"/>
              </w:rPr>
              <w:t>Heritage total revenues</w:t>
            </w:r>
          </w:p>
        </w:tc>
        <w:tc>
          <w:tcPr>
            <w:tcW w:w="560" w:type="dxa"/>
            <w:vAlign w:val="bottom"/>
            <w:gridSpan w:val="2"/>
            <w:shd w:val="clear" w:color="auto" w:fill="DAE6EB"/>
          </w:tcPr>
          <w:p>
            <w:pPr>
              <w:jc w:val="right"/>
              <w:ind w:right="40"/>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5"/>
                <w:szCs w:val="15"/>
                <w:color w:val="auto"/>
              </w:rPr>
            </w:pPr>
          </w:p>
        </w:tc>
        <w:tc>
          <w:tcPr>
            <w:tcW w:w="1060" w:type="dxa"/>
            <w:vAlign w:val="bottom"/>
            <w:gridSpan w:val="2"/>
            <w:shd w:val="clear" w:color="auto" w:fill="DAE6EB"/>
          </w:tcPr>
          <w:p>
            <w:pPr>
              <w:jc w:val="right"/>
              <w:ind w:right="120"/>
              <w:spacing w:after="0" w:line="183" w:lineRule="exact"/>
              <w:rPr>
                <w:sz w:val="20"/>
                <w:szCs w:val="20"/>
                <w:color w:val="auto"/>
              </w:rPr>
            </w:pPr>
            <w:r>
              <w:rPr>
                <w:rFonts w:ascii="Arial" w:cs="Arial" w:eastAsia="Arial" w:hAnsi="Arial"/>
                <w:sz w:val="17"/>
                <w:szCs w:val="17"/>
                <w:color w:val="auto"/>
              </w:rPr>
              <w:t>2,543,732</w:t>
            </w:r>
          </w:p>
        </w:tc>
        <w:tc>
          <w:tcPr>
            <w:tcW w:w="120" w:type="dxa"/>
            <w:vAlign w:val="bottom"/>
            <w:tcBorders>
              <w:right w:val="single" w:sz="8" w:color="47829E"/>
            </w:tcBorders>
            <w:shd w:val="clear" w:color="auto" w:fill="DAE6EB"/>
          </w:tcPr>
          <w:p>
            <w:pPr>
              <w:spacing w:after="0"/>
              <w:rPr>
                <w:sz w:val="15"/>
                <w:szCs w:val="15"/>
                <w:color w:val="auto"/>
              </w:rPr>
            </w:pPr>
          </w:p>
        </w:tc>
        <w:tc>
          <w:tcPr>
            <w:tcW w:w="560" w:type="dxa"/>
            <w:vAlign w:val="bottom"/>
            <w:gridSpan w:val="3"/>
            <w:shd w:val="clear" w:color="auto" w:fill="DAE6EB"/>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5"/>
                <w:szCs w:val="15"/>
                <w:color w:val="auto"/>
              </w:rPr>
            </w:pPr>
          </w:p>
        </w:tc>
        <w:tc>
          <w:tcPr>
            <w:tcW w:w="1060" w:type="dxa"/>
            <w:vAlign w:val="bottom"/>
            <w:gridSpan w:val="4"/>
            <w:shd w:val="clear" w:color="auto" w:fill="DAE6EB"/>
          </w:tcPr>
          <w:p>
            <w:pPr>
              <w:jc w:val="right"/>
              <w:ind w:right="120"/>
              <w:spacing w:after="0" w:line="183" w:lineRule="exact"/>
              <w:rPr>
                <w:sz w:val="20"/>
                <w:szCs w:val="20"/>
                <w:color w:val="auto"/>
              </w:rPr>
            </w:pPr>
            <w:r>
              <w:rPr>
                <w:rFonts w:ascii="Arial" w:cs="Arial" w:eastAsia="Arial" w:hAnsi="Arial"/>
                <w:sz w:val="17"/>
                <w:szCs w:val="17"/>
                <w:color w:val="auto"/>
              </w:rPr>
              <w:t>2,418,920</w:t>
            </w:r>
          </w:p>
        </w:tc>
        <w:tc>
          <w:tcPr>
            <w:tcW w:w="260" w:type="dxa"/>
            <w:vAlign w:val="bottom"/>
            <w:tcBorders>
              <w:right w:val="single" w:sz="8" w:color="47829E"/>
            </w:tcBorders>
            <w:shd w:val="clear" w:color="auto" w:fill="DAE6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Less: Heritage freight and delivery revenues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(225,705)</w:t>
            </w:r>
          </w:p>
        </w:tc>
        <w:tc>
          <w:tcPr>
            <w:tcW w:w="120" w:type="dxa"/>
            <w:vAlign w:val="bottom"/>
            <w:tcBorders>
              <w:right w:val="single" w:sz="8" w:color="47829E"/>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(251,404)</w:t>
            </w: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47829E"/>
            </w:tcBorders>
          </w:tcPr>
          <w:p>
            <w:pPr>
              <w:spacing w:after="0"/>
              <w:rPr>
                <w:sz w:val="2"/>
                <w:szCs w:val="2"/>
                <w:color w:val="auto"/>
              </w:rPr>
            </w:pPr>
          </w:p>
        </w:tc>
        <w:tc>
          <w:tcPr>
            <w:tcW w:w="7060" w:type="dxa"/>
            <w:vAlign w:val="bottom"/>
            <w:tcBorders>
              <w:right w:val="single" w:sz="8" w:color="47829E"/>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47829E"/>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80" w:type="dxa"/>
            <w:vAlign w:val="bottom"/>
            <w:tcBorders>
              <w:left w:val="single" w:sz="8" w:color="47829E"/>
              <w:right w:val="single" w:sz="8" w:color="47829E"/>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Heritage net sales</w:t>
            </w:r>
          </w:p>
        </w:tc>
        <w:tc>
          <w:tcPr>
            <w:tcW w:w="560" w:type="dxa"/>
            <w:vAlign w:val="bottom"/>
            <w:gridSpan w:val="2"/>
            <w:shd w:val="clear" w:color="auto" w:fill="DAE6EB"/>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6"/>
                <w:szCs w:val="16"/>
                <w:color w:val="auto"/>
              </w:rPr>
            </w:pPr>
          </w:p>
        </w:tc>
        <w:tc>
          <w:tcPr>
            <w:tcW w:w="1060" w:type="dxa"/>
            <w:vAlign w:val="bottom"/>
            <w:gridSpan w:val="2"/>
            <w:shd w:val="clear" w:color="auto" w:fill="DAE6EB"/>
          </w:tcPr>
          <w:p>
            <w:pPr>
              <w:jc w:val="right"/>
              <w:ind w:right="120"/>
              <w:spacing w:after="0" w:line="189" w:lineRule="exact"/>
              <w:rPr>
                <w:sz w:val="20"/>
                <w:szCs w:val="20"/>
                <w:color w:val="auto"/>
              </w:rPr>
            </w:pPr>
            <w:r>
              <w:rPr>
                <w:rFonts w:ascii="Arial" w:cs="Arial" w:eastAsia="Arial" w:hAnsi="Arial"/>
                <w:sz w:val="17"/>
                <w:szCs w:val="17"/>
                <w:color w:val="auto"/>
              </w:rPr>
              <w:t>2,318,027</w:t>
            </w:r>
          </w:p>
        </w:tc>
        <w:tc>
          <w:tcPr>
            <w:tcW w:w="120" w:type="dxa"/>
            <w:vAlign w:val="bottom"/>
            <w:tcBorders>
              <w:right w:val="single" w:sz="8" w:color="47829E"/>
            </w:tcBorders>
            <w:shd w:val="clear" w:color="auto" w:fill="DAE6EB"/>
          </w:tcPr>
          <w:p>
            <w:pPr>
              <w:spacing w:after="0"/>
              <w:rPr>
                <w:sz w:val="16"/>
                <w:szCs w:val="16"/>
                <w:color w:val="auto"/>
              </w:rPr>
            </w:pPr>
          </w:p>
        </w:tc>
        <w:tc>
          <w:tcPr>
            <w:tcW w:w="560" w:type="dxa"/>
            <w:vAlign w:val="bottom"/>
            <w:gridSpan w:val="3"/>
            <w:shd w:val="clear" w:color="auto" w:fill="DAE6EB"/>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6"/>
                <w:szCs w:val="16"/>
                <w:color w:val="auto"/>
              </w:rPr>
            </w:pPr>
          </w:p>
        </w:tc>
        <w:tc>
          <w:tcPr>
            <w:tcW w:w="1060" w:type="dxa"/>
            <w:vAlign w:val="bottom"/>
            <w:gridSpan w:val="4"/>
            <w:shd w:val="clear" w:color="auto" w:fill="DAE6EB"/>
          </w:tcPr>
          <w:p>
            <w:pPr>
              <w:jc w:val="right"/>
              <w:ind w:right="120"/>
              <w:spacing w:after="0" w:line="189" w:lineRule="exact"/>
              <w:rPr>
                <w:sz w:val="20"/>
                <w:szCs w:val="20"/>
                <w:color w:val="auto"/>
              </w:rPr>
            </w:pPr>
            <w:r>
              <w:rPr>
                <w:rFonts w:ascii="Arial" w:cs="Arial" w:eastAsia="Arial" w:hAnsi="Arial"/>
                <w:sz w:val="17"/>
                <w:szCs w:val="17"/>
                <w:color w:val="auto"/>
              </w:rPr>
              <w:t>2,167,516</w:t>
            </w: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Borders>
              <w:left w:val="single" w:sz="8" w:color="47829E"/>
              <w:right w:val="single" w:sz="8" w:color="47829E"/>
            </w:tcBorders>
            <w:gridSpan w:val="2"/>
            <w:vMerge w:val="restart"/>
          </w:tcPr>
          <w:p>
            <w:pPr>
              <w:ind w:left="160"/>
              <w:spacing w:after="0"/>
              <w:rPr>
                <w:sz w:val="20"/>
                <w:szCs w:val="20"/>
                <w:color w:val="auto"/>
              </w:rPr>
            </w:pPr>
            <w:r>
              <w:rPr>
                <w:rFonts w:ascii="Arial" w:cs="Arial" w:eastAsia="Arial" w:hAnsi="Arial"/>
                <w:sz w:val="17"/>
                <w:szCs w:val="17"/>
                <w:color w:val="auto"/>
              </w:rPr>
              <w:t>Heritage gross margin (excluding freight and delivery revenues)</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left w:val="single" w:sz="8" w:color="47829E"/>
              <w:right w:val="single" w:sz="8" w:color="47829E"/>
            </w:tcBorders>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right w:val="single" w:sz="8" w:color="47829E"/>
            </w:tcBorders>
            <w:gridSpan w:val="3"/>
          </w:tcPr>
          <w:p>
            <w:pPr>
              <w:jc w:val="right"/>
              <w:ind w:right="100"/>
              <w:spacing w:after="0" w:line="183" w:lineRule="exact"/>
              <w:rPr>
                <w:sz w:val="20"/>
                <w:szCs w:val="20"/>
                <w:color w:val="auto"/>
              </w:rPr>
            </w:pPr>
            <w:r>
              <w:rPr>
                <w:rFonts w:ascii="Arial" w:cs="Arial" w:eastAsia="Arial" w:hAnsi="Arial"/>
                <w:sz w:val="17"/>
                <w:szCs w:val="17"/>
                <w:color w:val="auto"/>
              </w:rPr>
              <w:t>24.5%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right w:val="single" w:sz="8" w:color="47829E"/>
            </w:tcBorders>
            <w:gridSpan w:val="5"/>
          </w:tcPr>
          <w:p>
            <w:pPr>
              <w:jc w:val="right"/>
              <w:ind w:right="220"/>
              <w:spacing w:after="0" w:line="183" w:lineRule="exact"/>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
        </w:trPr>
        <w:tc>
          <w:tcPr>
            <w:tcW w:w="7380" w:type="dxa"/>
            <w:vAlign w:val="bottom"/>
            <w:tcBorders>
              <w:left w:val="single" w:sz="8" w:color="47829E"/>
              <w:right w:val="single" w:sz="8" w:color="47829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tcBorders>
              <w:left w:val="single" w:sz="8" w:color="47829E"/>
              <w:bottom w:val="single" w:sz="8" w:color="47829E"/>
              <w:right w:val="single" w:sz="8" w:color="47829E"/>
            </w:tcBorders>
            <w:gridSpan w:val="2"/>
          </w:tcPr>
          <w:p>
            <w:pPr>
              <w:spacing w:after="0" w:line="20" w:lineRule="exact"/>
              <w:rPr>
                <w:sz w:val="1"/>
                <w:szCs w:val="1"/>
                <w:color w:val="auto"/>
              </w:rPr>
            </w:pPr>
          </w:p>
        </w:tc>
        <w:tc>
          <w:tcPr>
            <w:tcW w:w="44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tcBorders>
          </w:tcPr>
          <w:p>
            <w:pPr>
              <w:spacing w:after="0" w:line="20" w:lineRule="exact"/>
              <w:rPr>
                <w:sz w:val="1"/>
                <w:szCs w:val="1"/>
                <w:color w:val="auto"/>
              </w:rPr>
            </w:pPr>
          </w:p>
        </w:tc>
        <w:tc>
          <w:tcPr>
            <w:tcW w:w="94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right w:val="single" w:sz="8" w:color="47829E"/>
            </w:tcBorders>
          </w:tcPr>
          <w:p>
            <w:pPr>
              <w:spacing w:after="0" w:line="20" w:lineRule="exact"/>
              <w:rPr>
                <w:sz w:val="1"/>
                <w:szCs w:val="1"/>
                <w:color w:val="auto"/>
              </w:rPr>
            </w:pPr>
          </w:p>
        </w:tc>
        <w:tc>
          <w:tcPr>
            <w:tcW w:w="240" w:type="dxa"/>
            <w:vAlign w:val="bottom"/>
            <w:tcBorders>
              <w:bottom w:val="single" w:sz="8" w:color="47829E"/>
            </w:tcBorders>
          </w:tcPr>
          <w:p>
            <w:pPr>
              <w:spacing w:after="0" w:line="20" w:lineRule="exact"/>
              <w:rPr>
                <w:sz w:val="1"/>
                <w:szCs w:val="1"/>
                <w:color w:val="auto"/>
              </w:rPr>
            </w:pPr>
          </w:p>
        </w:tc>
        <w:tc>
          <w:tcPr>
            <w:tcW w:w="20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500" w:type="dxa"/>
            <w:vAlign w:val="bottom"/>
            <w:tcBorders>
              <w:bottom w:val="single" w:sz="8" w:color="47829E"/>
            </w:tcBorders>
          </w:tcPr>
          <w:p>
            <w:pPr>
              <w:spacing w:after="0" w:line="20" w:lineRule="exact"/>
              <w:rPr>
                <w:sz w:val="1"/>
                <w:szCs w:val="1"/>
                <w:color w:val="auto"/>
              </w:rPr>
            </w:pPr>
          </w:p>
        </w:tc>
        <w:tc>
          <w:tcPr>
            <w:tcW w:w="32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26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Consolidated EBITDA for years ended December 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Borders>
              <w:left w:val="single" w:sz="8" w:color="47829E"/>
            </w:tcBorders>
            <w:shd w:val="clear" w:color="auto" w:fill="47829E"/>
          </w:tcPr>
          <w:p>
            <w:pPr>
              <w:spacing w:after="0"/>
              <w:rPr>
                <w:sz w:val="19"/>
                <w:szCs w:val="19"/>
                <w:color w:val="auto"/>
              </w:rPr>
            </w:pPr>
          </w:p>
        </w:tc>
        <w:tc>
          <w:tcPr>
            <w:tcW w:w="7060" w:type="dxa"/>
            <w:vAlign w:val="bottom"/>
            <w:tcBorders>
              <w:right w:val="single" w:sz="8" w:color="47829E"/>
            </w:tcBorders>
            <w:shd w:val="clear" w:color="auto" w:fill="47829E"/>
          </w:tcPr>
          <w:p>
            <w:pPr>
              <w:spacing w:after="0"/>
              <w:rPr>
                <w:sz w:val="19"/>
                <w:szCs w:val="19"/>
                <w:color w:val="auto"/>
              </w:rPr>
            </w:pPr>
          </w:p>
        </w:tc>
        <w:tc>
          <w:tcPr>
            <w:tcW w:w="440" w:type="dxa"/>
            <w:vAlign w:val="bottom"/>
            <w:shd w:val="clear" w:color="auto" w:fill="47829E"/>
          </w:tcPr>
          <w:p>
            <w:pPr>
              <w:spacing w:after="0"/>
              <w:rPr>
                <w:sz w:val="19"/>
                <w:szCs w:val="19"/>
                <w:color w:val="auto"/>
              </w:rPr>
            </w:pPr>
          </w:p>
        </w:tc>
        <w:tc>
          <w:tcPr>
            <w:tcW w:w="120" w:type="dxa"/>
            <w:vAlign w:val="bottom"/>
            <w:shd w:val="clear" w:color="auto" w:fill="47829E"/>
          </w:tcPr>
          <w:p>
            <w:pPr>
              <w:spacing w:after="0"/>
              <w:rPr>
                <w:sz w:val="19"/>
                <w:szCs w:val="19"/>
                <w:color w:val="auto"/>
              </w:rPr>
            </w:pPr>
          </w:p>
        </w:tc>
        <w:tc>
          <w:tcPr>
            <w:tcW w:w="220" w:type="dxa"/>
            <w:vAlign w:val="bottom"/>
            <w:shd w:val="clear" w:color="auto" w:fill="47829E"/>
          </w:tcPr>
          <w:p>
            <w:pPr>
              <w:spacing w:after="0"/>
              <w:rPr>
                <w:sz w:val="19"/>
                <w:szCs w:val="19"/>
                <w:color w:val="auto"/>
              </w:rPr>
            </w:pPr>
          </w:p>
        </w:tc>
        <w:tc>
          <w:tcPr>
            <w:tcW w:w="940" w:type="dxa"/>
            <w:vAlign w:val="bottom"/>
            <w:shd w:val="clear" w:color="auto" w:fill="47829E"/>
          </w:tcPr>
          <w:p>
            <w:pPr>
              <w:jc w:val="right"/>
              <w:ind w:right="215"/>
              <w:spacing w:after="0"/>
              <w:rPr>
                <w:sz w:val="20"/>
                <w:szCs w:val="20"/>
                <w:color w:val="auto"/>
              </w:rPr>
            </w:pPr>
            <w:r>
              <w:rPr>
                <w:rFonts w:ascii="Arial" w:cs="Arial" w:eastAsia="Arial" w:hAnsi="Arial"/>
                <w:sz w:val="17"/>
                <w:szCs w:val="17"/>
                <w:b w:val="1"/>
                <w:bCs w:val="1"/>
                <w:color w:val="FFFFFF"/>
              </w:rPr>
              <w:t>2015</w:t>
            </w:r>
          </w:p>
        </w:tc>
        <w:tc>
          <w:tcPr>
            <w:tcW w:w="120" w:type="dxa"/>
            <w:vAlign w:val="bottom"/>
            <w:shd w:val="clear" w:color="auto" w:fill="47829E"/>
          </w:tcPr>
          <w:p>
            <w:pPr>
              <w:spacing w:after="0"/>
              <w:rPr>
                <w:sz w:val="19"/>
                <w:szCs w:val="19"/>
                <w:color w:val="auto"/>
              </w:rPr>
            </w:pPr>
          </w:p>
        </w:tc>
        <w:tc>
          <w:tcPr>
            <w:tcW w:w="120" w:type="dxa"/>
            <w:vAlign w:val="bottom"/>
            <w:tcBorders>
              <w:right w:val="single" w:sz="8" w:color="47829E"/>
            </w:tcBorders>
            <w:shd w:val="clear" w:color="auto" w:fill="47829E"/>
          </w:tcPr>
          <w:p>
            <w:pPr>
              <w:spacing w:after="0"/>
              <w:rPr>
                <w:sz w:val="19"/>
                <w:szCs w:val="19"/>
                <w:color w:val="auto"/>
              </w:rPr>
            </w:pPr>
          </w:p>
        </w:tc>
        <w:tc>
          <w:tcPr>
            <w:tcW w:w="240" w:type="dxa"/>
            <w:vAlign w:val="bottom"/>
            <w:tcBorders>
              <w:right w:val="single" w:sz="8" w:color="47829E"/>
            </w:tcBorders>
            <w:shd w:val="clear" w:color="auto" w:fill="47829E"/>
          </w:tcPr>
          <w:p>
            <w:pPr>
              <w:spacing w:after="0"/>
              <w:rPr>
                <w:sz w:val="19"/>
                <w:szCs w:val="19"/>
                <w:color w:val="auto"/>
              </w:rPr>
            </w:pPr>
          </w:p>
        </w:tc>
        <w:tc>
          <w:tcPr>
            <w:tcW w:w="200" w:type="dxa"/>
            <w:vAlign w:val="bottom"/>
            <w:shd w:val="clear" w:color="auto" w:fill="47829E"/>
          </w:tcPr>
          <w:p>
            <w:pPr>
              <w:spacing w:after="0"/>
              <w:rPr>
                <w:sz w:val="19"/>
                <w:szCs w:val="19"/>
                <w:color w:val="auto"/>
              </w:rPr>
            </w:pPr>
          </w:p>
        </w:tc>
        <w:tc>
          <w:tcPr>
            <w:tcW w:w="120" w:type="dxa"/>
            <w:vAlign w:val="bottom"/>
            <w:shd w:val="clear" w:color="auto" w:fill="47829E"/>
          </w:tcPr>
          <w:p>
            <w:pPr>
              <w:spacing w:after="0"/>
              <w:rPr>
                <w:sz w:val="19"/>
                <w:szCs w:val="19"/>
                <w:color w:val="auto"/>
              </w:rPr>
            </w:pPr>
          </w:p>
        </w:tc>
        <w:tc>
          <w:tcPr>
            <w:tcW w:w="220" w:type="dxa"/>
            <w:vAlign w:val="bottom"/>
            <w:shd w:val="clear" w:color="auto" w:fill="47829E"/>
          </w:tcPr>
          <w:p>
            <w:pPr>
              <w:spacing w:after="0"/>
              <w:rPr>
                <w:sz w:val="19"/>
                <w:szCs w:val="19"/>
                <w:color w:val="auto"/>
              </w:rPr>
            </w:pPr>
          </w:p>
        </w:tc>
        <w:tc>
          <w:tcPr>
            <w:tcW w:w="940" w:type="dxa"/>
            <w:vAlign w:val="bottom"/>
            <w:gridSpan w:val="3"/>
            <w:shd w:val="clear" w:color="auto" w:fill="47829E"/>
          </w:tcPr>
          <w:p>
            <w:pPr>
              <w:jc w:val="right"/>
              <w:ind w:right="320"/>
              <w:spacing w:after="0"/>
              <w:rPr>
                <w:sz w:val="20"/>
                <w:szCs w:val="20"/>
                <w:color w:val="auto"/>
              </w:rPr>
            </w:pPr>
            <w:r>
              <w:rPr>
                <w:rFonts w:ascii="Arial" w:cs="Arial" w:eastAsia="Arial" w:hAnsi="Arial"/>
                <w:sz w:val="17"/>
                <w:szCs w:val="17"/>
                <w:b w:val="1"/>
                <w:bCs w:val="1"/>
                <w:color w:val="FFFFFF"/>
              </w:rPr>
              <w:t>2014</w:t>
            </w:r>
          </w:p>
        </w:tc>
        <w:tc>
          <w:tcPr>
            <w:tcW w:w="120" w:type="dxa"/>
            <w:vAlign w:val="bottom"/>
            <w:shd w:val="clear" w:color="auto" w:fill="47829E"/>
          </w:tcPr>
          <w:p>
            <w:pPr>
              <w:spacing w:after="0"/>
              <w:rPr>
                <w:sz w:val="19"/>
                <w:szCs w:val="19"/>
                <w:color w:val="auto"/>
              </w:rPr>
            </w:pPr>
          </w:p>
        </w:tc>
        <w:tc>
          <w:tcPr>
            <w:tcW w:w="260" w:type="dxa"/>
            <w:vAlign w:val="bottom"/>
            <w:tcBorders>
              <w:right w:val="single" w:sz="8" w:color="47829E"/>
            </w:tcBorders>
            <w:shd w:val="clear" w:color="auto" w:fill="47829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380" w:type="dxa"/>
            <w:vAlign w:val="bottom"/>
            <w:tcBorders>
              <w:left w:val="single" w:sz="8" w:color="47829E"/>
              <w:right w:val="single" w:sz="8" w:color="47829E"/>
            </w:tcBorders>
            <w:gridSpan w:val="2"/>
            <w:shd w:val="clear" w:color="auto" w:fill="47829E"/>
          </w:tcPr>
          <w:p>
            <w:pPr>
              <w:spacing w:after="0"/>
              <w:rPr>
                <w:sz w:val="14"/>
                <w:szCs w:val="14"/>
                <w:color w:val="auto"/>
              </w:rPr>
            </w:pPr>
          </w:p>
        </w:tc>
        <w:tc>
          <w:tcPr>
            <w:tcW w:w="780" w:type="dxa"/>
            <w:vAlign w:val="bottom"/>
            <w:gridSpan w:val="3"/>
            <w:shd w:val="clear" w:color="auto" w:fill="47829E"/>
          </w:tcPr>
          <w:p>
            <w:pPr>
              <w:spacing w:after="0"/>
              <w:rPr>
                <w:sz w:val="14"/>
                <w:szCs w:val="14"/>
                <w:color w:val="auto"/>
              </w:rPr>
            </w:pPr>
          </w:p>
        </w:tc>
        <w:tc>
          <w:tcPr>
            <w:tcW w:w="1180" w:type="dxa"/>
            <w:vAlign w:val="bottom"/>
            <w:tcBorders>
              <w:right w:val="single" w:sz="8" w:color="47829E"/>
            </w:tcBorders>
            <w:gridSpan w:val="3"/>
            <w:shd w:val="clear" w:color="auto" w:fill="47829E"/>
          </w:tcPr>
          <w:p>
            <w:pPr>
              <w:spacing w:after="0"/>
              <w:rPr>
                <w:sz w:val="14"/>
                <w:szCs w:val="14"/>
                <w:color w:val="auto"/>
              </w:rPr>
            </w:pPr>
          </w:p>
        </w:tc>
        <w:tc>
          <w:tcPr>
            <w:tcW w:w="240" w:type="dxa"/>
            <w:vAlign w:val="bottom"/>
            <w:tcBorders>
              <w:right w:val="single" w:sz="8" w:color="47829E"/>
            </w:tcBorders>
            <w:shd w:val="clear" w:color="auto" w:fill="47829E"/>
          </w:tcPr>
          <w:p>
            <w:pPr>
              <w:spacing w:after="0"/>
              <w:rPr>
                <w:sz w:val="14"/>
                <w:szCs w:val="14"/>
                <w:color w:val="auto"/>
              </w:rPr>
            </w:pPr>
          </w:p>
        </w:tc>
        <w:tc>
          <w:tcPr>
            <w:tcW w:w="540" w:type="dxa"/>
            <w:vAlign w:val="bottom"/>
            <w:gridSpan w:val="3"/>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500" w:type="dxa"/>
            <w:vAlign w:val="bottom"/>
            <w:shd w:val="clear" w:color="auto" w:fill="47829E"/>
          </w:tcPr>
          <w:p>
            <w:pPr>
              <w:spacing w:after="0"/>
              <w:rPr>
                <w:sz w:val="14"/>
                <w:szCs w:val="14"/>
                <w:color w:val="auto"/>
              </w:rPr>
            </w:pPr>
          </w:p>
        </w:tc>
        <w:tc>
          <w:tcPr>
            <w:tcW w:w="700" w:type="dxa"/>
            <w:vAlign w:val="bottom"/>
            <w:tcBorders>
              <w:right w:val="single" w:sz="8" w:color="47829E"/>
            </w:tcBorders>
            <w:gridSpan w:val="3"/>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Net earnings attributable to Martin Marietta</w:t>
            </w:r>
          </w:p>
        </w:tc>
        <w:tc>
          <w:tcPr>
            <w:tcW w:w="7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right w:val="single" w:sz="8" w:color="47829E"/>
            </w:tcBorders>
            <w:gridSpan w:val="3"/>
          </w:tcPr>
          <w:p>
            <w:pPr>
              <w:jc w:val="right"/>
              <w:ind w:right="120"/>
              <w:spacing w:after="0" w:line="189" w:lineRule="exact"/>
              <w:rPr>
                <w:sz w:val="20"/>
                <w:szCs w:val="20"/>
                <w:color w:val="auto"/>
              </w:rPr>
            </w:pPr>
            <w:r>
              <w:rPr>
                <w:rFonts w:ascii="Arial" w:cs="Arial" w:eastAsia="Arial" w:hAnsi="Arial"/>
                <w:sz w:val="17"/>
                <w:szCs w:val="17"/>
                <w:color w:val="auto"/>
              </w:rPr>
              <w:t>288,792</w:t>
            </w:r>
          </w:p>
        </w:tc>
        <w:tc>
          <w:tcPr>
            <w:tcW w:w="78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right w:val="single" w:sz="8" w:color="47829E"/>
            </w:tcBorders>
            <w:gridSpan w:val="5"/>
          </w:tcPr>
          <w:p>
            <w:pPr>
              <w:jc w:val="right"/>
              <w:ind w:right="260"/>
              <w:spacing w:after="0" w:line="189" w:lineRule="exact"/>
              <w:rPr>
                <w:sz w:val="20"/>
                <w:szCs w:val="20"/>
                <w:color w:val="auto"/>
              </w:rPr>
            </w:pPr>
            <w:r>
              <w:rPr>
                <w:rFonts w:ascii="Arial" w:cs="Arial" w:eastAsia="Arial" w:hAnsi="Arial"/>
                <w:sz w:val="17"/>
                <w:szCs w:val="17"/>
                <w:color w:val="auto"/>
              </w:rPr>
              <w:t>155,601</w:t>
            </w: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Add back:</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1180" w:type="dxa"/>
            <w:vAlign w:val="bottom"/>
            <w:tcBorders>
              <w:right w:val="single" w:sz="8" w:color="47829E"/>
            </w:tcBorders>
            <w:gridSpan w:val="3"/>
            <w:shd w:val="clear" w:color="auto" w:fill="DAE6EB"/>
          </w:tcPr>
          <w:p>
            <w:pPr>
              <w:jc w:val="right"/>
              <w:ind w:right="120"/>
              <w:spacing w:after="0" w:line="189" w:lineRule="exact"/>
              <w:rPr>
                <w:sz w:val="20"/>
                <w:szCs w:val="20"/>
                <w:color w:val="auto"/>
              </w:rPr>
            </w:pPr>
            <w:r>
              <w:rPr>
                <w:rFonts w:ascii="Arial" w:cs="Arial" w:eastAsia="Arial" w:hAnsi="Arial"/>
                <w:sz w:val="17"/>
                <w:szCs w:val="17"/>
                <w:color w:val="auto"/>
              </w:rPr>
              <w:t>76,287</w:t>
            </w:r>
          </w:p>
        </w:tc>
        <w:tc>
          <w:tcPr>
            <w:tcW w:w="240" w:type="dxa"/>
            <w:vAlign w:val="bottom"/>
            <w:tcBorders>
              <w:right w:val="single" w:sz="8" w:color="DAE6EB"/>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1320" w:type="dxa"/>
            <w:vAlign w:val="bottom"/>
            <w:tcBorders>
              <w:right w:val="single" w:sz="8" w:color="47829E"/>
            </w:tcBorders>
            <w:gridSpan w:val="5"/>
            <w:shd w:val="clear" w:color="auto" w:fill="DAE6EB"/>
          </w:tcPr>
          <w:p>
            <w:pPr>
              <w:jc w:val="right"/>
              <w:ind w:right="260"/>
              <w:spacing w:after="0" w:line="189" w:lineRule="exact"/>
              <w:rPr>
                <w:sz w:val="20"/>
                <w:szCs w:val="20"/>
                <w:color w:val="auto"/>
              </w:rPr>
            </w:pPr>
            <w:r>
              <w:rPr>
                <w:rFonts w:ascii="Arial" w:cs="Arial" w:eastAsia="Arial" w:hAnsi="Arial"/>
                <w:sz w:val="17"/>
                <w:szCs w:val="17"/>
                <w:color w:val="auto"/>
              </w:rPr>
              <w:t>66,067</w:t>
            </w: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tcPr>
          <w:p>
            <w:pPr>
              <w:spacing w:after="0"/>
              <w:rPr>
                <w:sz w:val="16"/>
                <w:szCs w:val="16"/>
                <w:color w:val="auto"/>
              </w:rPr>
            </w:pPr>
          </w:p>
        </w:tc>
        <w:tc>
          <w:tcPr>
            <w:tcW w:w="7060" w:type="dxa"/>
            <w:vAlign w:val="bottom"/>
            <w:tcBorders>
              <w:right w:val="single" w:sz="8" w:color="47829E"/>
            </w:tcBorders>
          </w:tcPr>
          <w:p>
            <w:pPr>
              <w:ind w:left="60"/>
              <w:spacing w:after="0" w:line="189" w:lineRule="exact"/>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right w:val="single" w:sz="8" w:color="47829E"/>
            </w:tcBorders>
            <w:gridSpan w:val="3"/>
          </w:tcPr>
          <w:p>
            <w:pPr>
              <w:jc w:val="right"/>
              <w:ind w:right="120"/>
              <w:spacing w:after="0" w:line="189" w:lineRule="exact"/>
              <w:rPr>
                <w:sz w:val="20"/>
                <w:szCs w:val="20"/>
                <w:color w:val="auto"/>
              </w:rPr>
            </w:pPr>
            <w:r>
              <w:rPr>
                <w:rFonts w:ascii="Arial" w:cs="Arial" w:eastAsia="Arial" w:hAnsi="Arial"/>
                <w:sz w:val="17"/>
                <w:szCs w:val="17"/>
                <w:color w:val="auto"/>
              </w:rPr>
              <w:t>124,793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right w:val="single" w:sz="8" w:color="47829E"/>
            </w:tcBorders>
            <w:gridSpan w:val="5"/>
          </w:tcPr>
          <w:p>
            <w:pPr>
              <w:jc w:val="right"/>
              <w:ind w:right="260"/>
              <w:spacing w:after="0" w:line="189" w:lineRule="exact"/>
              <w:rPr>
                <w:sz w:val="20"/>
                <w:szCs w:val="20"/>
                <w:color w:val="auto"/>
              </w:rPr>
            </w:pPr>
            <w:r>
              <w:rPr>
                <w:rFonts w:ascii="Arial" w:cs="Arial" w:eastAsia="Arial" w:hAnsi="Arial"/>
                <w:sz w:val="17"/>
                <w:szCs w:val="17"/>
                <w:color w:val="auto"/>
              </w:rPr>
              <w:t>94,729</w:t>
            </w: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shd w:val="clear" w:color="auto" w:fill="DAE6EB"/>
          </w:tcPr>
          <w:p>
            <w:pPr>
              <w:spacing w:after="0"/>
              <w:rPr>
                <w:sz w:val="16"/>
                <w:szCs w:val="16"/>
                <w:color w:val="auto"/>
              </w:rPr>
            </w:pPr>
          </w:p>
        </w:tc>
        <w:tc>
          <w:tcPr>
            <w:tcW w:w="7060" w:type="dxa"/>
            <w:vAlign w:val="bottom"/>
            <w:tcBorders>
              <w:right w:val="single" w:sz="8" w:color="47829E"/>
            </w:tcBorders>
            <w:shd w:val="clear" w:color="auto" w:fill="DAE6EB"/>
          </w:tcPr>
          <w:p>
            <w:pPr>
              <w:ind w:left="60"/>
              <w:spacing w:after="0" w:line="189" w:lineRule="exact"/>
              <w:rPr>
                <w:sz w:val="20"/>
                <w:szCs w:val="20"/>
                <w:color w:val="auto"/>
              </w:rPr>
            </w:pPr>
            <w:r>
              <w:rPr>
                <w:rFonts w:ascii="Arial" w:cs="Arial" w:eastAsia="Arial" w:hAnsi="Arial"/>
                <w:sz w:val="17"/>
                <w:szCs w:val="17"/>
                <w:color w:val="auto"/>
              </w:rPr>
              <w:t>Income tax expense for controlling interests</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tcBorders>
              <w:bottom w:val="single" w:sz="8" w:color="auto"/>
            </w:tcBorders>
            <w:shd w:val="clear" w:color="auto" w:fill="DAE6EB"/>
          </w:tcPr>
          <w:p>
            <w:pPr>
              <w:spacing w:after="0"/>
              <w:rPr>
                <w:sz w:val="16"/>
                <w:szCs w:val="16"/>
                <w:color w:val="auto"/>
              </w:rPr>
            </w:pPr>
          </w:p>
        </w:tc>
        <w:tc>
          <w:tcPr>
            <w:tcW w:w="1060" w:type="dxa"/>
            <w:vAlign w:val="bottom"/>
            <w:tcBorders>
              <w:bottom w:val="single" w:sz="8" w:color="auto"/>
            </w:tcBorders>
            <w:gridSpan w:val="2"/>
            <w:shd w:val="clear" w:color="auto" w:fill="DAE6EB"/>
          </w:tcPr>
          <w:p>
            <w:pPr>
              <w:jc w:val="right"/>
              <w:spacing w:after="0" w:line="189" w:lineRule="exact"/>
              <w:rPr>
                <w:sz w:val="20"/>
                <w:szCs w:val="20"/>
                <w:color w:val="auto"/>
              </w:rPr>
            </w:pPr>
            <w:r>
              <w:rPr>
                <w:rFonts w:ascii="Arial" w:cs="Arial" w:eastAsia="Arial" w:hAnsi="Arial"/>
                <w:sz w:val="17"/>
                <w:szCs w:val="17"/>
                <w:color w:val="auto"/>
              </w:rPr>
              <w:t>260,836</w:t>
            </w:r>
          </w:p>
        </w:tc>
        <w:tc>
          <w:tcPr>
            <w:tcW w:w="120" w:type="dxa"/>
            <w:vAlign w:val="bottom"/>
            <w:tcBorders>
              <w:right w:val="single" w:sz="8" w:color="47829E"/>
            </w:tcBorders>
            <w:shd w:val="clear" w:color="auto" w:fill="DAE6EB"/>
          </w:tcPr>
          <w:p>
            <w:pPr>
              <w:spacing w:after="0"/>
              <w:rPr>
                <w:sz w:val="16"/>
                <w:szCs w:val="16"/>
                <w:color w:val="auto"/>
              </w:rPr>
            </w:pPr>
          </w:p>
        </w:tc>
        <w:tc>
          <w:tcPr>
            <w:tcW w:w="240" w:type="dxa"/>
            <w:vAlign w:val="bottom"/>
            <w:tcBorders>
              <w:right w:val="single" w:sz="8" w:color="DAE6EB"/>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tcBorders>
              <w:bottom w:val="single" w:sz="8" w:color="auto"/>
            </w:tcBorders>
            <w:shd w:val="clear" w:color="auto" w:fill="DAE6EB"/>
          </w:tcPr>
          <w:p>
            <w:pPr>
              <w:spacing w:after="0"/>
              <w:rPr>
                <w:sz w:val="16"/>
                <w:szCs w:val="16"/>
                <w:color w:val="auto"/>
              </w:rPr>
            </w:pPr>
          </w:p>
        </w:tc>
        <w:tc>
          <w:tcPr>
            <w:tcW w:w="1060" w:type="dxa"/>
            <w:vAlign w:val="bottom"/>
            <w:tcBorders>
              <w:bottom w:val="single" w:sz="8" w:color="auto"/>
            </w:tcBorders>
            <w:gridSpan w:val="4"/>
            <w:shd w:val="clear" w:color="auto" w:fill="DAE6EB"/>
          </w:tcPr>
          <w:p>
            <w:pPr>
              <w:jc w:val="right"/>
              <w:spacing w:after="0" w:line="189" w:lineRule="exact"/>
              <w:rPr>
                <w:sz w:val="20"/>
                <w:szCs w:val="20"/>
                <w:color w:val="auto"/>
              </w:rPr>
            </w:pPr>
            <w:r>
              <w:rPr>
                <w:rFonts w:ascii="Arial" w:cs="Arial" w:eastAsia="Arial" w:hAnsi="Arial"/>
                <w:sz w:val="17"/>
                <w:szCs w:val="17"/>
                <w:color w:val="auto"/>
              </w:rPr>
              <w:t>220,553</w:t>
            </w: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 w:type="dxa"/>
            <w:vAlign w:val="bottom"/>
            <w:tcBorders>
              <w:left w:val="single" w:sz="8" w:color="47829E"/>
            </w:tcBorders>
          </w:tcPr>
          <w:p>
            <w:pPr>
              <w:spacing w:after="0"/>
              <w:rPr>
                <w:sz w:val="17"/>
                <w:szCs w:val="17"/>
                <w:color w:val="auto"/>
              </w:rPr>
            </w:pPr>
          </w:p>
        </w:tc>
        <w:tc>
          <w:tcPr>
            <w:tcW w:w="7060" w:type="dxa"/>
            <w:vAlign w:val="bottom"/>
            <w:tcBorders>
              <w:right w:val="single" w:sz="8" w:color="47829E"/>
            </w:tcBorders>
          </w:tcPr>
          <w:p>
            <w:pPr>
              <w:ind w:left="60"/>
              <w:spacing w:after="0"/>
              <w:rPr>
                <w:sz w:val="20"/>
                <w:szCs w:val="20"/>
                <w:color w:val="auto"/>
              </w:rPr>
            </w:pPr>
            <w:r>
              <w:rPr>
                <w:rFonts w:ascii="Arial" w:cs="Arial" w:eastAsia="Arial" w:hAnsi="Arial"/>
                <w:sz w:val="17"/>
                <w:szCs w:val="17"/>
                <w:color w:val="auto"/>
              </w:rPr>
              <w:t>Depreciation, depletion and amortization expense</w:t>
            </w:r>
          </w:p>
        </w:tc>
        <w:tc>
          <w:tcPr>
            <w:tcW w:w="7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47829E"/>
            </w:tcBorders>
            <w:gridSpan w:val="3"/>
          </w:tcPr>
          <w:p>
            <w:pPr>
              <w:jc w:val="right"/>
              <w:ind w:right="120"/>
              <w:spacing w:after="0"/>
              <w:rPr>
                <w:sz w:val="20"/>
                <w:szCs w:val="20"/>
                <w:color w:val="auto"/>
              </w:rPr>
            </w:pPr>
            <w:r>
              <w:rPr>
                <w:rFonts w:ascii="Arial" w:cs="Arial" w:eastAsia="Arial" w:hAnsi="Arial"/>
                <w:sz w:val="17"/>
                <w:szCs w:val="17"/>
                <w:color w:val="auto"/>
              </w:rPr>
              <w:t>750,708</w:t>
            </w:r>
          </w:p>
        </w:tc>
        <w:tc>
          <w:tcPr>
            <w:tcW w:w="7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47829E"/>
            </w:tcBorders>
            <w:gridSpan w:val="5"/>
          </w:tcPr>
          <w:p>
            <w:pPr>
              <w:jc w:val="right"/>
              <w:ind w:right="260"/>
              <w:spacing w:after="0"/>
              <w:rPr>
                <w:sz w:val="20"/>
                <w:szCs w:val="20"/>
                <w:color w:val="auto"/>
              </w:rPr>
            </w:pPr>
            <w:r>
              <w:rPr>
                <w:rFonts w:ascii="Arial" w:cs="Arial" w:eastAsia="Arial" w:hAnsi="Arial"/>
                <w:sz w:val="17"/>
                <w:szCs w:val="17"/>
                <w:color w:val="auto"/>
              </w:rPr>
              <w:t>536,950</w:t>
            </w:r>
          </w:p>
        </w:tc>
        <w:tc>
          <w:tcPr>
            <w:tcW w:w="0" w:type="dxa"/>
            <w:vAlign w:val="bottom"/>
          </w:tcPr>
          <w:p>
            <w:pPr>
              <w:spacing w:after="0"/>
              <w:rPr>
                <w:sz w:val="1"/>
                <w:szCs w:val="1"/>
                <w:color w:val="auto"/>
              </w:rPr>
            </w:pPr>
          </w:p>
        </w:tc>
      </w:tr>
      <w:tr>
        <w:trPr>
          <w:trHeight w:val="20"/>
        </w:trPr>
        <w:tc>
          <w:tcPr>
            <w:tcW w:w="320" w:type="dxa"/>
            <w:vAlign w:val="bottom"/>
            <w:tcBorders>
              <w:left w:val="single" w:sz="8" w:color="47829E"/>
            </w:tcBorders>
          </w:tcPr>
          <w:p>
            <w:pPr>
              <w:spacing w:after="0" w:line="20" w:lineRule="exact"/>
              <w:rPr>
                <w:sz w:val="1"/>
                <w:szCs w:val="1"/>
                <w:color w:val="auto"/>
              </w:rPr>
            </w:pPr>
          </w:p>
        </w:tc>
        <w:tc>
          <w:tcPr>
            <w:tcW w:w="7060" w:type="dxa"/>
            <w:vAlign w:val="bottom"/>
            <w:tcBorders>
              <w:right w:val="single" w:sz="8" w:color="47829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left w:val="single" w:sz="8" w:color="47829E"/>
              <w:bottom w:val="single" w:sz="8" w:color="47829E"/>
              <w:right w:val="single" w:sz="8" w:color="47829E"/>
            </w:tcBorders>
            <w:gridSpan w:val="2"/>
            <w:shd w:val="clear" w:color="auto" w:fill="DAE6EB"/>
          </w:tcPr>
          <w:p>
            <w:pPr>
              <w:ind w:left="160"/>
              <w:spacing w:after="0" w:line="183" w:lineRule="exact"/>
              <w:rPr>
                <w:sz w:val="20"/>
                <w:szCs w:val="20"/>
                <w:color w:val="auto"/>
              </w:rPr>
            </w:pPr>
            <w:r>
              <w:rPr>
                <w:rFonts w:ascii="Arial" w:cs="Arial" w:eastAsia="Arial" w:hAnsi="Arial"/>
                <w:sz w:val="17"/>
                <w:szCs w:val="17"/>
                <w:color w:val="auto"/>
              </w:rPr>
              <w:t>Consolidated EBITDA</w:t>
            </w:r>
          </w:p>
        </w:tc>
        <w:tc>
          <w:tcPr>
            <w:tcW w:w="44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220" w:type="dxa"/>
            <w:vAlign w:val="bottom"/>
            <w:tcBorders>
              <w:bottom w:val="single" w:sz="8" w:color="47829E"/>
            </w:tcBorders>
            <w:shd w:val="clear" w:color="auto" w:fill="DAE6EB"/>
          </w:tcPr>
          <w:p>
            <w:pPr>
              <w:spacing w:after="0"/>
              <w:rPr>
                <w:sz w:val="15"/>
                <w:szCs w:val="15"/>
                <w:color w:val="auto"/>
              </w:rPr>
            </w:pPr>
          </w:p>
        </w:tc>
        <w:tc>
          <w:tcPr>
            <w:tcW w:w="94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right w:val="single" w:sz="8" w:color="47829E"/>
            </w:tcBorders>
            <w:shd w:val="clear" w:color="auto" w:fill="DAE6EB"/>
          </w:tcPr>
          <w:p>
            <w:pPr>
              <w:spacing w:after="0"/>
              <w:rPr>
                <w:sz w:val="15"/>
                <w:szCs w:val="15"/>
                <w:color w:val="auto"/>
              </w:rPr>
            </w:pPr>
          </w:p>
        </w:tc>
        <w:tc>
          <w:tcPr>
            <w:tcW w:w="240" w:type="dxa"/>
            <w:vAlign w:val="bottom"/>
            <w:tcBorders>
              <w:bottom w:val="single" w:sz="8" w:color="47829E"/>
              <w:right w:val="single" w:sz="8" w:color="DAE6EB"/>
            </w:tcBorders>
            <w:shd w:val="clear" w:color="auto" w:fill="DAE6EB"/>
          </w:tcPr>
          <w:p>
            <w:pPr>
              <w:spacing w:after="0"/>
              <w:rPr>
                <w:sz w:val="15"/>
                <w:szCs w:val="15"/>
                <w:color w:val="auto"/>
              </w:rPr>
            </w:pPr>
          </w:p>
        </w:tc>
        <w:tc>
          <w:tcPr>
            <w:tcW w:w="20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22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500" w:type="dxa"/>
            <w:vAlign w:val="bottom"/>
            <w:tcBorders>
              <w:bottom w:val="single" w:sz="8" w:color="47829E"/>
            </w:tcBorders>
            <w:shd w:val="clear" w:color="auto" w:fill="DAE6EB"/>
          </w:tcPr>
          <w:p>
            <w:pPr>
              <w:spacing w:after="0"/>
              <w:rPr>
                <w:sz w:val="15"/>
                <w:szCs w:val="15"/>
                <w:color w:val="auto"/>
              </w:rPr>
            </w:pPr>
          </w:p>
        </w:tc>
        <w:tc>
          <w:tcPr>
            <w:tcW w:w="32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260" w:type="dxa"/>
            <w:vAlign w:val="bottom"/>
            <w:tcBorders>
              <w:bottom w:val="single" w:sz="8" w:color="47829E"/>
              <w:right w:val="single" w:sz="8" w:color="47829E"/>
            </w:tcBorders>
            <w:shd w:val="clear" w:color="auto" w:fill="DAE6EB"/>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Adjusted Earnings per Diluted Share for year ended December 31, 2015: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80" w:type="dxa"/>
            <w:vAlign w:val="bottom"/>
            <w:tcBorders>
              <w:bottom w:val="single" w:sz="8" w:color="47829E"/>
            </w:tcBorders>
            <w:gridSpan w:val="2"/>
          </w:tcPr>
          <w:p>
            <w:pPr>
              <w:spacing w:after="0"/>
              <w:rPr>
                <w:sz w:val="20"/>
                <w:szCs w:val="20"/>
                <w:color w:val="auto"/>
              </w:rPr>
            </w:pPr>
          </w:p>
        </w:tc>
        <w:tc>
          <w:tcPr>
            <w:tcW w:w="44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20" w:type="dxa"/>
            <w:vAlign w:val="bottom"/>
            <w:tcBorders>
              <w:bottom w:val="single" w:sz="8" w:color="47829E"/>
            </w:tcBorders>
          </w:tcPr>
          <w:p>
            <w:pPr>
              <w:spacing w:after="0"/>
              <w:rPr>
                <w:sz w:val="20"/>
                <w:szCs w:val="20"/>
                <w:color w:val="auto"/>
              </w:rPr>
            </w:pPr>
          </w:p>
        </w:tc>
        <w:tc>
          <w:tcPr>
            <w:tcW w:w="94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40" w:type="dxa"/>
            <w:vAlign w:val="bottom"/>
            <w:tcBorders>
              <w:bottom w:val="single" w:sz="8" w:color="47829E"/>
            </w:tcBorders>
          </w:tcPr>
          <w:p>
            <w:pPr>
              <w:spacing w:after="0"/>
              <w:rPr>
                <w:sz w:val="20"/>
                <w:szCs w:val="20"/>
                <w:color w:val="auto"/>
              </w:rPr>
            </w:pPr>
          </w:p>
        </w:tc>
        <w:tc>
          <w:tcPr>
            <w:tcW w:w="20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20" w:type="dxa"/>
            <w:vAlign w:val="bottom"/>
            <w:tcBorders>
              <w:bottom w:val="single" w:sz="8" w:color="47829E"/>
            </w:tcBorders>
          </w:tcPr>
          <w:p>
            <w:pPr>
              <w:spacing w:after="0"/>
              <w:rPr>
                <w:sz w:val="20"/>
                <w:szCs w:val="20"/>
                <w:color w:val="auto"/>
              </w:rPr>
            </w:pPr>
          </w:p>
        </w:tc>
        <w:tc>
          <w:tcPr>
            <w:tcW w:w="940" w:type="dxa"/>
            <w:vAlign w:val="bottom"/>
            <w:tcBorders>
              <w:bottom w:val="single" w:sz="8" w:color="47829E"/>
            </w:tcBorders>
            <w:gridSpan w:val="3"/>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60" w:type="dxa"/>
            <w:vAlign w:val="bottom"/>
            <w:tcBorders>
              <w:bottom w:val="single" w:sz="8" w:color="47829E"/>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80" w:type="dxa"/>
            <w:vAlign w:val="bottom"/>
            <w:tcBorders>
              <w:left w:val="single" w:sz="8" w:color="47829E"/>
            </w:tcBorders>
            <w:gridSpan w:val="2"/>
          </w:tcPr>
          <w:p>
            <w:pPr>
              <w:ind w:left="160"/>
              <w:spacing w:after="0" w:line="183" w:lineRule="exact"/>
              <w:rPr>
                <w:sz w:val="20"/>
                <w:szCs w:val="20"/>
                <w:color w:val="auto"/>
              </w:rPr>
            </w:pPr>
            <w:r>
              <w:rPr>
                <w:rFonts w:ascii="Arial" w:cs="Arial" w:eastAsia="Arial" w:hAnsi="Arial"/>
                <w:sz w:val="17"/>
                <w:szCs w:val="17"/>
                <w:color w:val="auto"/>
              </w:rPr>
              <w:t>Earnings per diluted share in accordance with GAAP</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right w:val="single" w:sz="8" w:color="47829E"/>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320"/>
              <w:spacing w:after="0" w:line="183" w:lineRule="exact"/>
              <w:rPr>
                <w:sz w:val="20"/>
                <w:szCs w:val="20"/>
                <w:color w:val="auto"/>
              </w:rPr>
            </w:pPr>
            <w:r>
              <w:rPr>
                <w:rFonts w:ascii="Arial" w:cs="Arial" w:eastAsia="Arial" w:hAnsi="Arial"/>
                <w:sz w:val="17"/>
                <w:szCs w:val="17"/>
                <w:color w:val="auto"/>
              </w:rPr>
              <w:t>$ 4.29</w:t>
            </w:r>
          </w:p>
        </w:tc>
        <w:tc>
          <w:tcPr>
            <w:tcW w:w="120" w:type="dxa"/>
            <w:vAlign w:val="bottom"/>
          </w:tcPr>
          <w:p>
            <w:pPr>
              <w:spacing w:after="0"/>
              <w:rPr>
                <w:sz w:val="15"/>
                <w:szCs w:val="15"/>
                <w:color w:val="auto"/>
              </w:rPr>
            </w:pPr>
          </w:p>
        </w:tc>
        <w:tc>
          <w:tcPr>
            <w:tcW w:w="260" w:type="dxa"/>
            <w:vAlign w:val="bottom"/>
            <w:tcBorders>
              <w:right w:val="single" w:sz="8" w:color="47829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DAE6EB"/>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Add back:</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9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120" w:type="dxa"/>
            <w:vAlign w:val="bottom"/>
            <w:tcBorders>
              <w:right w:val="single" w:sz="8" w:color="DAE6EB"/>
            </w:tcBorders>
            <w:shd w:val="clear" w:color="auto" w:fill="DAE6EB"/>
          </w:tcPr>
          <w:p>
            <w:pPr>
              <w:spacing w:after="0"/>
              <w:rPr>
                <w:sz w:val="16"/>
                <w:szCs w:val="16"/>
                <w:color w:val="auto"/>
              </w:rPr>
            </w:pPr>
          </w:p>
        </w:tc>
        <w:tc>
          <w:tcPr>
            <w:tcW w:w="240" w:type="dxa"/>
            <w:vAlign w:val="bottom"/>
            <w:tcBorders>
              <w:right w:val="single" w:sz="8" w:color="47829E"/>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500" w:type="dxa"/>
            <w:vAlign w:val="bottom"/>
            <w:shd w:val="clear" w:color="auto" w:fill="DAE6EB"/>
          </w:tcPr>
          <w:p>
            <w:pPr>
              <w:spacing w:after="0"/>
              <w:rPr>
                <w:sz w:val="16"/>
                <w:szCs w:val="16"/>
                <w:color w:val="auto"/>
              </w:rPr>
            </w:pPr>
          </w:p>
        </w:tc>
        <w:tc>
          <w:tcPr>
            <w:tcW w:w="32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tcPr>
          <w:p>
            <w:pPr>
              <w:spacing w:after="0"/>
              <w:rPr>
                <w:sz w:val="16"/>
                <w:szCs w:val="16"/>
                <w:color w:val="auto"/>
              </w:rPr>
            </w:pPr>
          </w:p>
        </w:tc>
        <w:tc>
          <w:tcPr>
            <w:tcW w:w="7060" w:type="dxa"/>
            <w:vAlign w:val="bottom"/>
          </w:tcPr>
          <w:p>
            <w:pPr>
              <w:ind w:left="60"/>
              <w:spacing w:after="0" w:line="189" w:lineRule="exact"/>
              <w:rPr>
                <w:sz w:val="20"/>
                <w:szCs w:val="20"/>
                <w:color w:val="auto"/>
              </w:rPr>
            </w:pPr>
            <w:r>
              <w:rPr>
                <w:rFonts w:ascii="Arial" w:cs="Arial" w:eastAsia="Arial" w:hAnsi="Arial"/>
                <w:sz w:val="17"/>
                <w:szCs w:val="17"/>
                <w:color w:val="auto"/>
              </w:rPr>
              <w:t>Loss on the sale of California cement operations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47829E"/>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ind w:right="320"/>
              <w:spacing w:after="0" w:line="189" w:lineRule="exact"/>
              <w:rPr>
                <w:sz w:val="20"/>
                <w:szCs w:val="20"/>
                <w:color w:val="auto"/>
              </w:rPr>
            </w:pPr>
            <w:r>
              <w:rPr>
                <w:rFonts w:ascii="Arial" w:cs="Arial" w:eastAsia="Arial" w:hAnsi="Arial"/>
                <w:sz w:val="17"/>
                <w:szCs w:val="17"/>
                <w:color w:val="auto"/>
              </w:rPr>
              <w:t>0.31</w:t>
            </w:r>
          </w:p>
        </w:tc>
        <w:tc>
          <w:tcPr>
            <w:tcW w:w="120" w:type="dxa"/>
            <w:vAlign w:val="bottom"/>
          </w:tcPr>
          <w:p>
            <w:pPr>
              <w:spacing w:after="0"/>
              <w:rPr>
                <w:sz w:val="16"/>
                <w:szCs w:val="16"/>
                <w:color w:val="auto"/>
              </w:rPr>
            </w:pP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DAE6EB"/>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Less:</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9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120" w:type="dxa"/>
            <w:vAlign w:val="bottom"/>
            <w:tcBorders>
              <w:right w:val="single" w:sz="8" w:color="DAE6EB"/>
            </w:tcBorders>
            <w:shd w:val="clear" w:color="auto" w:fill="DAE6EB"/>
          </w:tcPr>
          <w:p>
            <w:pPr>
              <w:spacing w:after="0"/>
              <w:rPr>
                <w:sz w:val="16"/>
                <w:szCs w:val="16"/>
                <w:color w:val="auto"/>
              </w:rPr>
            </w:pPr>
          </w:p>
        </w:tc>
        <w:tc>
          <w:tcPr>
            <w:tcW w:w="240" w:type="dxa"/>
            <w:vAlign w:val="bottom"/>
            <w:tcBorders>
              <w:right w:val="single" w:sz="8" w:color="47829E"/>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940" w:type="dxa"/>
            <w:vAlign w:val="bottom"/>
            <w:gridSpan w:val="3"/>
            <w:shd w:val="clear" w:color="auto" w:fill="DAE6EB"/>
          </w:tcPr>
          <w:p>
            <w:pPr>
              <w:jc w:val="right"/>
              <w:ind w:right="320"/>
              <w:spacing w:after="0" w:line="189" w:lineRule="exact"/>
              <w:rPr>
                <w:sz w:val="20"/>
                <w:szCs w:val="20"/>
                <w:color w:val="auto"/>
              </w:rPr>
            </w:pPr>
            <w:r>
              <w:rPr>
                <w:rFonts w:ascii="Arial" w:cs="Arial" w:eastAsia="Arial" w:hAnsi="Arial"/>
                <w:sz w:val="17"/>
                <w:szCs w:val="17"/>
                <w:color w:val="auto"/>
              </w:rPr>
              <w:t>0.12</w:t>
            </w:r>
          </w:p>
        </w:tc>
        <w:tc>
          <w:tcPr>
            <w:tcW w:w="120" w:type="dxa"/>
            <w:vAlign w:val="bottom"/>
            <w:shd w:val="clear" w:color="auto" w:fill="DAE6EB"/>
          </w:tcPr>
          <w:p>
            <w:pPr>
              <w:spacing w:after="0"/>
              <w:rPr>
                <w:sz w:val="16"/>
                <w:szCs w:val="16"/>
                <w:color w:val="auto"/>
              </w:rPr>
            </w:pP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tcPr>
          <w:p>
            <w:pPr>
              <w:spacing w:after="0"/>
              <w:rPr>
                <w:sz w:val="16"/>
                <w:szCs w:val="16"/>
                <w:color w:val="auto"/>
              </w:rPr>
            </w:pPr>
          </w:p>
        </w:tc>
        <w:tc>
          <w:tcPr>
            <w:tcW w:w="7060" w:type="dxa"/>
            <w:vAlign w:val="bottom"/>
          </w:tcPr>
          <w:p>
            <w:pPr>
              <w:ind w:left="60"/>
              <w:spacing w:after="0" w:line="189" w:lineRule="exact"/>
              <w:rPr>
                <w:sz w:val="20"/>
                <w:szCs w:val="20"/>
                <w:color w:val="auto"/>
              </w:rPr>
            </w:pPr>
            <w:r>
              <w:rPr>
                <w:rFonts w:ascii="Arial" w:cs="Arial" w:eastAsia="Arial" w:hAnsi="Arial"/>
                <w:sz w:val="17"/>
                <w:szCs w:val="17"/>
                <w:color w:val="auto"/>
              </w:rPr>
              <w:t>Gain on the sale of San Antonio asphalt operations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47829E"/>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(0.10)</w:t>
            </w:r>
          </w:p>
        </w:tc>
        <w:tc>
          <w:tcPr>
            <w:tcW w:w="120" w:type="dxa"/>
            <w:vAlign w:val="bottom"/>
          </w:tcPr>
          <w:p>
            <w:pPr>
              <w:spacing w:after="0"/>
              <w:rPr>
                <w:sz w:val="16"/>
                <w:szCs w:val="16"/>
                <w:color w:val="auto"/>
              </w:rPr>
            </w:pP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47829E"/>
            </w:tcBorders>
          </w:tcPr>
          <w:p>
            <w:pPr>
              <w:spacing w:after="0"/>
              <w:rPr>
                <w:sz w:val="2"/>
                <w:szCs w:val="2"/>
                <w:color w:val="auto"/>
              </w:rPr>
            </w:pPr>
          </w:p>
        </w:tc>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47829E"/>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380" w:type="dxa"/>
            <w:vAlign w:val="bottom"/>
            <w:tcBorders>
              <w:left w:val="single" w:sz="8" w:color="47829E"/>
              <w:right w:val="single" w:sz="8" w:color="DAE6EB"/>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Adjusted earnings per diluted share</w:t>
            </w:r>
          </w:p>
        </w:tc>
        <w:tc>
          <w:tcPr>
            <w:tcW w:w="44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220" w:type="dxa"/>
            <w:vAlign w:val="bottom"/>
            <w:shd w:val="clear" w:color="auto" w:fill="DAE6EB"/>
          </w:tcPr>
          <w:p>
            <w:pPr>
              <w:spacing w:after="0"/>
              <w:rPr>
                <w:sz w:val="23"/>
                <w:szCs w:val="23"/>
                <w:color w:val="auto"/>
              </w:rPr>
            </w:pPr>
          </w:p>
        </w:tc>
        <w:tc>
          <w:tcPr>
            <w:tcW w:w="94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120" w:type="dxa"/>
            <w:vAlign w:val="bottom"/>
            <w:tcBorders>
              <w:right w:val="single" w:sz="8" w:color="DAE6EB"/>
            </w:tcBorders>
            <w:shd w:val="clear" w:color="auto" w:fill="DAE6EB"/>
          </w:tcPr>
          <w:p>
            <w:pPr>
              <w:spacing w:after="0"/>
              <w:rPr>
                <w:sz w:val="23"/>
                <w:szCs w:val="23"/>
                <w:color w:val="auto"/>
              </w:rPr>
            </w:pPr>
          </w:p>
        </w:tc>
        <w:tc>
          <w:tcPr>
            <w:tcW w:w="240" w:type="dxa"/>
            <w:vAlign w:val="bottom"/>
            <w:tcBorders>
              <w:right w:val="single" w:sz="8" w:color="47829E"/>
            </w:tcBorders>
            <w:shd w:val="clear" w:color="auto" w:fill="DAE6EB"/>
          </w:tcPr>
          <w:p>
            <w:pPr>
              <w:spacing w:after="0"/>
              <w:rPr>
                <w:sz w:val="23"/>
                <w:szCs w:val="23"/>
                <w:color w:val="auto"/>
              </w:rPr>
            </w:pPr>
          </w:p>
        </w:tc>
        <w:tc>
          <w:tcPr>
            <w:tcW w:w="20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22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820" w:type="dxa"/>
            <w:vAlign w:val="bottom"/>
            <w:gridSpan w:val="2"/>
            <w:shd w:val="clear" w:color="auto" w:fill="DAE6EB"/>
          </w:tcPr>
          <w:p>
            <w:pPr>
              <w:jc w:val="right"/>
              <w:ind w:right="320"/>
              <w:spacing w:after="0" w:line="189" w:lineRule="exact"/>
              <w:rPr>
                <w:sz w:val="20"/>
                <w:szCs w:val="20"/>
                <w:color w:val="auto"/>
              </w:rPr>
            </w:pPr>
            <w:r>
              <w:rPr>
                <w:rFonts w:ascii="Arial" w:cs="Arial" w:eastAsia="Arial" w:hAnsi="Arial"/>
                <w:sz w:val="17"/>
                <w:szCs w:val="17"/>
                <w:color w:val="auto"/>
              </w:rPr>
              <w:t>$ 4.50</w:t>
            </w:r>
          </w:p>
        </w:tc>
        <w:tc>
          <w:tcPr>
            <w:tcW w:w="120" w:type="dxa"/>
            <w:vAlign w:val="bottom"/>
            <w:shd w:val="clear" w:color="auto" w:fill="DAE6EB"/>
          </w:tcPr>
          <w:p>
            <w:pPr>
              <w:spacing w:after="0"/>
              <w:rPr>
                <w:sz w:val="23"/>
                <w:szCs w:val="23"/>
                <w:color w:val="auto"/>
              </w:rPr>
            </w:pPr>
          </w:p>
        </w:tc>
        <w:tc>
          <w:tcPr>
            <w:tcW w:w="260" w:type="dxa"/>
            <w:vAlign w:val="bottom"/>
            <w:tcBorders>
              <w:right w:val="single" w:sz="8" w:color="47829E"/>
            </w:tcBorders>
            <w:shd w:val="clear" w:color="auto" w:fill="DAE6EB"/>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320" w:type="dxa"/>
            <w:vAlign w:val="bottom"/>
            <w:tcBorders>
              <w:top w:val="single" w:sz="8" w:color="47829E"/>
            </w:tcBorders>
          </w:tcPr>
          <w:p>
            <w:pPr>
              <w:spacing w:after="0"/>
              <w:rPr>
                <w:sz w:val="20"/>
                <w:szCs w:val="20"/>
                <w:color w:val="auto"/>
              </w:rPr>
            </w:pPr>
            <w:r>
              <w:rPr>
                <w:rFonts w:ascii="Arial" w:cs="Arial" w:eastAsia="Arial" w:hAnsi="Arial"/>
                <w:sz w:val="17"/>
                <w:szCs w:val="17"/>
                <w:color w:val="auto"/>
              </w:rPr>
              <w:t>B-2</w:t>
            </w:r>
          </w:p>
        </w:tc>
        <w:tc>
          <w:tcPr>
            <w:tcW w:w="7060" w:type="dxa"/>
            <w:vAlign w:val="bottom"/>
            <w:tcBorders>
              <w:top w:val="single" w:sz="8" w:color="47829E"/>
            </w:tcBorders>
          </w:tcPr>
          <w:p>
            <w:pPr>
              <w:ind w:left="800"/>
              <w:spacing w:after="0"/>
              <w:rPr>
                <w:sz w:val="20"/>
                <w:szCs w:val="20"/>
                <w:color w:val="auto"/>
              </w:rPr>
            </w:pPr>
            <w:r>
              <w:rPr>
                <w:rFonts w:ascii="Arial" w:cs="Arial" w:eastAsia="Arial" w:hAnsi="Arial"/>
                <w:sz w:val="17"/>
                <w:szCs w:val="17"/>
                <w:i w:val="1"/>
                <w:iCs w:val="1"/>
                <w:color w:val="auto"/>
              </w:rPr>
              <w:t>2016 Proxy Statement</w:t>
            </w:r>
          </w:p>
        </w:tc>
        <w:tc>
          <w:tcPr>
            <w:tcW w:w="44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20" w:type="dxa"/>
            <w:vAlign w:val="bottom"/>
            <w:tcBorders>
              <w:top w:val="single" w:sz="8" w:color="47829E"/>
            </w:tcBorders>
          </w:tcPr>
          <w:p>
            <w:pPr>
              <w:spacing w:after="0"/>
              <w:rPr>
                <w:sz w:val="24"/>
                <w:szCs w:val="24"/>
                <w:color w:val="auto"/>
              </w:rPr>
            </w:pPr>
          </w:p>
        </w:tc>
        <w:tc>
          <w:tcPr>
            <w:tcW w:w="94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40" w:type="dxa"/>
            <w:vAlign w:val="bottom"/>
            <w:tcBorders>
              <w:top w:val="single" w:sz="8" w:color="47829E"/>
            </w:tcBorders>
          </w:tcPr>
          <w:p>
            <w:pPr>
              <w:spacing w:after="0"/>
              <w:rPr>
                <w:sz w:val="24"/>
                <w:szCs w:val="24"/>
                <w:color w:val="auto"/>
              </w:rPr>
            </w:pPr>
          </w:p>
        </w:tc>
        <w:tc>
          <w:tcPr>
            <w:tcW w:w="20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2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60" w:type="dxa"/>
            <w:vAlign w:val="bottom"/>
            <w:tcBorders>
              <w:top w:val="single" w:sz="8" w:color="47829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-125730</wp:posOffset>
            </wp:positionV>
            <wp:extent cx="342900"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AMENDED AND RESTATED ARTICLES OF INCORPORATION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Restatement to Sections 5(b)(i) and (5(b)(ii) of the Articles of Incorporation:</w:t>
      </w:r>
    </w:p>
    <w:p>
      <w:pPr>
        <w:spacing w:after="0" w:line="230" w:lineRule="exact"/>
        <w:rPr>
          <w:sz w:val="20"/>
          <w:szCs w:val="20"/>
          <w:color w:val="auto"/>
        </w:rPr>
      </w:pPr>
    </w:p>
    <w:p>
      <w:pPr>
        <w:jc w:val="both"/>
        <w:ind w:left="460" w:firstLine="4"/>
        <w:spacing w:after="0" w:line="234" w:lineRule="auto"/>
        <w:tabs>
          <w:tab w:leader="none" w:pos="73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Except to the extent otherwise set forth in this Section 5(b)(i), the</w:t>
      </w:r>
      <w:r>
        <w:rPr>
          <w:rFonts w:ascii="Arial" w:cs="Arial" w:eastAsia="Arial" w:hAnsi="Arial"/>
          <w:sz w:val="17"/>
          <w:szCs w:val="17"/>
          <w:color w:val="auto"/>
        </w:rPr>
        <w:t xml:space="preserve"> </w:t>
      </w:r>
      <w:r>
        <w:rPr>
          <w:rFonts w:ascii="Arial" w:cs="Arial" w:eastAsia="Arial" w:hAnsi="Arial"/>
          <w:sz w:val="17"/>
          <w:szCs w:val="17"/>
          <w:color w:val="auto"/>
          <w:strike w:val="1"/>
        </w:rPr>
        <w:t>The</w:t>
      </w:r>
      <w:r>
        <w:rPr>
          <w:rFonts w:ascii="Arial" w:cs="Arial" w:eastAsia="Arial" w:hAnsi="Arial"/>
          <w:sz w:val="17"/>
          <w:szCs w:val="17"/>
          <w:color w:val="auto"/>
        </w:rPr>
        <w:t xml:space="preserve"> directors shall be divided into three classes, designated Class I, Class II and Class III </w:t>
      </w:r>
      <w:r>
        <w:rPr>
          <w:rFonts w:ascii="Arial" w:cs="Arial" w:eastAsia="Arial" w:hAnsi="Arial"/>
          <w:sz w:val="17"/>
          <w:szCs w:val="17"/>
          <w:u w:val="single" w:color="auto"/>
          <w:color w:val="auto"/>
        </w:rPr>
        <w:t>and each</w:t>
      </w:r>
      <w:r>
        <w:rPr>
          <w:rFonts w:ascii="Arial" w:cs="Arial" w:eastAsia="Arial" w:hAnsi="Arial"/>
          <w:sz w:val="17"/>
          <w:szCs w:val="17"/>
          <w:color w:val="auto"/>
          <w:strike w:val="1"/>
        </w:rPr>
        <w:t>. Each</w:t>
      </w:r>
      <w:r>
        <w:rPr>
          <w:rFonts w:ascii="Arial" w:cs="Arial" w:eastAsia="Arial" w:hAnsi="Arial"/>
          <w:sz w:val="17"/>
          <w:szCs w:val="17"/>
          <w:color w:val="auto"/>
        </w:rPr>
        <w:t xml:space="preserve"> class shall consist, as nearly as may be possible, of one-third of the total number of directors constituting the Board of Directors. Prior to the 1997 annual meeting of shareholders, the Board of Directors shall determine which directors shall be designated as Class I, Class II and Class III directors. The term of the initial Class I directors shall terminate on the date of the 1997 annual meeting of shareholders; the term of the initial Class II directors shall terminate on the date of the 1998 annual meeting of shareholders; and the term of the initial Class III directors shall terminate on the date of the 1999 annual meeting of shareholders. At each annual meeting of shareholders beginning in 1997, successors to the class of directors whose term expires at that annual meeting shall be elected for a three-year term. </w:t>
      </w:r>
      <w:r>
        <w:rPr>
          <w:rFonts w:ascii="Arial" w:cs="Arial" w:eastAsia="Arial" w:hAnsi="Arial"/>
          <w:sz w:val="17"/>
          <w:szCs w:val="17"/>
          <w:u w:val="single" w:color="auto"/>
          <w:color w:val="auto"/>
        </w:rPr>
        <w:t>Notwithstanding the foregoing provisions of this Section 5(b)(i), commencing with the 2017 annual meeting of shareholders, directors shall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be elected for one-year terms expiring at the next succeeding annual meeting of shareholders and, commencing with the 2019 annual meeting of shareholders, directors shall no longer be divided into classes.</w:t>
      </w:r>
    </w:p>
    <w:p>
      <w:pPr>
        <w:spacing w:after="0" w:line="201" w:lineRule="exact"/>
        <w:rPr>
          <w:sz w:val="20"/>
          <w:szCs w:val="20"/>
          <w:color w:val="auto"/>
        </w:rPr>
      </w:pPr>
    </w:p>
    <w:p>
      <w:pPr>
        <w:jc w:val="both"/>
        <w:ind w:left="460" w:firstLine="4"/>
        <w:spacing w:after="0" w:line="234" w:lineRule="auto"/>
        <w:tabs>
          <w:tab w:leader="none" w:pos="73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In the event</w:t>
      </w:r>
      <w:r>
        <w:rPr>
          <w:rFonts w:ascii="Arial" w:cs="Arial" w:eastAsia="Arial" w:hAnsi="Arial"/>
          <w:sz w:val="17"/>
          <w:szCs w:val="17"/>
          <w:color w:val="auto"/>
        </w:rPr>
        <w:t xml:space="preserve"> </w:t>
      </w:r>
      <w:r>
        <w:rPr>
          <w:rFonts w:ascii="Arial" w:cs="Arial" w:eastAsia="Arial" w:hAnsi="Arial"/>
          <w:sz w:val="17"/>
          <w:szCs w:val="17"/>
          <w:color w:val="auto"/>
          <w:strike w:val="1"/>
        </w:rPr>
        <w:t>If</w:t>
      </w:r>
      <w:r>
        <w:rPr>
          <w:rFonts w:ascii="Arial" w:cs="Arial" w:eastAsia="Arial" w:hAnsi="Arial"/>
          <w:sz w:val="17"/>
          <w:szCs w:val="17"/>
          <w:color w:val="auto"/>
        </w:rPr>
        <w:t xml:space="preserve"> the number of directors is changed </w:t>
      </w:r>
      <w:r>
        <w:rPr>
          <w:rFonts w:ascii="Arial" w:cs="Arial" w:eastAsia="Arial" w:hAnsi="Arial"/>
          <w:sz w:val="17"/>
          <w:szCs w:val="17"/>
          <w:u w:val="single" w:color="auto"/>
          <w:color w:val="auto"/>
        </w:rPr>
        <w:t>prior to the commencement of the 2019 annual meeting of shareholders,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notwithstanding the foregoing Article 5(b)(i),</w:t>
      </w:r>
      <w:r>
        <w:rPr>
          <w:rFonts w:ascii="Arial" w:cs="Arial" w:eastAsia="Arial" w:hAnsi="Arial"/>
          <w:sz w:val="17"/>
          <w:szCs w:val="17"/>
          <w:color w:val="auto"/>
        </w:rPr>
        <w:t xml:space="preserve"> any increase </w:t>
      </w:r>
      <w:r>
        <w:rPr>
          <w:rFonts w:ascii="Arial" w:cs="Arial" w:eastAsia="Arial" w:hAnsi="Arial"/>
          <w:sz w:val="17"/>
          <w:szCs w:val="17"/>
          <w:color w:val="auto"/>
          <w:strike w:val="1"/>
        </w:rPr>
        <w:t>or decrease</w:t>
      </w:r>
      <w:r>
        <w:rPr>
          <w:rFonts w:ascii="Arial" w:cs="Arial" w:eastAsia="Arial" w:hAnsi="Arial"/>
          <w:sz w:val="17"/>
          <w:szCs w:val="17"/>
          <w:color w:val="auto"/>
        </w:rPr>
        <w:t xml:space="preserve"> shall be apportioned </w:t>
      </w:r>
      <w:r>
        <w:rPr>
          <w:rFonts w:ascii="Arial" w:cs="Arial" w:eastAsia="Arial" w:hAnsi="Arial"/>
          <w:sz w:val="17"/>
          <w:szCs w:val="17"/>
          <w:color w:val="auto"/>
          <w:strike w:val="1"/>
        </w:rPr>
        <w:t>among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to a class or</w:t>
      </w:r>
      <w:r>
        <w:rPr>
          <w:rFonts w:ascii="Arial" w:cs="Arial" w:eastAsia="Arial" w:hAnsi="Arial"/>
          <w:sz w:val="17"/>
          <w:szCs w:val="17"/>
          <w:color w:val="auto"/>
        </w:rPr>
        <w:t xml:space="preserve"> classes </w:t>
      </w:r>
      <w:r>
        <w:rPr>
          <w:rFonts w:ascii="Arial" w:cs="Arial" w:eastAsia="Arial" w:hAnsi="Arial"/>
          <w:sz w:val="17"/>
          <w:szCs w:val="17"/>
          <w:u w:val="single" w:color="auto"/>
          <w:color w:val="auto"/>
        </w:rPr>
        <w:t>of directors whose</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terms expire at the next succeeding annual meeting of shareholders so that such classes shall consist, as nearly as possible, of the same number of directors and</w:t>
      </w:r>
      <w:r>
        <w:rPr>
          <w:rFonts w:ascii="Arial" w:cs="Arial" w:eastAsia="Arial" w:hAnsi="Arial"/>
          <w:sz w:val="17"/>
          <w:szCs w:val="17"/>
          <w:color w:val="auto"/>
        </w:rPr>
        <w:t xml:space="preserve"> </w:t>
      </w:r>
      <w:r>
        <w:rPr>
          <w:rFonts w:ascii="Arial" w:cs="Arial" w:eastAsia="Arial" w:hAnsi="Arial"/>
          <w:sz w:val="17"/>
          <w:szCs w:val="17"/>
          <w:color w:val="auto"/>
          <w:strike w:val="1"/>
        </w:rPr>
        <w:t>so as to maintain the number of directors in each class as nearly equal as possible, but</w:t>
      </w:r>
      <w:r>
        <w:rPr>
          <w:rFonts w:ascii="Arial" w:cs="Arial" w:eastAsia="Arial" w:hAnsi="Arial"/>
          <w:sz w:val="17"/>
          <w:szCs w:val="17"/>
          <w:color w:val="auto"/>
        </w:rPr>
        <w:t xml:space="preserve">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-107950</wp:posOffset>
            </wp:positionV>
            <wp:extent cx="34290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MARTIN MARIETTA</w:t>
      </w:r>
    </w:p>
    <w:p>
      <w:pPr>
        <w:jc w:val="center"/>
        <w:ind w:right="-19"/>
        <w:spacing w:after="0"/>
        <w:rPr>
          <w:sz w:val="20"/>
          <w:szCs w:val="20"/>
          <w:color w:val="auto"/>
        </w:rPr>
      </w:pPr>
      <w:r>
        <w:rPr>
          <w:rFonts w:ascii="Arial" w:cs="Arial" w:eastAsia="Arial" w:hAnsi="Arial"/>
          <w:sz w:val="21"/>
          <w:szCs w:val="21"/>
          <w:b w:val="1"/>
          <w:bCs w:val="1"/>
          <w:color w:val="47829E"/>
        </w:rPr>
        <w:t>AMENDED AND RESTATED STOCK-BASED AWARD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May 8, 1998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May 8, 1998, August 17, 2000,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22, 2001, April 3, 2006 and February 18, 2016</w:t>
      </w:r>
    </w:p>
    <w:p>
      <w:pPr>
        <w:sectPr>
          <w:pgSz w:w="11900" w:h="16838" w:orient="portrait"/>
          <w:cols w:equalWidth="0" w:num="1">
            <w:col w:w="11420"/>
          </w:cols>
          <w:pgMar w:left="240" w:top="256" w:right="2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Establishment and Purpose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Martin Marietta Amended and Restated Stock-Based Award Plan (the “Plan”) was adopted by the shareholders of Martin Marietta Materials, Inc. (the “Corporation”) in a manner that complies with Section 162(m) at the shareholders meeting held on May 8, 1998, and subsequently amended and restated by the Board of Directors at its meetings on May 8, 1998, August 17, 2000, May 22, 2001, April 3, 2006 and February 18, 2016.</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and directors an opportunity to obtain or increase their proprietary interest in the Corporation’s performance and by providing such employees and directors with additional incentives to remain with the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Definitions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meaning of Rule 16b-3, and (ii) “outside directors” within the meaning of Section 162(m), as Rule 16b-3 and Section 162(m) may be amended from time to time, which committee shall at all times comprise at least the minimum number of such persons necessary to comply with both Rule 16b-3 and Section 162. If the Management Development and Compensation Committee of the Board of Directors satisfies the foregoing criteria, references in this Plan to the Committee shall be deemed to refer to such Committee of the Board of Directors.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“Corporation” means Martin Marietta Materials, Inc.</w:t>
      </w:r>
    </w:p>
    <w:p>
      <w:pPr>
        <w:spacing w:after="0" w:line="210" w:lineRule="exact"/>
        <w:rPr>
          <w:sz w:val="20"/>
          <w:szCs w:val="20"/>
          <w:color w:val="auto"/>
        </w:rPr>
      </w:pPr>
    </w:p>
    <w:p>
      <w:pPr>
        <w:jc w:val="both"/>
        <w:ind w:right="120" w:firstLine="513"/>
        <w:spacing w:after="0" w:line="238" w:lineRule="auto"/>
        <w:rPr>
          <w:sz w:val="20"/>
          <w:szCs w:val="20"/>
          <w:color w:val="auto"/>
        </w:rPr>
      </w:pPr>
      <w:r>
        <w:rPr>
          <w:rFonts w:ascii="Arial" w:cs="Arial" w:eastAsia="Arial" w:hAnsi="Arial"/>
          <w:sz w:val="17"/>
          <w:szCs w:val="17"/>
          <w:color w:val="auto"/>
        </w:rPr>
        <w:t>“Covered Employee” means a covered employee within the meaning of Section 162(m) or the Treasury Regulations promulgated thereunder.</w:t>
      </w:r>
    </w:p>
    <w:p>
      <w:pPr>
        <w:spacing w:after="0" w:line="202" w:lineRule="exact"/>
        <w:rPr>
          <w:sz w:val="20"/>
          <w:szCs w:val="20"/>
          <w:color w:val="auto"/>
        </w:rPr>
      </w:pPr>
    </w:p>
    <w:p>
      <w:pPr>
        <w:jc w:val="both"/>
        <w:ind w:right="120" w:firstLine="513"/>
        <w:spacing w:after="0" w:line="243" w:lineRule="auto"/>
        <w:rPr>
          <w:sz w:val="20"/>
          <w:szCs w:val="20"/>
          <w:color w:val="auto"/>
        </w:rPr>
      </w:pPr>
      <w:r>
        <w:rPr>
          <w:rFonts w:ascii="Arial" w:cs="Arial" w:eastAsia="Arial" w:hAnsi="Arial"/>
          <w:sz w:val="17"/>
          <w:szCs w:val="17"/>
          <w:color w:val="auto"/>
        </w:rPr>
        <w:t>“Eligible Director” means each director of the Corporation who is not an employee of the Corporation or any Subsidiary.</w:t>
      </w:r>
    </w:p>
    <w:p>
      <w:pPr>
        <w:spacing w:after="0" w:line="198" w:lineRule="exact"/>
        <w:rPr>
          <w:sz w:val="20"/>
          <w:szCs w:val="20"/>
          <w:color w:val="auto"/>
        </w:rPr>
      </w:pPr>
    </w:p>
    <w:p>
      <w:pPr>
        <w:jc w:val="both"/>
        <w:ind w:right="120" w:firstLine="513"/>
        <w:spacing w:after="0" w:line="243" w:lineRule="auto"/>
        <w:rPr>
          <w:sz w:val="20"/>
          <w:szCs w:val="20"/>
          <w:color w:val="auto"/>
        </w:rPr>
      </w:pPr>
      <w:r>
        <w:rPr>
          <w:rFonts w:ascii="Arial" w:cs="Arial" w:eastAsia="Arial" w:hAnsi="Arial"/>
          <w:sz w:val="17"/>
          <w:szCs w:val="17"/>
          <w:color w:val="auto"/>
        </w:rPr>
        <w:t>“Employee” means employees of the Corporation or any Subsidiary.</w:t>
      </w:r>
    </w:p>
    <w:p>
      <w:pPr>
        <w:spacing w:after="0" w:line="198"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162"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The following terms, as used herein, shall have the meaning specified:</w:t>
      </w:r>
    </w:p>
    <w:p>
      <w:pPr>
        <w:spacing w:after="0" w:line="198"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“Affiliate” of a person means any entity directly or indirectly controlling, controlled by or under direct or indirect common control with such person.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“Award” means an award granted pursuant to Section 4 hereof.</w:t>
      </w:r>
    </w:p>
    <w:p>
      <w:pPr>
        <w:spacing w:after="0" w:line="210"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7"/>
          <w:szCs w:val="17"/>
          <w:color w:val="auto"/>
        </w:rPr>
        <w:t>“Award Agreement” means an agreement described in Section 6 hereof entered into between the Corporation and a Participant, setting forth the terms and conditions applicable to the Award granted to the Participant.</w:t>
      </w:r>
    </w:p>
    <w:p>
      <w:pPr>
        <w:spacing w:after="0" w:line="204"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“Board of Directors” means the Board of Directors of the Corporation, as it may be comprised from time to time.</w:t>
      </w:r>
    </w:p>
    <w:p>
      <w:pPr>
        <w:spacing w:after="0" w:line="198"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“Code” means the Internal Revenue Code of 1986, as amended from time to time.</w:t>
      </w:r>
    </w:p>
    <w:p>
      <w:pPr>
        <w:spacing w:after="0" w:line="198"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7"/>
          <w:szCs w:val="17"/>
          <w:color w:val="auto"/>
        </w:rPr>
        <w:t>“Committee” means a committee composed of members of, and designated by, the Board of Directors and, unless otherwise determined by the Board, consisting solely of persons who are both (i) “non-employee directors” within</w:t>
      </w:r>
    </w:p>
    <w:p>
      <w:pPr>
        <w:spacing w:after="0" w:line="20" w:lineRule="exact"/>
        <w:rPr>
          <w:sz w:val="20"/>
          <w:szCs w:val="20"/>
          <w:color w:val="auto"/>
        </w:rPr>
      </w:pPr>
      <w:r>
        <w:rPr>
          <w:sz w:val="20"/>
          <w:szCs w:val="20"/>
          <w:color w:val="auto"/>
        </w:rPr>
        <w:br w:type="column"/>
      </w:r>
    </w:p>
    <w:p>
      <w:pPr>
        <w:jc w:val="both"/>
        <w:ind w:right="120" w:firstLine="513"/>
        <w:spacing w:after="0" w:line="243" w:lineRule="auto"/>
        <w:rPr>
          <w:sz w:val="20"/>
          <w:szCs w:val="20"/>
          <w:color w:val="auto"/>
        </w:rPr>
      </w:pPr>
      <w:r>
        <w:rPr>
          <w:rFonts w:ascii="Arial" w:cs="Arial" w:eastAsia="Arial" w:hAnsi="Arial"/>
          <w:sz w:val="17"/>
          <w:szCs w:val="17"/>
          <w:color w:val="auto"/>
        </w:rPr>
        <w:t>“Exchange Act” means the Securities Exchange Act of 1934, as amended from time to time.</w:t>
      </w:r>
    </w:p>
    <w:p>
      <w:pPr>
        <w:spacing w:after="0" w:line="198" w:lineRule="exact"/>
        <w:rPr>
          <w:sz w:val="20"/>
          <w:szCs w:val="20"/>
          <w:color w:val="auto"/>
        </w:rPr>
      </w:pPr>
    </w:p>
    <w:p>
      <w:pPr>
        <w:jc w:val="both"/>
        <w:ind w:right="120" w:firstLine="513"/>
        <w:spacing w:after="0" w:line="234" w:lineRule="auto"/>
        <w:rPr>
          <w:sz w:val="20"/>
          <w:szCs w:val="20"/>
          <w:color w:val="auto"/>
        </w:rPr>
      </w:pPr>
      <w:r>
        <w:rPr>
          <w:rFonts w:ascii="Arial" w:cs="Arial" w:eastAsia="Arial" w:hAnsi="Arial"/>
          <w:sz w:val="17"/>
          <w:szCs w:val="17"/>
          <w:color w:val="auto"/>
        </w:rPr>
        <w:t>“Fair Market Value” means, unless otherwise determined by the Committee, the closing price of the relevant security as reported on the composite tape of New York Stock Exchange issues (or such other reporting system as shall be selected by the Committee) on the trading day preceding the date of grant (or such other relevant date). The Committee shall determine the Fair Market Value of any security that is not publicly traded, using such criteria, as it shall determine, in its sole direction, to be appropriate for such valuation.</w:t>
      </w:r>
    </w:p>
    <w:p>
      <w:pPr>
        <w:spacing w:after="0" w:line="204" w:lineRule="exact"/>
        <w:rPr>
          <w:sz w:val="20"/>
          <w:szCs w:val="20"/>
          <w:color w:val="auto"/>
        </w:rPr>
      </w:pPr>
    </w:p>
    <w:p>
      <w:pPr>
        <w:jc w:val="both"/>
        <w:ind w:right="120" w:firstLine="513"/>
        <w:spacing w:after="0" w:line="238" w:lineRule="auto"/>
        <w:rPr>
          <w:sz w:val="20"/>
          <w:szCs w:val="20"/>
          <w:color w:val="auto"/>
        </w:rPr>
      </w:pPr>
      <w:r>
        <w:rPr>
          <w:rFonts w:ascii="Arial" w:cs="Arial" w:eastAsia="Arial" w:hAnsi="Arial"/>
          <w:sz w:val="17"/>
          <w:szCs w:val="17"/>
          <w:color w:val="auto"/>
        </w:rPr>
        <w:t>“Family Member” has the meaning given to such term in General Instructions A.1(a)(5) to Form S-8 under the Securities Act of 1933, as amended, and any successor thereto.</w:t>
      </w:r>
    </w:p>
    <w:p>
      <w:pPr>
        <w:spacing w:after="0" w:line="202" w:lineRule="exact"/>
        <w:rPr>
          <w:sz w:val="20"/>
          <w:szCs w:val="20"/>
          <w:color w:val="auto"/>
        </w:rPr>
      </w:pPr>
    </w:p>
    <w:p>
      <w:pPr>
        <w:jc w:val="both"/>
        <w:ind w:right="120" w:firstLine="513"/>
        <w:spacing w:after="0" w:line="235" w:lineRule="auto"/>
        <w:rPr>
          <w:sz w:val="20"/>
          <w:szCs w:val="20"/>
          <w:color w:val="auto"/>
        </w:rPr>
      </w:pPr>
      <w:r>
        <w:rPr>
          <w:rFonts w:ascii="Arial" w:cs="Arial" w:eastAsia="Arial" w:hAnsi="Arial"/>
          <w:sz w:val="17"/>
          <w:szCs w:val="17"/>
          <w:color w:val="auto"/>
        </w:rPr>
        <w:t>“Incumbent Board” means a member of the Board of Directors of the Corporation who is not an Acquiring Person, or an affiliate (as defined in Rule 12b-2 of the Exchange Act) or an associate (as defined in Rule 12b-2 of the Exchange Act) of an Acquiring Person, or a representative or nominee of an Acquiring Person.</w:t>
      </w:r>
    </w:p>
    <w:p>
      <w:pPr>
        <w:spacing w:after="0" w:line="1011"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67" w:lineRule="exact"/>
        <w:rPr>
          <w:sz w:val="20"/>
          <w:szCs w:val="20"/>
          <w:color w:val="auto"/>
        </w:rPr>
      </w:pPr>
    </w:p>
    <w:p>
      <w:pPr>
        <w:ind w:left="936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-107950</wp:posOffset>
            </wp:positionV>
            <wp:extent cx="342900"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70" w:name="page71"/>
    <w:bookmarkEnd w:id="70"/>
    <w:p>
      <w:pPr>
        <w:jc w:val="both"/>
        <w:ind w:firstLine="513"/>
        <w:spacing w:after="0" w:line="243" w:lineRule="auto"/>
        <w:rPr>
          <w:sz w:val="20"/>
          <w:szCs w:val="20"/>
          <w:color w:val="auto"/>
        </w:rPr>
      </w:pPr>
      <w:r>
        <w:rPr>
          <w:rFonts w:ascii="Arial" w:cs="Arial" w:eastAsia="Arial" w:hAnsi="Arial"/>
          <w:sz w:val="17"/>
          <w:szCs w:val="17"/>
          <w:color w:val="auto"/>
        </w:rPr>
        <w:t>“Insider” means any person who is subject to Section 16 of the Exchange Act with respect to the Corporation.</w:t>
      </w:r>
    </w:p>
    <w:p>
      <w:pPr>
        <w:spacing w:after="0" w:line="198"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“Option” means Non-Qualified Stock Options and Incentive Stock Options.</w:t>
      </w:r>
    </w:p>
    <w:p>
      <w:pPr>
        <w:spacing w:after="0" w:line="198"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“Participant” means an Employee or Eligible Director who has been granted and holds an unexercised or unpaid Award pursuant to this Plan.</w:t>
      </w:r>
    </w:p>
    <w:p>
      <w:pPr>
        <w:spacing w:after="0" w:line="202" w:lineRule="exact"/>
        <w:rPr>
          <w:sz w:val="20"/>
          <w:szCs w:val="20"/>
          <w:color w:val="auto"/>
        </w:rPr>
      </w:pPr>
    </w:p>
    <w:p>
      <w:pPr>
        <w:jc w:val="both"/>
        <w:ind w:firstLine="513"/>
        <w:spacing w:after="0" w:line="232" w:lineRule="auto"/>
        <w:rPr>
          <w:sz w:val="20"/>
          <w:szCs w:val="20"/>
          <w:color w:val="auto"/>
        </w:rPr>
      </w:pPr>
      <w:r>
        <w:rPr>
          <w:rFonts w:ascii="Arial" w:cs="Arial" w:eastAsia="Arial" w:hAnsi="Arial"/>
          <w:sz w:val="17"/>
          <w:szCs w:val="17"/>
          <w:color w:val="auto"/>
        </w:rPr>
        <w:t>“Quantitative Performance Standards” means the goals determined by the Committee, in its discretion, to be applicable to a Participant with respect to an Award. Performance goals for any Award intended to be a Section 162(m) Award (other than stock options) will relate to one or more of the following criteria: stock price (including return on shareholder’s equity or total shareholder return),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As determined by the Committee, the Quantitative Performance Standards applicable to an Award may provide for a targeted level or levels of achievement on a whole company basis or with respect to one or more businesses, business units, segments or Subsidiaries, or on the basis of individual performance. The Quantitative Performance Standards may differ from Participant to Participant and from Award to Award.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of the Corporation,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D-2  </w:t>
      </w:r>
      <w:r>
        <w:rPr>
          <w:sz w:val="1"/>
          <w:szCs w:val="1"/>
          <w:color w:val="auto"/>
        </w:rPr>
        <w:drawing>
          <wp:inline distT="0" distB="0" distL="0" distR="0">
            <wp:extent cx="342900" cy="20574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2" w:lineRule="auto"/>
        <w:rPr>
          <w:sz w:val="20"/>
          <w:szCs w:val="20"/>
          <w:color w:val="auto"/>
        </w:rPr>
      </w:pPr>
      <w:r>
        <w:rPr>
          <w:rFonts w:ascii="Arial" w:cs="Arial" w:eastAsia="Arial" w:hAnsi="Arial"/>
          <w:sz w:val="17"/>
          <w:szCs w:val="17"/>
          <w:color w:val="auto"/>
        </w:rPr>
        <w:t>operations; (ix) an event either not directly related to the operations of the Corporation or not within the reasonable control of the Corporation’s management; (x) a change in the fiscal year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-483870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8"/>
        <w:spacing w:after="0" w:line="235" w:lineRule="auto"/>
        <w:tabs>
          <w:tab w:leader="none" w:pos="31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costs associated with refinancing or repurchase of bank loans or debt securities; (xii) unbudgeted capital expenditures; and (xiii) business interruption events. In the case of any Award that is not intended to a Section 162(m) Award, the Committee has discretion to establish Quantitative Performance Standards based on other criteria.</w:t>
      </w:r>
    </w:p>
    <w:p>
      <w:pPr>
        <w:spacing w:after="0" w:line="204"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“Rule 16b-3” means Rule 16b-3 promulgated by the Securities and Exchange Commission under Section 16 or any successor rule or regulation as amended from time to time.</w:t>
      </w:r>
    </w:p>
    <w:p>
      <w:pPr>
        <w:spacing w:after="0" w:line="202"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7"/>
          <w:szCs w:val="17"/>
          <w:color w:val="auto"/>
        </w:rPr>
        <w:t>“Section 16” means Section 16 of the Exchange Act or any successor statute and the rules promulgated thereunder by the Securities and Exchange Commission, as they may be amended from time to time.</w:t>
      </w:r>
    </w:p>
    <w:p>
      <w:pPr>
        <w:spacing w:after="0" w:line="204"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“Section 162(m)” means Section 162(m) of the Code or any successor statute and the Treasury Regulations promulgated thereunder, as they may be amended from time to time.</w:t>
      </w:r>
    </w:p>
    <w:p>
      <w:pPr>
        <w:spacing w:after="0" w:line="202" w:lineRule="exact"/>
        <w:rPr>
          <w:sz w:val="20"/>
          <w:szCs w:val="20"/>
          <w:color w:val="auto"/>
        </w:rPr>
      </w:pPr>
    </w:p>
    <w:p>
      <w:pPr>
        <w:jc w:val="both"/>
        <w:ind w:firstLine="513"/>
        <w:spacing w:after="0" w:line="235" w:lineRule="auto"/>
        <w:rPr>
          <w:sz w:val="20"/>
          <w:szCs w:val="20"/>
          <w:color w:val="auto"/>
        </w:rPr>
      </w:pPr>
      <w:r>
        <w:rPr>
          <w:rFonts w:ascii="Arial" w:cs="Arial" w:eastAsia="Arial" w:hAnsi="Arial"/>
          <w:sz w:val="17"/>
          <w:szCs w:val="17"/>
          <w:color w:val="auto"/>
        </w:rPr>
        <w:t>“Section 162(m) Award” means an Award that is granted to an individual who, at the date of grant, is, or is likely to be, as of the end of the tax year in which the Corporation would claim a tax deduction in connection with such Award, a Covered Employee and is designated by the Committee as a Section 162(m) Award at the time of grant.</w:t>
      </w:r>
    </w:p>
    <w:p>
      <w:pPr>
        <w:spacing w:after="0" w:line="204"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“Section 422” means Section 422 of the Code or any successor statute and the Treasury Regulations promulgated thereunder, as they may be amended from time to time.</w:t>
      </w:r>
    </w:p>
    <w:p>
      <w:pPr>
        <w:spacing w:after="0" w:line="202"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“Stock” means shares of Common Stock of the Corporation, par value $.01 per share.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 Units” has the meaning ascribed in Section 4(e) of this</w:t>
      </w:r>
    </w:p>
    <w:p>
      <w:pPr>
        <w:spacing w:after="0"/>
        <w:rPr>
          <w:sz w:val="20"/>
          <w:szCs w:val="20"/>
          <w:color w:val="auto"/>
        </w:rPr>
      </w:pPr>
      <w:r>
        <w:rPr>
          <w:rFonts w:ascii="Arial" w:cs="Arial" w:eastAsia="Arial" w:hAnsi="Arial"/>
          <w:sz w:val="17"/>
          <w:szCs w:val="17"/>
          <w:color w:val="auto"/>
        </w:rPr>
        <w:t>Plan.</w:t>
      </w:r>
    </w:p>
    <w:p>
      <w:pPr>
        <w:spacing w:after="0" w:line="210"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“Subsidiary” means any entity directly or indirectly controlled by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Eligibility</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Awards may be granted (a) to Employees who are designated from time to time by the Committee or (b) to Eligible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Awards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Committee may grant any of the following types of Awards, either singly, in tandem or in combination with other Awards, as the Committee may in its sole discretion determine:</w:t>
      </w:r>
    </w:p>
    <w:p>
      <w:pPr>
        <w:spacing w:after="0" w:line="229" w:lineRule="exact"/>
        <w:rPr>
          <w:sz w:val="20"/>
          <w:szCs w:val="20"/>
          <w:color w:val="auto"/>
        </w:rPr>
      </w:pPr>
    </w:p>
    <w:p>
      <w:pPr>
        <w:ind w:left="700" w:hanging="355"/>
        <w:spacing w:after="0" w:line="243" w:lineRule="auto"/>
        <w:tabs>
          <w:tab w:leader="none" w:pos="7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Non-Qualified Stock Options. A Non-Qualified Stock Option is an Award that is a right to purchase a</w:t>
      </w:r>
    </w:p>
    <w:p>
      <w:pPr>
        <w:sectPr>
          <w:pgSz w:w="11900" w:h="16838" w:orient="portrait"/>
          <w:cols w:equalWidth="0" w:num="2">
            <w:col w:w="5480" w:space="340"/>
            <w:col w:w="5480"/>
          </w:cols>
          <w:pgMar w:left="240" w:top="336" w:right="359" w:bottom="1440" w:gutter="0" w:footer="0" w:header="0"/>
        </w:sectPr>
      </w:pPr>
    </w:p>
    <w:bookmarkStart w:id="71" w:name="page72"/>
    <w:bookmarkEnd w:id="71"/>
    <w:p>
      <w:pPr>
        <w:jc w:val="both"/>
        <w:ind w:left="354" w:right="20"/>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number of shares of Stock during such specified time as the Committee may determine at a price not less than 100% of the Fair Market Value of the Stock on the date such Award is granted, other than an Incentive Stock Option.</w:t>
      </w:r>
    </w:p>
    <w:p>
      <w:pPr>
        <w:spacing w:after="0" w:line="231" w:lineRule="exact"/>
        <w:rPr>
          <w:sz w:val="20"/>
          <w:szCs w:val="20"/>
          <w:color w:val="auto"/>
        </w:rPr>
      </w:pPr>
    </w:p>
    <w:p>
      <w:pPr>
        <w:jc w:val="both"/>
        <w:ind w:left="694" w:hanging="343"/>
        <w:spacing w:after="0" w:line="234" w:lineRule="auto"/>
        <w:tabs>
          <w:tab w:leader="none" w:pos="69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exercise price of the Stock subject to the Non-Qualified Stock Option may be paid in cash. At the discretion of the Committee, the exercise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230" w:lineRule="exact"/>
        <w:rPr>
          <w:rFonts w:ascii="Arial" w:cs="Arial" w:eastAsia="Arial" w:hAnsi="Arial"/>
          <w:sz w:val="17"/>
          <w:szCs w:val="17"/>
          <w:color w:val="auto"/>
        </w:rPr>
      </w:pPr>
    </w:p>
    <w:p>
      <w:pPr>
        <w:jc w:val="both"/>
        <w:ind w:left="694" w:hanging="343"/>
        <w:spacing w:after="0" w:line="235" w:lineRule="auto"/>
        <w:tabs>
          <w:tab w:leader="none" w:pos="69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Without limiting the foregoing, to the extent permitted by law (including relevant state law), the Committee may agree to accept, as full or partial payment of the purchase price of Stock issued upon exercise of Non-Qualified Stock Options, any other form of payment deemed acceptable to the Committee.</w:t>
      </w:r>
    </w:p>
    <w:p>
      <w:pPr>
        <w:spacing w:after="0" w:line="229" w:lineRule="exact"/>
        <w:rPr>
          <w:rFonts w:ascii="Arial" w:cs="Arial" w:eastAsia="Arial" w:hAnsi="Arial"/>
          <w:sz w:val="17"/>
          <w:szCs w:val="17"/>
          <w:color w:val="auto"/>
        </w:rPr>
      </w:pPr>
    </w:p>
    <w:p>
      <w:pPr>
        <w:ind w:left="694" w:hanging="343"/>
        <w:spacing w:after="0" w:line="243" w:lineRule="auto"/>
        <w:tabs>
          <w:tab w:leader="none" w:pos="69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No Non-Qualified Stock Option may be exercisable more than ten years after the date the Award is granted.</w:t>
      </w:r>
    </w:p>
    <w:p>
      <w:pPr>
        <w:spacing w:after="0" w:line="225" w:lineRule="exact"/>
        <w:rPr>
          <w:rFonts w:ascii="Arial" w:cs="Arial" w:eastAsia="Arial" w:hAnsi="Arial"/>
          <w:sz w:val="17"/>
          <w:szCs w:val="17"/>
          <w:color w:val="auto"/>
        </w:rPr>
      </w:pPr>
    </w:p>
    <w:p>
      <w:pPr>
        <w:jc w:val="both"/>
        <w:ind w:left="354" w:hanging="354"/>
        <w:spacing w:after="0" w:line="235" w:lineRule="auto"/>
        <w:tabs>
          <w:tab w:leader="none" w:pos="35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Incentive Stock Options. An Incentive Stock Option is an Award that is a right to purchase a specified number of shares of Stock during such specified time as the Committee may determine at a price not less than 100% of the Fair Market Value of the Stock on the date such award is granted and that complies with the requirements of Section 422.</w:t>
      </w:r>
    </w:p>
    <w:p>
      <w:pPr>
        <w:spacing w:after="0" w:line="229" w:lineRule="exact"/>
        <w:rPr>
          <w:rFonts w:ascii="Arial" w:cs="Arial" w:eastAsia="Arial" w:hAnsi="Arial"/>
          <w:sz w:val="17"/>
          <w:szCs w:val="17"/>
          <w:color w:val="auto"/>
        </w:rPr>
      </w:pPr>
    </w:p>
    <w:p>
      <w:pPr>
        <w:jc w:val="both"/>
        <w:ind w:left="694" w:hanging="343"/>
        <w:spacing w:after="0" w:line="233" w:lineRule="auto"/>
        <w:tabs>
          <w:tab w:leader="none" w:pos="69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(determined at the time of the grant of the Award) of the shares subject to Incentive Stock Options, which are exercisable, by one person for the first time during a particular calendar year exceeds $100,000, such excess shall be treated as Non-Qualified Stock Options. For purposes of the preceding sentence, the term “Incentive Stock Option” shall mean a right to purchase Stock that is granted pursuant to this Section 4(b) or pursuant to any other plan of the Corporation, which is intended to comply with Section 422.</w:t>
      </w:r>
    </w:p>
    <w:p>
      <w:pPr>
        <w:spacing w:after="0" w:line="235" w:lineRule="exact"/>
        <w:rPr>
          <w:rFonts w:ascii="Arial" w:cs="Arial" w:eastAsia="Arial" w:hAnsi="Arial"/>
          <w:sz w:val="17"/>
          <w:szCs w:val="17"/>
          <w:color w:val="auto"/>
        </w:rPr>
      </w:pPr>
    </w:p>
    <w:p>
      <w:pPr>
        <w:ind w:left="694" w:right="20" w:hanging="343"/>
        <w:spacing w:after="0" w:line="243" w:lineRule="auto"/>
        <w:tabs>
          <w:tab w:leader="none" w:pos="69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No Incentive Stock Option may be exercisable more than ten years after the date the Award is granted.</w:t>
      </w:r>
    </w:p>
    <w:p>
      <w:pPr>
        <w:spacing w:after="0" w:line="225" w:lineRule="exact"/>
        <w:rPr>
          <w:rFonts w:ascii="Arial" w:cs="Arial" w:eastAsia="Arial" w:hAnsi="Arial"/>
          <w:sz w:val="17"/>
          <w:szCs w:val="17"/>
          <w:color w:val="auto"/>
        </w:rPr>
      </w:pPr>
    </w:p>
    <w:p>
      <w:pPr>
        <w:jc w:val="both"/>
        <w:ind w:left="694" w:hanging="343"/>
        <w:spacing w:after="0" w:line="236" w:lineRule="auto"/>
        <w:tabs>
          <w:tab w:leader="none" w:pos="69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Committee may provide that the exercise price under an Incentive Stock Option may be paid by one or more of the methods available for paying the exercise price of a Non-Qualified Stock Option.</w:t>
      </w:r>
    </w:p>
    <w:p>
      <w:pPr>
        <w:spacing w:after="0" w:line="20" w:lineRule="exact"/>
        <w:rPr>
          <w:sz w:val="20"/>
          <w:szCs w:val="20"/>
          <w:color w:val="auto"/>
        </w:rPr>
      </w:pPr>
      <w:r>
        <w:rPr>
          <w:sz w:val="20"/>
          <w:szCs w:val="20"/>
          <w:color w:val="auto"/>
        </w:rPr>
        <w:br w:type="column"/>
      </w:r>
    </w:p>
    <w:p>
      <w:pPr>
        <w:jc w:val="both"/>
        <w:ind w:left="360" w:right="120" w:hanging="355"/>
        <w:spacing w:after="0" w:line="234" w:lineRule="auto"/>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Stock Appreciation Rights. A Stock Appreciation Right is an Award that is the right to receive the excess of (i) the Fair Market Value of a share of Stock on the date of exercise over (ii) the base price of the right on the date of grant, which shall not be less than 100% of the Fair Market Value of the Stock on the date such award is granted. No Stock Appreciation Right may be exercisable more than ten years after the date the Award is granted.</w:t>
      </w:r>
    </w:p>
    <w:p>
      <w:pPr>
        <w:spacing w:after="0" w:line="230" w:lineRule="exact"/>
        <w:rPr>
          <w:rFonts w:ascii="Arial" w:cs="Arial" w:eastAsia="Arial" w:hAnsi="Arial"/>
          <w:sz w:val="17"/>
          <w:szCs w:val="17"/>
          <w:color w:val="auto"/>
        </w:rPr>
      </w:pPr>
    </w:p>
    <w:p>
      <w:pPr>
        <w:jc w:val="both"/>
        <w:ind w:left="360" w:right="120" w:hanging="355"/>
        <w:spacing w:after="0" w:line="235" w:lineRule="auto"/>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Restricted Stock. Restricted Stock is Stock of the Corporation that is issued to a Participant and is subject to restrictions on transfer and/or such other restrictions or incidents of ownership as the Committee may determine, including shares that are subject to Quantitative Performance Standards.</w:t>
      </w:r>
    </w:p>
    <w:p>
      <w:pPr>
        <w:spacing w:after="0" w:line="231" w:lineRule="exact"/>
        <w:rPr>
          <w:rFonts w:ascii="Arial" w:cs="Arial" w:eastAsia="Arial" w:hAnsi="Arial"/>
          <w:sz w:val="17"/>
          <w:szCs w:val="17"/>
          <w:color w:val="auto"/>
        </w:rPr>
      </w:pPr>
    </w:p>
    <w:p>
      <w:pPr>
        <w:jc w:val="both"/>
        <w:ind w:left="360" w:right="120" w:hanging="355"/>
        <w:spacing w:after="0" w:line="233" w:lineRule="auto"/>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Other Stock-Based Awards. The Committee may from time to time grant Awards under this Plan that (i) are valued in whole or in part by reference to, or are otherwise based on, Stock or other property (“Stock Units”), (ii) provide the Participant with any other right to purchase or receive Stock or (iii) otherwise relate to Stock (including, but not limited to phantom securities or dividend equivalents), including, in each case, awards granted subject to Quantitative Performance Standards. Such Awards shall be in a form determined by the Committee (and may include terms contingent upon a Change in Control of the Corporation),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Awards shall not be inconsistent with the terms and purposes of the Plan.</w:t>
      </w:r>
    </w:p>
    <w:p>
      <w:pPr>
        <w:spacing w:after="0" w:line="234" w:lineRule="exact"/>
        <w:rPr>
          <w:rFonts w:ascii="Arial" w:cs="Arial" w:eastAsia="Arial" w:hAnsi="Arial"/>
          <w:sz w:val="17"/>
          <w:szCs w:val="17"/>
          <w:color w:val="auto"/>
        </w:rPr>
      </w:pPr>
    </w:p>
    <w:p>
      <w:pPr>
        <w:jc w:val="both"/>
        <w:ind w:left="360" w:right="120" w:hanging="355"/>
        <w:spacing w:after="0" w:line="232" w:lineRule="auto"/>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Except as provided in Section 9 hereof, no Option or Stock Appreciation Right may be amended to reduce the exercise price of such Option or the base price of such Stock Appreciation Right, as applicable, below the exercise price or base price of such Option or Stock Appreciation Right without shareholder approval. In addition, other than as provided in Section 9 hereof, (i) no Option or Stock Appreciation Right may be granted in exchange for the cancellation or surrender of an Option, Stock Appreciation Right or other award having a lower exercise price or base price and (ii) no Option may be granted with an automatic reload feature whereby the Corporation is obligated to grant a new Award hereunder upon the exercise of the Option, in either case, without shareholder approval. In addition, no action may be taken without shareholder approval with respect to an Option or Stock Appreciation Right that may be treated as a repricing under the rules and regulations of the New York Stock Exchange. In no event shall the Corporation pay cash or other consideration for Options where at the time of payment the exercise price of the Option is less than the Fair Market Value of the Stock underlying the Option or pay cash or other consideration for Stock Appreciation Rights where at the time of payment the base price established in the Award is less than the Fair Market Value of the Stock underling the Stock Appreciation Right.</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-107950</wp:posOffset>
            </wp:positionV>
            <wp:extent cx="34290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134" w:space="680"/>
            <w:col w:w="5260"/>
          </w:cols>
          <w:pgMar w:left="586" w:top="336" w:right="239" w:bottom="1440" w:gutter="0" w:footer="0" w:header="0"/>
        </w:sectPr>
      </w:pPr>
    </w:p>
    <w:bookmarkStart w:id="72" w:name="page73"/>
    <w:bookmarkEnd w:id="72"/>
    <w:p>
      <w:pPr>
        <w:jc w:val="both"/>
        <w:ind w:left="700" w:hanging="354"/>
        <w:spacing w:after="0" w:line="232" w:lineRule="auto"/>
        <w:tabs>
          <w:tab w:leader="none" w:pos="7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Committee shall determine the time or times at which an Award will vest or become exercisable and the terms on which an Award requiring exercise will remain exercisable,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except in the case of Awards made in connection with Eligible Directors or the recruitment of new Employees (including new officers), or as otherwise provided in Section 10 hereof, or otherwise provided by the Award Agreement in connection with retirement, disability or death of the participant,</w:t>
      </w:r>
    </w:p>
    <w:p>
      <w:pPr>
        <w:jc w:val="both"/>
        <w:ind w:left="700" w:right="20" w:hanging="3"/>
        <w:spacing w:after="0" w:line="232" w:lineRule="auto"/>
        <w:tabs>
          <w:tab w:leader="none" w:pos="95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Non-Qualified Stock Options shall vest in equal annual installments over a period of not less than three years and</w:t>
      </w:r>
    </w:p>
    <w:p>
      <w:pPr>
        <w:jc w:val="both"/>
        <w:ind w:left="700" w:hanging="3"/>
        <w:spacing w:after="0" w:line="234" w:lineRule="auto"/>
        <w:tabs>
          <w:tab w:leader="none" w:pos="95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Restricted Stock, Stock Units, Incentive Stock Options and Stock Appreciation Rights shall vest not earlier than one year from the grant date of the Award. The Committee may, in its sole discretion, waive, in whole or in part, any remaining conditions to vesting or exercisability,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for the avoidance of doubt, such unilateral discretion shall not apply to any Section 162(m) Award to the extent such action would result in such Award not being tax deductible under Section 162(m).</w:t>
      </w:r>
    </w:p>
    <w:p>
      <w:pPr>
        <w:spacing w:after="0" w:line="182"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b w:val="1"/>
          <w:bCs w:val="1"/>
          <w:color w:val="auto"/>
        </w:rPr>
        <w:t>SECTION 5. Shares of Stock and Other Stock-Based Awards Available Under Plan</w:t>
      </w:r>
    </w:p>
    <w:p>
      <w:pPr>
        <w:spacing w:after="0" w:line="205" w:lineRule="exact"/>
        <w:rPr>
          <w:sz w:val="20"/>
          <w:szCs w:val="20"/>
          <w:color w:val="auto"/>
        </w:rPr>
      </w:pPr>
    </w:p>
    <w:p>
      <w:pPr>
        <w:ind w:left="700" w:hanging="354"/>
        <w:spacing w:after="0"/>
        <w:tabs>
          <w:tab w:leader="none" w:pos="7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Subject to the adjustment provisions of Section 9 hereof:</w:t>
      </w:r>
    </w:p>
    <w:p>
      <w:pPr>
        <w:spacing w:after="0" w:line="236"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the aggregate number of shares of Stock with respect to which Awards payable in securities may be granted under the Plan shall be no more than 5,800,000,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all of such shares may be granted under the Plan as Incentive Stock Options;</w:t>
      </w:r>
    </w:p>
    <w:p>
      <w:pPr>
        <w:spacing w:after="0" w:line="231"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aggregate number of shares with respect to which Restricted Stock and Other Stock-Based Awards, including Stock Units, may be granted in any one year to any individual shall be no more than (A) in the case of an Employee, 300,000 and (B) in the case of an Eligible Director, 7,000; and</w:t>
      </w:r>
    </w:p>
    <w:p>
      <w:pPr>
        <w:spacing w:after="0" w:line="229"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aggregate number of shares with respect to which Options or Stock Appreciation Rights may be granted in any one year to any individual shall be no more than (A) in the case of an Employee, 300,000 and (B) in the case of an Eligible Director, 20,000.</w:t>
      </w:r>
    </w:p>
    <w:p>
      <w:pPr>
        <w:spacing w:after="0" w:line="231" w:lineRule="exact"/>
        <w:rPr>
          <w:rFonts w:ascii="Arial" w:cs="Arial" w:eastAsia="Arial" w:hAnsi="Arial"/>
          <w:sz w:val="17"/>
          <w:szCs w:val="17"/>
          <w:color w:val="auto"/>
        </w:rPr>
      </w:pPr>
    </w:p>
    <w:p>
      <w:pPr>
        <w:jc w:val="both"/>
        <w:ind w:left="700" w:hanging="354"/>
        <w:spacing w:after="0" w:line="234" w:lineRule="auto"/>
        <w:tabs>
          <w:tab w:leader="none" w:pos="7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Any unexercised or undistributed portion of any cancelled, terminated or forfeited Award (other than an Award terminated or forfeited by reason of the exercise of any Award granted in tandem therewith) and any shares tendered or withheld in satisfaction of tax withholding obligations in connection with an Award shall be available for further Awards in addition to those available under Section 5(a)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from and after May 23, 2006</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D-4  </w:t>
      </w:r>
      <w:r>
        <w:rPr>
          <w:sz w:val="1"/>
          <w:szCs w:val="1"/>
          <w:color w:val="auto"/>
        </w:rPr>
        <w:drawing>
          <wp:inline distT="0" distB="0" distL="0" distR="0">
            <wp:extent cx="342900" cy="20574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ind w:left="700"/>
        <w:spacing w:after="0" w:line="235" w:lineRule="auto"/>
        <w:rPr>
          <w:sz w:val="20"/>
          <w:szCs w:val="20"/>
          <w:color w:val="auto"/>
        </w:rPr>
      </w:pPr>
      <w:r>
        <w:rPr>
          <w:rFonts w:ascii="Arial" w:cs="Arial" w:eastAsia="Arial" w:hAnsi="Arial"/>
          <w:sz w:val="17"/>
          <w:szCs w:val="17"/>
          <w:color w:val="auto"/>
        </w:rPr>
        <w:t>neither (i) shares tendered as full or partial payment to the Corporation upon exercise of a Non-Qualified Stock Option granted under the Plan, nor (ii) shares subject to Stock Appreciation Rights that are not used to settle the Stock Appreciation Right upon exercise, shall become available for further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jc w:val="both"/>
        <w:ind w:left="700" w:hanging="355"/>
        <w:spacing w:after="0" w:line="238" w:lineRule="auto"/>
        <w:tabs>
          <w:tab w:leader="none" w:pos="7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For the purposes of computing the aggregate number of shares with respect to which awards payable in securities may be granted under the Plan, the following rules shall apply:</w:t>
      </w:r>
    </w:p>
    <w:p>
      <w:pPr>
        <w:spacing w:after="0" w:line="228" w:lineRule="exact"/>
        <w:rPr>
          <w:rFonts w:ascii="Arial" w:cs="Arial" w:eastAsia="Arial" w:hAnsi="Arial"/>
          <w:sz w:val="17"/>
          <w:szCs w:val="17"/>
          <w:color w:val="auto"/>
        </w:rPr>
      </w:pPr>
    </w:p>
    <w:p>
      <w:pPr>
        <w:jc w:val="both"/>
        <w:ind w:left="1040" w:hanging="343"/>
        <w:spacing w:after="0" w:line="238" w:lineRule="auto"/>
        <w:tabs>
          <w:tab w:leader="none" w:pos="10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each Option shall be deemed to be the equivalent of the maximum number of shares that may be issued upon exercise of the particular Option;</w:t>
      </w:r>
    </w:p>
    <w:p>
      <w:pPr>
        <w:spacing w:after="0" w:line="228" w:lineRule="exact"/>
        <w:rPr>
          <w:rFonts w:ascii="Arial" w:cs="Arial" w:eastAsia="Arial" w:hAnsi="Arial"/>
          <w:sz w:val="17"/>
          <w:szCs w:val="17"/>
          <w:color w:val="auto"/>
        </w:rPr>
      </w:pPr>
    </w:p>
    <w:p>
      <w:pPr>
        <w:jc w:val="both"/>
        <w:ind w:left="1040" w:hanging="343"/>
        <w:spacing w:after="0" w:line="238" w:lineRule="auto"/>
        <w:tabs>
          <w:tab w:leader="none" w:pos="10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each Stock Appreciation Right and each Other Stock-Based Award shall be deemed to be equal to the number of shares to which it relates;</w:t>
      </w:r>
    </w:p>
    <w:p>
      <w:pPr>
        <w:spacing w:after="0" w:line="228" w:lineRule="exact"/>
        <w:rPr>
          <w:rFonts w:ascii="Arial" w:cs="Arial" w:eastAsia="Arial" w:hAnsi="Arial"/>
          <w:sz w:val="17"/>
          <w:szCs w:val="17"/>
          <w:color w:val="auto"/>
        </w:rPr>
      </w:pPr>
    </w:p>
    <w:p>
      <w:pPr>
        <w:jc w:val="both"/>
        <w:ind w:left="1040" w:hanging="343"/>
        <w:spacing w:after="0" w:line="236" w:lineRule="auto"/>
        <w:tabs>
          <w:tab w:leader="none" w:pos="10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where the number of shares available under the Award is variable on the date it is granted, the number of shares shall be deemed to be the maximum number of shares that could be received under that particular Award; and</w:t>
      </w:r>
    </w:p>
    <w:p>
      <w:pPr>
        <w:spacing w:after="0" w:line="230" w:lineRule="exact"/>
        <w:rPr>
          <w:rFonts w:ascii="Arial" w:cs="Arial" w:eastAsia="Arial" w:hAnsi="Arial"/>
          <w:sz w:val="17"/>
          <w:szCs w:val="17"/>
          <w:color w:val="auto"/>
        </w:rPr>
      </w:pPr>
    </w:p>
    <w:p>
      <w:pPr>
        <w:jc w:val="both"/>
        <w:ind w:left="1040" w:hanging="343"/>
        <w:spacing w:after="0" w:line="234" w:lineRule="auto"/>
        <w:tabs>
          <w:tab w:leader="none" w:pos="10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where one or more types of Awards (both of which are payable in Stock or another security) are granted in tandem with each other, such that the exercise of one type of Award with respect to a number of shares cancels an equal number of shares of the other type of Award, each such tandem Award shall be deemed to cover only the number of shares to be issued under the surviving tandem component.</w:t>
      </w:r>
    </w:p>
    <w:p>
      <w:pPr>
        <w:spacing w:after="0" w:line="204" w:lineRule="exact"/>
        <w:rPr>
          <w:sz w:val="20"/>
          <w:szCs w:val="20"/>
          <w:color w:val="auto"/>
        </w:rPr>
      </w:pPr>
    </w:p>
    <w:p>
      <w:pPr>
        <w:jc w:val="both"/>
        <w:ind w:left="700"/>
        <w:spacing w:after="0" w:line="236" w:lineRule="auto"/>
        <w:rPr>
          <w:sz w:val="20"/>
          <w:szCs w:val="20"/>
          <w:color w:val="auto"/>
        </w:rPr>
      </w:pPr>
      <w:r>
        <w:rPr>
          <w:rFonts w:ascii="Arial" w:cs="Arial" w:eastAsia="Arial" w:hAnsi="Arial"/>
          <w:sz w:val="17"/>
          <w:szCs w:val="17"/>
          <w:color w:val="auto"/>
        </w:rPr>
        <w:t>Additional rules for determining the aggregate number of shares with respect to which awards payable in securities may be granted under the Plan may be made by the Committee, as it deems necessary or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Award Agreements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Each Award under this Plan shall be evidenced by an Award Agreement setting forth the number of shares of Stock or Stock Units subject to the Award and such other terms and conditions applicable to the Award as determined by the Committee. Award Agreements may include the following terms:</w:t>
      </w:r>
    </w:p>
    <w:p>
      <w:pPr>
        <w:spacing w:after="0" w:line="110" w:lineRule="exact"/>
        <w:rPr>
          <w:sz w:val="20"/>
          <w:szCs w:val="20"/>
          <w:color w:val="auto"/>
        </w:rPr>
      </w:pPr>
    </w:p>
    <w:p>
      <w:pPr>
        <w:jc w:val="both"/>
        <w:ind w:left="700" w:hanging="355"/>
        <w:spacing w:after="0" w:line="236" w:lineRule="auto"/>
        <w:tabs>
          <w:tab w:leader="none" w:pos="7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Termination of Employment or Service as Director: A provision describing the treatment of an Award in the event of the retirement, disability, death or other termination of a Participant’s employment with the</w:t>
      </w:r>
    </w:p>
    <w:p>
      <w:pPr>
        <w:sectPr>
          <w:pgSz w:w="11900" w:h="16838" w:orient="portrait"/>
          <w:cols w:equalWidth="0" w:num="2">
            <w:col w:w="5480" w:space="340"/>
            <w:col w:w="5480"/>
          </w:cols>
          <w:pgMar w:left="240" w:top="336" w:right="359" w:bottom="1440" w:gutter="0" w:footer="0" w:header="0"/>
        </w:sectPr>
      </w:pPr>
    </w:p>
    <w:bookmarkStart w:id="73" w:name="page74"/>
    <w:bookmarkEnd w:id="73"/>
    <w:p>
      <w:pPr>
        <w:jc w:val="both"/>
        <w:ind w:left="354"/>
        <w:spacing w:after="0"/>
        <w:rPr>
          <w:sz w:val="20"/>
          <w:szCs w:val="20"/>
          <w:color w:val="auto"/>
        </w:rPr>
      </w:pPr>
      <w:r>
        <w:rPr>
          <w:rFonts w:ascii="Arial" w:cs="Arial" w:eastAsia="Arial" w:hAnsi="Arial"/>
          <w:sz w:val="17"/>
          <w:szCs w:val="17"/>
          <w:color w:val="auto"/>
        </w:rPr>
        <w:t>Corporation or Subsidiary or service as a Director, including but not limited to terms relating to the vesting, time for exercise, forfeiture or cancellation of an Award in such circumstances.</w:t>
      </w:r>
    </w:p>
    <w:p>
      <w:pPr>
        <w:spacing w:after="0" w:line="200" w:lineRule="exact"/>
        <w:rPr>
          <w:sz w:val="20"/>
          <w:szCs w:val="20"/>
          <w:color w:val="auto"/>
        </w:rPr>
      </w:pPr>
    </w:p>
    <w:p>
      <w:pPr>
        <w:spacing w:after="0" w:line="213" w:lineRule="exact"/>
        <w:rPr>
          <w:sz w:val="20"/>
          <w:szCs w:val="20"/>
          <w:color w:val="auto"/>
        </w:rPr>
      </w:pPr>
    </w:p>
    <w:p>
      <w:pPr>
        <w:jc w:val="both"/>
        <w:ind w:left="354" w:hanging="354"/>
        <w:spacing w:after="0" w:line="236" w:lineRule="auto"/>
        <w:tabs>
          <w:tab w:leader="none" w:pos="3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Rights as Shareholder: A provision that a Participant shall have no rights as a shareholder with respect to any securities covered by an Award until the date the Participant becomes the holder of record.</w:t>
      </w:r>
    </w:p>
    <w:p>
      <w:pPr>
        <w:spacing w:after="0" w:line="230" w:lineRule="exact"/>
        <w:rPr>
          <w:rFonts w:ascii="Arial" w:cs="Arial" w:eastAsia="Arial" w:hAnsi="Arial"/>
          <w:sz w:val="17"/>
          <w:szCs w:val="17"/>
          <w:color w:val="auto"/>
        </w:rPr>
      </w:pPr>
    </w:p>
    <w:p>
      <w:pPr>
        <w:jc w:val="both"/>
        <w:ind w:left="354" w:hanging="354"/>
        <w:spacing w:after="0" w:line="233" w:lineRule="auto"/>
        <w:tabs>
          <w:tab w:leader="none" w:pos="3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Withholding: A provision requiring the withholding of applicable taxes required by law from all amounts paid in satisfaction of an Award. If such a provision is included, then (i) in the case of an Award paid in cash, the withholding obligation shall be satisfied by withholding the applicable amount and paying the net amount in cash to the Participant and (ii) in the case of Awards paid in shares of Stock or other securities of the Corporation, a Participant may satisfy the withholding obligation by paying the amount of any taxes in cash or shares of Stock may be deducted from the payment to satisfy the obligation in full or in part, where the number of shares to be deducted shall be specified in the Award Agreement or as determined by the Committee.</w:t>
      </w:r>
    </w:p>
    <w:p>
      <w:pPr>
        <w:spacing w:after="0" w:line="234" w:lineRule="exact"/>
        <w:rPr>
          <w:rFonts w:ascii="Arial" w:cs="Arial" w:eastAsia="Arial" w:hAnsi="Arial"/>
          <w:sz w:val="17"/>
          <w:szCs w:val="17"/>
          <w:color w:val="auto"/>
        </w:rPr>
      </w:pPr>
    </w:p>
    <w:p>
      <w:pPr>
        <w:jc w:val="both"/>
        <w:ind w:left="354" w:hanging="354"/>
        <w:spacing w:after="0" w:line="234" w:lineRule="auto"/>
        <w:tabs>
          <w:tab w:leader="none" w:pos="3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Execution: A provision stating that no Award is enforceable until the Award Agreement or a receipt has been signed by the Participant and the Chairman, the Chief Executive Officer, or the General Counsel of the Corporation (in each case, or his or her delegate). If such a provision is included, then by executing the Award Agreement or receipt, a Participant shall be deemed to have accepted and consented to any action taken under the Plan by the Committee, the Board of Directors or their delegates.</w:t>
      </w:r>
    </w:p>
    <w:p>
      <w:pPr>
        <w:spacing w:after="0" w:line="229" w:lineRule="exact"/>
        <w:rPr>
          <w:rFonts w:ascii="Arial" w:cs="Arial" w:eastAsia="Arial" w:hAnsi="Arial"/>
          <w:sz w:val="17"/>
          <w:szCs w:val="17"/>
          <w:color w:val="auto"/>
        </w:rPr>
      </w:pPr>
    </w:p>
    <w:p>
      <w:pPr>
        <w:ind w:left="354" w:right="20" w:hanging="354"/>
        <w:spacing w:after="0" w:line="243" w:lineRule="auto"/>
        <w:tabs>
          <w:tab w:leader="none" w:pos="3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Exercise and Payment: The permitted methods of exercising and paying the exercise price with respect to the Award.</w:t>
      </w:r>
    </w:p>
    <w:p>
      <w:pPr>
        <w:spacing w:after="0" w:line="225" w:lineRule="exact"/>
        <w:rPr>
          <w:rFonts w:ascii="Arial" w:cs="Arial" w:eastAsia="Arial" w:hAnsi="Arial"/>
          <w:sz w:val="17"/>
          <w:szCs w:val="17"/>
          <w:color w:val="auto"/>
        </w:rPr>
      </w:pPr>
    </w:p>
    <w:p>
      <w:pPr>
        <w:jc w:val="both"/>
        <w:ind w:left="354" w:hanging="354"/>
        <w:spacing w:after="0" w:line="234" w:lineRule="auto"/>
        <w:tabs>
          <w:tab w:leader="none" w:pos="3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Replacement and Substitution: Any provisions (A) permitting the surrender of outstanding Awards or securities held by the Participant in order to exercise or realize rights under other Awards, or in exchange for the grant of new Awards under similar or different terms (other than as prohibited by Section 4(f)) or, (B) requiring holders of Awards to surrender outstanding Awards as a condition precedent to the grant of new Awards under the Plan.</w:t>
      </w:r>
    </w:p>
    <w:p>
      <w:pPr>
        <w:spacing w:after="0" w:line="230" w:lineRule="exact"/>
        <w:rPr>
          <w:rFonts w:ascii="Arial" w:cs="Arial" w:eastAsia="Arial" w:hAnsi="Arial"/>
          <w:sz w:val="17"/>
          <w:szCs w:val="17"/>
          <w:color w:val="auto"/>
        </w:rPr>
      </w:pPr>
    </w:p>
    <w:p>
      <w:pPr>
        <w:jc w:val="both"/>
        <w:ind w:left="354" w:hanging="354"/>
        <w:spacing w:after="0" w:line="234" w:lineRule="auto"/>
        <w:tabs>
          <w:tab w:leader="none" w:pos="3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Dividend Equivalents: In the case of Stock Units and other appropriate Other Stock-Based Awards, provisions providing for the Participant to receive dividend equivalents in connection with such Award. Such provision shall provide that any dividend equivalents will be paid to the Participant no earlier than the lapsing of restrictions applicable to the Award to which such dividend equivalents relate.</w:t>
      </w:r>
    </w:p>
    <w:p>
      <w:pPr>
        <w:spacing w:after="0" w:line="20" w:lineRule="exact"/>
        <w:rPr>
          <w:sz w:val="20"/>
          <w:szCs w:val="20"/>
          <w:color w:val="auto"/>
        </w:rPr>
      </w:pPr>
      <w:r>
        <w:rPr>
          <w:sz w:val="20"/>
          <w:szCs w:val="20"/>
          <w:color w:val="auto"/>
        </w:rPr>
        <w:br w:type="column"/>
      </w:r>
    </w:p>
    <w:p>
      <w:pPr>
        <w:jc w:val="both"/>
        <w:ind w:left="700" w:right="120" w:hanging="355"/>
        <w:spacing w:after="0" w:line="234" w:lineRule="auto"/>
        <w:tabs>
          <w:tab w:leader="none" w:pos="7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Amendment and Termination</w:t>
      </w:r>
    </w:p>
    <w:p>
      <w:pPr>
        <w:spacing w:after="0" w:line="23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Board of Directors may at any time amend, suspend or discontinue the Plan. The Committee may at any time alter or amend any or all Award Agreements under the Plan to the extent permitted by law. No such action by the Board of Directors or the Committee may, without approval of the shareholders of the Corporation, be effective, if shareholder approval would be required pursuant to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Administration</w:t>
      </w:r>
    </w:p>
    <w:p>
      <w:pPr>
        <w:spacing w:after="0" w:line="257" w:lineRule="exact"/>
        <w:rPr>
          <w:sz w:val="20"/>
          <w:szCs w:val="20"/>
          <w:color w:val="auto"/>
        </w:rPr>
      </w:pPr>
    </w:p>
    <w:p>
      <w:pPr>
        <w:jc w:val="both"/>
        <w:ind w:left="700" w:right="120" w:hanging="355"/>
        <w:spacing w:after="0" w:line="235" w:lineRule="auto"/>
        <w:tabs>
          <w:tab w:leader="none" w:pos="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Plan and all Awards granted pursuant thereto shall be administered by the Committee. The members of the Committee shall be designated by the Board of Directors. A majority of the members of the Committee shall constitute a quorum. The vote of a majority of a quorum shall constitute action by the Committee.</w:t>
      </w:r>
    </w:p>
    <w:p>
      <w:pPr>
        <w:spacing w:after="0" w:line="229" w:lineRule="exact"/>
        <w:rPr>
          <w:rFonts w:ascii="Arial" w:cs="Arial" w:eastAsia="Arial" w:hAnsi="Arial"/>
          <w:sz w:val="17"/>
          <w:szCs w:val="17"/>
          <w:color w:val="auto"/>
        </w:rPr>
      </w:pPr>
    </w:p>
    <w:p>
      <w:pPr>
        <w:jc w:val="both"/>
        <w:ind w:left="700" w:right="120" w:hanging="355"/>
        <w:spacing w:after="0" w:line="236" w:lineRule="auto"/>
        <w:tabs>
          <w:tab w:leader="none" w:pos="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Committee shall periodically determine the Participants in the Plan, except with respect to Eligible Directors, and the nature, amount, pricing, timing, and other terms of Awards to be made to such individuals.</w:t>
      </w:r>
    </w:p>
    <w:p>
      <w:pPr>
        <w:spacing w:after="0" w:line="230" w:lineRule="exact"/>
        <w:rPr>
          <w:rFonts w:ascii="Arial" w:cs="Arial" w:eastAsia="Arial" w:hAnsi="Arial"/>
          <w:sz w:val="17"/>
          <w:szCs w:val="17"/>
          <w:color w:val="auto"/>
        </w:rPr>
      </w:pPr>
    </w:p>
    <w:p>
      <w:pPr>
        <w:jc w:val="both"/>
        <w:ind w:left="700" w:right="120" w:hanging="355"/>
        <w:spacing w:after="0" w:line="234" w:lineRule="auto"/>
        <w:tabs>
          <w:tab w:leader="none" w:pos="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Committee shall have the power to interpret and administer the Plan. All questions of interpretation with respect to the Plan, the terms of any Award Agreements and, except with respect to Eligible Directors, the number of shares of Stock, or units granted, shall be determined by the Committee and its determination shall be final and conclusive upon all parties in interest. In the event of any conflict between an Award Agreement and this Plan, the terms of this Plan shall govern.</w:t>
      </w:r>
    </w:p>
    <w:p>
      <w:pPr>
        <w:spacing w:after="0" w:line="229" w:lineRule="exact"/>
        <w:rPr>
          <w:rFonts w:ascii="Arial" w:cs="Arial" w:eastAsia="Arial" w:hAnsi="Arial"/>
          <w:sz w:val="17"/>
          <w:szCs w:val="17"/>
          <w:color w:val="auto"/>
        </w:rPr>
      </w:pPr>
    </w:p>
    <w:p>
      <w:pPr>
        <w:jc w:val="both"/>
        <w:ind w:left="700" w:right="120" w:hanging="355"/>
        <w:spacing w:after="0"/>
        <w:tabs>
          <w:tab w:leader="none" w:pos="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It is the intent of the Corporation that this Plan and Awards hereunder satisfy and be interpreted in a manner, that, in the case of Participants who are or may be Insiders, satisfies the applicable requirements of Rule 16b-3, so that such persons will be entitled to the benefits of Rule 16b-3 or other exemptive rules under Section 16 and will not be subjected to avoidable liability thereunder. If any provision of this Plan or of any Award would otherwise frustrate or conflict with the intent expressed in this Section 8(d), that provision to the extent possible shall be</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-107950</wp:posOffset>
            </wp:positionV>
            <wp:extent cx="34290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134" w:space="340"/>
            <w:col w:w="5600"/>
          </w:cols>
          <w:pgMar w:left="586" w:top="336" w:right="239" w:bottom="1440" w:gutter="0" w:footer="0" w:header="0"/>
        </w:sectPr>
      </w:pPr>
    </w:p>
    <w:bookmarkStart w:id="74" w:name="page75"/>
    <w:bookmarkEnd w:id="74"/>
    <w:p>
      <w:pPr>
        <w:jc w:val="both"/>
        <w:ind w:left="700"/>
        <w:spacing w:after="0" w:line="235" w:lineRule="auto"/>
        <w:rPr>
          <w:sz w:val="20"/>
          <w:szCs w:val="20"/>
          <w:color w:val="auto"/>
        </w:rPr>
      </w:pPr>
      <w:r>
        <w:rPr>
          <w:rFonts w:ascii="Arial" w:cs="Arial" w:eastAsia="Arial" w:hAnsi="Arial"/>
          <w:sz w:val="17"/>
          <w:szCs w:val="17"/>
          <w:color w:val="auto"/>
        </w:rPr>
        <w:t>interpreted and deemed amended so as to avoid such conflict. To the extent of any remaining irreconcilable conflict with such intent, the provision shall be deemed void as applicable to Insiders to the extent permitted by law and deemed advisable by the Committee.</w:t>
      </w:r>
    </w:p>
    <w:p>
      <w:pPr>
        <w:spacing w:after="0" w:line="231" w:lineRule="exact"/>
        <w:rPr>
          <w:sz w:val="20"/>
          <w:szCs w:val="20"/>
          <w:color w:val="auto"/>
        </w:rPr>
      </w:pPr>
    </w:p>
    <w:p>
      <w:pPr>
        <w:ind w:left="700" w:right="20" w:hanging="354"/>
        <w:spacing w:after="0" w:line="243" w:lineRule="auto"/>
        <w:tabs>
          <w:tab w:leader="none" w:pos="7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following provisions shall be applicable to Section 162(m) Awards:</w:t>
      </w:r>
    </w:p>
    <w:p>
      <w:pPr>
        <w:spacing w:after="0" w:line="225" w:lineRule="exact"/>
        <w:rPr>
          <w:rFonts w:ascii="Arial" w:cs="Arial" w:eastAsia="Arial" w:hAnsi="Arial"/>
          <w:sz w:val="17"/>
          <w:szCs w:val="17"/>
          <w:color w:val="auto"/>
        </w:rPr>
      </w:pPr>
    </w:p>
    <w:p>
      <w:pPr>
        <w:jc w:val="both"/>
        <w:ind w:left="1040" w:hanging="343"/>
        <w:spacing w:after="0" w:line="234" w:lineRule="auto"/>
        <w:tabs>
          <w:tab w:leader="none" w:pos="10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lapsing of restrictions applicable to such Section 162(m) Awards and the distribution of cash, shares of Stock or other property pursuant thereto, as applicable, shall be conditioned on the attainment of specified levels of achievement under one or more Quantitative Performance Standards established by the Committee (which for purposes of this Section 8(e) shall be deemed to consist solely of those members of the Committee who qualify as “outside directors” within the meaning of Section 162(m)).</w:t>
      </w:r>
    </w:p>
    <w:p>
      <w:pPr>
        <w:spacing w:after="0" w:line="227" w:lineRule="exact"/>
        <w:rPr>
          <w:rFonts w:ascii="Arial" w:cs="Arial" w:eastAsia="Arial" w:hAnsi="Arial"/>
          <w:sz w:val="17"/>
          <w:szCs w:val="17"/>
          <w:color w:val="auto"/>
        </w:rPr>
      </w:pPr>
    </w:p>
    <w:p>
      <w:pPr>
        <w:jc w:val="both"/>
        <w:ind w:left="1040" w:hanging="343"/>
        <w:spacing w:after="0"/>
        <w:tabs>
          <w:tab w:leader="none" w:pos="10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Quantitative Performance Standards and the specified levels of achievement shall be set by the Committee within the time period prescribed by, and shall otherwise comply with the requirements of, Section 162(m), as determined by the Committee in its sole discretion.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 Participant shall not be entitled to receive payment for any dividends or dividend equivalents with respect to a Section 162(m) Award unless, until and except to the extent that the Quantitative Performance Standards applicable to such Awards are achieved or are otherwise deemed to be satisfied.</w:t>
      </w:r>
    </w:p>
    <w:p>
      <w:pPr>
        <w:spacing w:after="0" w:line="229" w:lineRule="exact"/>
        <w:rPr>
          <w:rFonts w:ascii="Arial" w:cs="Arial" w:eastAsia="Arial" w:hAnsi="Arial"/>
          <w:sz w:val="17"/>
          <w:szCs w:val="17"/>
          <w:color w:val="auto"/>
        </w:rPr>
      </w:pPr>
    </w:p>
    <w:p>
      <w:pPr>
        <w:jc w:val="both"/>
        <w:ind w:left="1040" w:hanging="343"/>
        <w:spacing w:after="0" w:line="234" w:lineRule="auto"/>
        <w:tabs>
          <w:tab w:leader="none" w:pos="10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Following the achievement or satisfaction of the applicable Quantitative Performance Standards, the Committee shall be permitted, unless otherwise prohibited in the applicable Award Agreement, in its sole discretion, to decrease, but in no event increase, the cash, shares of Stock or other property payable in connection with any Section 162(m) Award for any reason.</w:t>
      </w:r>
    </w:p>
    <w:p>
      <w:pPr>
        <w:spacing w:after="0" w:line="232"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Committee shall have the power to impose such other restrictions on Section 162(m) Awards as it may deem necessary or appropriate to ensure that such Awards satisfy all requirements for “performance-based compensation” within the meaning of subsection (4)(C) of Section 162(m).</w:t>
      </w:r>
    </w:p>
    <w:p>
      <w:pPr>
        <w:spacing w:after="0" w:line="229" w:lineRule="exact"/>
        <w:rPr>
          <w:rFonts w:ascii="Arial" w:cs="Arial" w:eastAsia="Arial" w:hAnsi="Arial"/>
          <w:sz w:val="17"/>
          <w:szCs w:val="17"/>
          <w:color w:val="auto"/>
        </w:rPr>
      </w:pPr>
    </w:p>
    <w:p>
      <w:pPr>
        <w:jc w:val="both"/>
        <w:ind w:left="1040" w:hanging="343"/>
        <w:spacing w:after="0" w:line="238" w:lineRule="auto"/>
        <w:tabs>
          <w:tab w:leader="none" w:pos="10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To the extent required by Section 162(m), awards that are canceled shall be counted against the applicable per year limitations set forth in Section 5(a).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D-6  </w:t>
      </w:r>
      <w:r>
        <w:rPr>
          <w:sz w:val="1"/>
          <w:szCs w:val="1"/>
          <w:color w:val="auto"/>
        </w:rPr>
        <w:drawing>
          <wp:inline distT="0" distB="0" distL="0" distR="0">
            <wp:extent cx="342900" cy="20574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ind w:left="700" w:hanging="355"/>
        <w:spacing w:after="0" w:line="233" w:lineRule="auto"/>
        <w:tabs>
          <w:tab w:leader="none" w:pos="7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Committee may delegate to the officers or Employees of the Corporation the authority to execute and deliver such instruments and documents, including the execution of Award Agreements on behalf of the Corporation by the Chairman, Chief Executive Officer, or the General Counsel of the Corporation, to do all such acts and things, and to take all such other steps deemed necessary, advisable or convenient for the effective administration of the Plan in accordance with its terms and purpose, except that the Committee may not delegate any discretionary authority with respect to substantive decisions or functions regarding the Plan or Awards thereunder as these relate to Insiders or Covered Employees, including but not limited to decisions regarding the timing, eligibility, pricing, amount or other material term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-1811020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Adjustment Provisions</w:t>
      </w:r>
    </w:p>
    <w:p>
      <w:pPr>
        <w:spacing w:after="0" w:line="257" w:lineRule="exact"/>
        <w:rPr>
          <w:sz w:val="20"/>
          <w:szCs w:val="20"/>
          <w:color w:val="auto"/>
        </w:rPr>
      </w:pPr>
    </w:p>
    <w:p>
      <w:pPr>
        <w:jc w:val="both"/>
        <w:ind w:left="700" w:hanging="355"/>
        <w:spacing w:after="0" w:line="233" w:lineRule="auto"/>
        <w:tabs>
          <w:tab w:leader="none" w:pos="7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the event of any change in the outstanding shares of Stock or the value thereof by reason of a stock dividend or split, recapitalization, merger or consolidation, reorganization, combination or exchange of shares or other similar corporate change, the number of shares of Stock (or other securities or other property) then remaining subject to this Plan, the limitations on the number of shares that may be issued to anyone pursuant to this Plan and the exercise price or base price of Options and Stock Appreciation Rights, in each case, including those that are then covered by outstanding Awards, shall be adjusted as the Committee, in its sole discretion, deems equitable or appropriate.</w:t>
      </w:r>
    </w:p>
    <w:p>
      <w:pPr>
        <w:spacing w:after="0" w:line="234" w:lineRule="exact"/>
        <w:rPr>
          <w:rFonts w:ascii="Arial" w:cs="Arial" w:eastAsia="Arial" w:hAnsi="Arial"/>
          <w:sz w:val="17"/>
          <w:szCs w:val="17"/>
          <w:color w:val="auto"/>
        </w:rPr>
      </w:pPr>
    </w:p>
    <w:p>
      <w:pPr>
        <w:jc w:val="both"/>
        <w:ind w:left="700" w:hanging="355"/>
        <w:spacing w:after="0" w:line="234" w:lineRule="auto"/>
        <w:tabs>
          <w:tab w:leader="none" w:pos="7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Committee shall make any further adjustments as it deems necessary (including to vesting conditions), in its sole discretion, to ensure equitable treatment of any holder of an Award as the result of any transaction affecting the securities subject to the Plan, including transactions not described in Section 9(a), or as is required or authorized under the terms of any applicable Award Agreement.</w:t>
      </w:r>
    </w:p>
    <w:p>
      <w:pPr>
        <w:spacing w:after="0" w:line="232" w:lineRule="exact"/>
        <w:rPr>
          <w:rFonts w:ascii="Arial" w:cs="Arial" w:eastAsia="Arial" w:hAnsi="Arial"/>
          <w:sz w:val="17"/>
          <w:szCs w:val="17"/>
          <w:color w:val="auto"/>
        </w:rPr>
      </w:pPr>
    </w:p>
    <w:p>
      <w:pPr>
        <w:jc w:val="both"/>
        <w:ind w:left="700" w:right="20" w:hanging="355"/>
        <w:spacing w:after="0" w:line="235" w:lineRule="auto"/>
        <w:tabs>
          <w:tab w:leader="none" w:pos="7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Except as provided in this Section 9,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Change in Control</w:t>
      </w:r>
    </w:p>
    <w:p>
      <w:pPr>
        <w:spacing w:after="0" w:line="257" w:lineRule="exact"/>
        <w:rPr>
          <w:sz w:val="20"/>
          <w:szCs w:val="20"/>
          <w:color w:val="auto"/>
        </w:rPr>
      </w:pPr>
    </w:p>
    <w:p>
      <w:pPr>
        <w:jc w:val="both"/>
        <w:ind w:left="700" w:hanging="355"/>
        <w:spacing w:after="0" w:line="235" w:lineRule="auto"/>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Subject to Sections 5, 7 and 9, in the event of a Change in Control, in addition to any action required or authorized by the terms of any Award Agreement, upon such Change in Control, all time periods for purposes of vesting in, or realizing gain from, any and all outstanding Awards made pursuant to this Plan</w:t>
      </w:r>
    </w:p>
    <w:p>
      <w:pPr>
        <w:sectPr>
          <w:pgSz w:w="11900" w:h="16838" w:orient="portrait"/>
          <w:cols w:equalWidth="0" w:num="2">
            <w:col w:w="5480" w:space="340"/>
            <w:col w:w="5480"/>
          </w:cols>
          <w:pgMar w:left="240" w:top="336" w:right="359" w:bottom="1440" w:gutter="0" w:footer="0" w:header="0"/>
        </w:sectPr>
      </w:pPr>
    </w:p>
    <w:bookmarkStart w:id="75" w:name="page76"/>
    <w:bookmarkEnd w:id="75"/>
    <w:p>
      <w:pPr>
        <w:jc w:val="both"/>
        <w:ind w:left="354"/>
        <w:spacing w:after="0" w:line="235" w:lineRule="auto"/>
        <w:rPr>
          <w:sz w:val="20"/>
          <w:szCs w:val="20"/>
          <w:color w:val="auto"/>
        </w:rPr>
      </w:pPr>
      <w:r>
        <w:rPr>
          <w:rFonts w:ascii="Arial" w:cs="Arial" w:eastAsia="Arial" w:hAnsi="Arial"/>
          <w:sz w:val="17"/>
          <w:szCs w:val="17"/>
          <w:color w:val="auto"/>
        </w:rPr>
        <w:t>will automatically accelerate and all performance criteria, including Quantitative Performance Standards, shall be deemed achieved at the greater of (i) target levels of achievement and (ii) actual levels of achievement determined by the Committee in its sole discretion as of the date of the Change in Control.</w:t>
      </w:r>
    </w:p>
    <w:p>
      <w:pPr>
        <w:spacing w:after="0" w:line="229" w:lineRule="exact"/>
        <w:rPr>
          <w:sz w:val="20"/>
          <w:szCs w:val="20"/>
          <w:color w:val="auto"/>
        </w:rPr>
      </w:pPr>
    </w:p>
    <w:p>
      <w:pPr>
        <w:ind w:left="354" w:right="20" w:hanging="354"/>
        <w:spacing w:after="0" w:line="243" w:lineRule="auto"/>
        <w:tabs>
          <w:tab w:leader="none" w:pos="35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the purposes of this Section, a “Change in Control” shall mean on or after the effective date of the Plan,</w:t>
      </w:r>
    </w:p>
    <w:p>
      <w:pPr>
        <w:spacing w:after="0" w:line="225" w:lineRule="exact"/>
        <w:rPr>
          <w:rFonts w:ascii="Arial" w:cs="Arial" w:eastAsia="Arial" w:hAnsi="Arial"/>
          <w:sz w:val="17"/>
          <w:szCs w:val="17"/>
          <w:color w:val="auto"/>
        </w:rPr>
      </w:pPr>
    </w:p>
    <w:p>
      <w:pPr>
        <w:jc w:val="both"/>
        <w:ind w:left="694" w:hanging="343"/>
        <w:spacing w:after="0"/>
        <w:tabs>
          <w:tab w:leader="none" w:pos="69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The acquisition by any individual, entity or group (within the meaning of Section 13(d)(3) or 14(d)(2) of the Exchange Act (an “Acquiring Person”) of beneficial ownership (within the meaning of Rule 13d-3 promulgated under the Exchange Act) of 40% or more of either (A) the fully diluted shares of Stock, as reflected on the Corporation’s financial statements (the “Outstanding Corporation Common Stock”), or (B) the combined voting power of the then outstanding voting securities of the Corporation entitled to vote generally in the election of directors (the “Outstanding Corporation Voting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subsection (i), the following acquisitions shall not constitute a Change in Control: (1) any acquisition by the Corporation or any “affiliate” of the Corporation, within the meaning of 17 C.F.R. § 230.405 (a “CIC Affiliate”), (2) any acquisition by any employee benefit plan (or related trust) sponsored or maintained by the Corporation or any CIC Affiliate of the Corporation, or (3) any acquisition by any entity pursuant to a transaction which complies with clauses (A), (B) and (C) of subsection (iii) of this definition; or</w:t>
      </w:r>
    </w:p>
    <w:p>
      <w:pPr>
        <w:spacing w:after="0" w:line="297" w:lineRule="exact"/>
        <w:rPr>
          <w:rFonts w:ascii="Arial" w:cs="Arial" w:eastAsia="Arial" w:hAnsi="Arial"/>
          <w:sz w:val="17"/>
          <w:szCs w:val="17"/>
          <w:color w:val="auto"/>
        </w:rPr>
      </w:pPr>
    </w:p>
    <w:p>
      <w:pPr>
        <w:jc w:val="both"/>
        <w:ind w:left="694" w:hanging="343"/>
        <w:spacing w:after="0" w:line="238" w:lineRule="auto"/>
        <w:tabs>
          <w:tab w:leader="none" w:pos="69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Individuals who constitute the Incumbent Board cease for any reason to constitute at least a majority of the Board of Directors; or</w:t>
      </w:r>
    </w:p>
    <w:p>
      <w:pPr>
        <w:spacing w:after="0" w:line="228" w:lineRule="exact"/>
        <w:rPr>
          <w:rFonts w:ascii="Arial" w:cs="Arial" w:eastAsia="Arial" w:hAnsi="Arial"/>
          <w:sz w:val="17"/>
          <w:szCs w:val="17"/>
          <w:color w:val="auto"/>
        </w:rPr>
      </w:pPr>
    </w:p>
    <w:p>
      <w:pPr>
        <w:jc w:val="both"/>
        <w:ind w:left="694" w:hanging="343"/>
        <w:spacing w:after="0" w:line="233" w:lineRule="auto"/>
        <w:tabs>
          <w:tab w:leader="none" w:pos="69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the assets of the Corporation or any Subsidiary (but only to the extent any voting securities of the Corporation entitled to vote generally in the election of directors is issued in such transaction) (such transactions,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w:t>
      </w:r>
    </w:p>
    <w:p>
      <w:pPr>
        <w:spacing w:after="0" w:line="20" w:lineRule="exact"/>
        <w:rPr>
          <w:sz w:val="20"/>
          <w:szCs w:val="20"/>
          <w:color w:val="auto"/>
        </w:rPr>
      </w:pPr>
      <w:r>
        <w:rPr>
          <w:sz w:val="20"/>
          <w:szCs w:val="20"/>
          <w:color w:val="auto"/>
        </w:rPr>
        <w:br w:type="column"/>
      </w:r>
    </w:p>
    <w:p>
      <w:pPr>
        <w:jc w:val="both"/>
        <w:ind w:left="1040" w:right="120"/>
        <w:spacing w:after="0"/>
        <w:rPr>
          <w:sz w:val="20"/>
          <w:szCs w:val="20"/>
          <w:color w:val="auto"/>
        </w:rPr>
      </w:pPr>
      <w:r>
        <w:rPr>
          <w:rFonts w:ascii="Arial" w:cs="Arial" w:eastAsia="Arial" w:hAnsi="Arial"/>
          <w:sz w:val="17"/>
          <w:szCs w:val="17"/>
          <w:color w:val="auto"/>
        </w:rPr>
        <w:t>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(B) no Person (excluding any employee benefit plan (or related trust) sponsored or maintained by the Corporation or any CIC Affiliate of the Corporation, or such corporation resulting from such Business Combination or any Affiliate of such corporation) beneficially owns, directly or indirectly, 40% or more of, respectively, the fully diluted shares of common stock of the corporation resulting from such Business Combination, as reflected on such corporation’s financial statements,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of Directors,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-3599815</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2" w:lineRule="exact"/>
        <w:rPr>
          <w:sz w:val="20"/>
          <w:szCs w:val="20"/>
          <w:color w:val="auto"/>
        </w:rPr>
      </w:pPr>
    </w:p>
    <w:p>
      <w:pPr>
        <w:ind w:left="1040" w:right="140" w:hanging="343"/>
        <w:spacing w:after="0" w:line="243" w:lineRule="auto"/>
        <w:tabs>
          <w:tab w:leader="none" w:pos="10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Approval by the shareholders of the Corporation of a complete liquidation or dissolution of the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Unfunded Plan</w:t>
      </w:r>
    </w:p>
    <w:p>
      <w:pPr>
        <w:spacing w:after="0" w:line="176"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Plan shall be unfunded. Neither the Corporation nor the Board of Directors shall be required to segregate any assets that may at any time be represented by Awards made pursuant to the Plan. Neither the Corporation, the Committee, nor the Board of Directors shall be deemed to be a trustee of any amounts to be paid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Limits of Liability</w:t>
      </w:r>
    </w:p>
    <w:p>
      <w:pPr>
        <w:spacing w:after="0" w:line="216" w:lineRule="exact"/>
        <w:rPr>
          <w:sz w:val="20"/>
          <w:szCs w:val="20"/>
          <w:color w:val="auto"/>
        </w:rPr>
      </w:pPr>
    </w:p>
    <w:p>
      <w:pPr>
        <w:jc w:val="both"/>
        <w:ind w:left="700" w:right="120" w:hanging="355"/>
        <w:spacing w:after="0" w:line="238" w:lineRule="auto"/>
        <w:tabs>
          <w:tab w:leader="none" w:pos="7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liability of the Corporation to any Participant with respect to an Award shall be based solely upon contractual obligations created by the Plan and the Award Agreement.</w:t>
      </w:r>
    </w:p>
    <w:p>
      <w:pPr>
        <w:spacing w:after="0" w:line="188" w:lineRule="exact"/>
        <w:rPr>
          <w:sz w:val="20"/>
          <w:szCs w:val="20"/>
          <w:color w:val="auto"/>
        </w:rPr>
      </w:pPr>
    </w:p>
    <w:p>
      <w:pPr>
        <w:jc w:val="both"/>
        <w:ind w:left="700" w:right="120" w:hanging="355"/>
        <w:spacing w:after="0" w:line="235" w:lineRule="auto"/>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Neither the Corporation nor any member of the Board of Directors or of the Committee, nor any other person participating in any determination of any question under the Plan, or in the interpretation, administration or application of the Plan, shall have</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-107950</wp:posOffset>
            </wp:positionV>
            <wp:extent cx="34290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134" w:space="340"/>
            <w:col w:w="5600"/>
          </w:cols>
          <w:pgMar w:left="586" w:top="336" w:right="239" w:bottom="1440" w:gutter="0" w:footer="0" w:header="0"/>
        </w:sectPr>
      </w:pPr>
    </w:p>
    <w:bookmarkStart w:id="76" w:name="page77"/>
    <w:bookmarkEnd w:id="76"/>
    <w:p>
      <w:pPr>
        <w:ind w:left="700"/>
        <w:spacing w:after="0" w:line="243" w:lineRule="auto"/>
        <w:rPr>
          <w:sz w:val="20"/>
          <w:szCs w:val="20"/>
          <w:color w:val="auto"/>
        </w:rPr>
      </w:pPr>
      <w:r>
        <w:rPr>
          <w:rFonts w:ascii="Arial" w:cs="Arial" w:eastAsia="Arial" w:hAnsi="Arial"/>
          <w:sz w:val="17"/>
          <w:szCs w:val="17"/>
          <w:color w:val="auto"/>
        </w:rPr>
        <w:t>any liability to any party for any action taken or not taken, in good faith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Rights of Employees</w:t>
      </w:r>
    </w:p>
    <w:p>
      <w:pPr>
        <w:spacing w:after="0" w:line="257" w:lineRule="exact"/>
        <w:rPr>
          <w:sz w:val="20"/>
          <w:szCs w:val="20"/>
          <w:color w:val="auto"/>
        </w:rPr>
      </w:pPr>
    </w:p>
    <w:p>
      <w:pPr>
        <w:jc w:val="both"/>
        <w:ind w:left="700" w:hanging="354"/>
        <w:spacing w:after="0" w:line="238" w:lineRule="auto"/>
        <w:tabs>
          <w:tab w:leader="none" w:pos="7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Status as an eligible Employee shall not be construed as a commitment that any Award will be made under this Plan to such eligible Employee or to eligible Employees generally.</w:t>
      </w:r>
    </w:p>
    <w:p>
      <w:pPr>
        <w:spacing w:after="0" w:line="228" w:lineRule="exact"/>
        <w:rPr>
          <w:rFonts w:ascii="Arial" w:cs="Arial" w:eastAsia="Arial" w:hAnsi="Arial"/>
          <w:sz w:val="17"/>
          <w:szCs w:val="17"/>
          <w:color w:val="auto"/>
        </w:rPr>
      </w:pPr>
    </w:p>
    <w:p>
      <w:pPr>
        <w:jc w:val="both"/>
        <w:ind w:left="700" w:hanging="354"/>
        <w:spacing w:after="0" w:line="234" w:lineRule="auto"/>
        <w:tabs>
          <w:tab w:leader="none" w:pos="7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Nothing contained in this Plan (or in any other documents related to this Plan or to any Award) shall confer upon any Employee or Participant any right to continue in the employ or other service of the Corporation or constitute any contract or limit in any way the right of the Corporation to change such person’s compensation or other benefits or to terminate the employment of such person with or without cause.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Duration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Plan shall remain in effect until all Awards under the Plan have been exercised or terminated under the terms of the Plan and applicable Award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Awards under the Plan may only be granted until the tenth anniversary of the date the shareholders of the Corporation approve the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 Section 409A of the Code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 provisions of the Plan shall be interpreted in a manner consistent with Section 409A of the Code, and the regulations and other guidance promulgated thereunder. Notwithstanding the preceding, the Corporation makes no representations concerning the tax consequences of participation in the Plan under Section 409A of the Code or any other federal, state, or local tax law. Tax consequences will depend, in part, upon the application of relevant tax law, including Section 409A of the Code, to the relevant facts and circumstances. Participants should consult a competent and independent tax advisor regarding the tax consequences of the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 Restrictions on Transferability</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No Award granted under the Plan shall be transferable otherwise than by will or the laws of descent and distribution and, during the lifetime of the Participant, shall be exercisable (in the case of an Option) or, in the case of an Award other than an Option, held only by him or for his benefit by his attorney-in-fact or guardian;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Committee or its delegate may, in its discretion, at the time of grant of a Non-Qualified Stock Option or at the time of grant of another type of Award, or by amendment of an Award Agreement for an Incentive Stock Option or another type of Award, provide that Awards granted to or held by a Participant may be transferred, in whole or in part, to one or more transferees and exercised by any such transferee; </w:t>
      </w:r>
      <w:r>
        <w:rPr>
          <w:rFonts w:ascii="Arial" w:cs="Arial" w:eastAsia="Arial" w:hAnsi="Arial"/>
          <w:sz w:val="17"/>
          <w:szCs w:val="17"/>
          <w:u w:val="single" w:color="auto"/>
          <w:color w:val="auto"/>
        </w:rPr>
        <w:t>provided further that</w:t>
      </w:r>
    </w:p>
    <w:p>
      <w:pPr>
        <w:spacing w:after="0" w:line="1" w:lineRule="exact"/>
        <w:rPr>
          <w:sz w:val="20"/>
          <w:szCs w:val="20"/>
          <w:color w:val="auto"/>
        </w:rPr>
      </w:pPr>
    </w:p>
    <w:p>
      <w:pPr>
        <w:ind w:firstLine="8"/>
        <w:spacing w:after="0" w:line="243" w:lineRule="auto"/>
        <w:tabs>
          <w:tab w:leader="none" w:pos="26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any such transfer is without consideration and (b) each transferee is a Family Member with respect to the Participant; and </w:t>
      </w:r>
      <w:r>
        <w:rPr>
          <w:rFonts w:ascii="Arial" w:cs="Arial" w:eastAsia="Arial" w:hAnsi="Arial"/>
          <w:sz w:val="17"/>
          <w:szCs w:val="17"/>
          <w:u w:val="single" w:color="auto"/>
          <w:color w:val="auto"/>
        </w:rPr>
        <w:t>provided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D-8  </w:t>
      </w:r>
      <w:r>
        <w:rPr>
          <w:sz w:val="1"/>
          <w:szCs w:val="1"/>
          <w:color w:val="auto"/>
        </w:rPr>
        <w:drawing>
          <wp:inline distT="0" distB="0" distL="0" distR="0">
            <wp:extent cx="342900" cy="20574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u w:val="single" w:color="auto"/>
          <w:color w:val="auto"/>
        </w:rPr>
        <w:t>further that</w:t>
      </w:r>
      <w:r>
        <w:rPr>
          <w:rFonts w:ascii="Arial" w:cs="Arial" w:eastAsia="Arial" w:hAnsi="Arial"/>
          <w:sz w:val="17"/>
          <w:szCs w:val="17"/>
          <w:color w:val="auto"/>
        </w:rPr>
        <w:t xml:space="preserve"> any Incentive Stock Option granted pursuant to an Award Agreement which is amended to permit transfers during the lifetime of the optionee shall, upon the effectiveness of such amendment, be treated thereafter as a Non-Qualified Option. No transfer of an Award shall be effective unless the Corporation’s Office of the General Counsel is notified of the terms and conditions of the transfer and the Office of the General Counsel determines that the transfer complies with the requirements for transfers of Awards under the Plan and the Award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17. Clawback</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Notwithstanding anything to the contrary contained herein, an Award held by a Participant shall be cancelled if such Participant, without the consent of the Corporation, while employed by or providing services to the Corporation or any Affiliate of the Corporation or after termination of such employment or service, to the extent applicable to the Participant, violates any policy adopted by the Corporation or any Affiliate of the Corporation relating to the recovery of compensation granted, paid, delivered, awarded or otherwise provided to any Participant by the Corporation or any Affiliate of the Corporation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Participant will forfeit any gain realized on the vesting or exercise of an Award if the Participant engages in any activity referred to in the preceding sentence, or (ii) a Participant must repay the gain to the Corporation realized under a previously paid Section 162(m) Award or any other Award subject to performance requirements if a financial restatement reduces the amount that would have been earned under such Award.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18. Governing Law</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Plan shall be governed by the laws of the State of North Carolina.</w:t>
      </w:r>
    </w:p>
    <w:p>
      <w:pPr>
        <w:sectPr>
          <w:pgSz w:w="11900" w:h="16838" w:orient="portrait"/>
          <w:cols w:equalWidth="0" w:num="2">
            <w:col w:w="5480" w:space="340"/>
            <w:col w:w="5480"/>
          </w:cols>
          <w:pgMar w:left="240" w:top="336"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MARTIN MARIETTA</w:t>
      </w:r>
    </w:p>
    <w:p>
      <w:pPr>
        <w:jc w:val="center"/>
        <w:ind w:right="-19"/>
        <w:spacing w:after="0"/>
        <w:rPr>
          <w:sz w:val="20"/>
          <w:szCs w:val="20"/>
          <w:color w:val="auto"/>
        </w:rPr>
      </w:pPr>
      <w:r>
        <w:rPr>
          <w:rFonts w:ascii="Arial" w:cs="Arial" w:eastAsia="Arial" w:hAnsi="Arial"/>
          <w:sz w:val="21"/>
          <w:szCs w:val="21"/>
          <w:b w:val="1"/>
          <w:bCs w:val="1"/>
          <w:color w:val="47829E"/>
        </w:rPr>
        <w:t>EXECUTIVE CASH INCENTIVE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February 18, 2016</w:t>
      </w:r>
    </w:p>
    <w:p>
      <w:pPr>
        <w:sectPr>
          <w:pgSz w:w="11900" w:h="16838" w:orient="portrait"/>
          <w:cols w:equalWidth="0" w:num="1">
            <w:col w:w="11420"/>
          </w:cols>
          <w:pgMar w:left="240" w:top="256" w:right="239" w:bottom="1440" w:gutter="0" w:footer="0" w:header="0"/>
        </w:sectPr>
      </w:pPr>
    </w:p>
    <w:p>
      <w:pPr>
        <w:spacing w:after="0" w:line="289"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BACKGROUND AND PURPOSE</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Martin Marietta Executive Cash Incentive Plan (the “Plan”) was approved by the Board of Directors of Martin Marietta Materials, Inc. on February 18, 2016, subject to approval by its shareholders at the meeting held on May 19, 2016 in a manner that complies with Section 162(m). The Plan will be effective for cash bonuses earned on and after May 19, 2016.</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purpose of the Plan is to provide management employees of Martin Marietta Materials, Inc. and its Affiliates (as defined below) with an incentive to accomplish such business objectives as from time to time may be determined by the Committee (as defined below).</w:t>
      </w:r>
    </w:p>
    <w:p>
      <w:pPr>
        <w:spacing w:after="0" w:line="184"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29" w:lineRule="exact"/>
        <w:rPr>
          <w:rFonts w:ascii="Arial" w:cs="Arial" w:eastAsia="Arial" w:hAnsi="Arial"/>
          <w:sz w:val="17"/>
          <w:szCs w:val="17"/>
          <w:b w:val="1"/>
          <w:bCs w:val="1"/>
          <w:color w:val="auto"/>
        </w:rPr>
      </w:pPr>
    </w:p>
    <w:p>
      <w:pPr>
        <w:jc w:val="both"/>
        <w:ind w:firstLine="521"/>
        <w:spacing w:after="0" w:line="234" w:lineRule="auto"/>
        <w:tabs>
          <w:tab w:leader="none" w:pos="82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3" w:lineRule="exact"/>
        <w:rPr>
          <w:rFonts w:ascii="Arial" w:cs="Arial" w:eastAsia="Arial" w:hAnsi="Arial"/>
          <w:sz w:val="17"/>
          <w:szCs w:val="17"/>
          <w:color w:val="auto"/>
        </w:rPr>
      </w:pPr>
    </w:p>
    <w:p>
      <w:pPr>
        <w:jc w:val="both"/>
        <w:ind w:firstLine="521"/>
        <w:spacing w:after="0" w:line="234" w:lineRule="auto"/>
        <w:tabs>
          <w:tab w:leader="none" w:pos="783" w:val="left"/>
        </w:tabs>
        <w:numPr>
          <w:ilvl w:val="1"/>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a cash bonus award granted under the Plan. Except as otherwise provided by the Committee,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205" w:lineRule="exact"/>
        <w:rPr>
          <w:rFonts w:ascii="Arial" w:cs="Arial" w:eastAsia="Arial" w:hAnsi="Arial"/>
          <w:sz w:val="17"/>
          <w:szCs w:val="17"/>
          <w:color w:val="auto"/>
        </w:rPr>
      </w:pPr>
    </w:p>
    <w:p>
      <w:pPr>
        <w:ind w:left="760" w:hanging="239"/>
        <w:spacing w:after="0"/>
        <w:tabs>
          <w:tab w:leader="none" w:pos="7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09" w:lineRule="exact"/>
        <w:rPr>
          <w:rFonts w:ascii="Arial" w:cs="Arial" w:eastAsia="Arial" w:hAnsi="Arial"/>
          <w:sz w:val="17"/>
          <w:szCs w:val="17"/>
          <w:color w:val="auto"/>
        </w:rPr>
      </w:pPr>
    </w:p>
    <w:p>
      <w:pPr>
        <w:jc w:val="both"/>
        <w:ind w:firstLine="521"/>
        <w:spacing w:after="0" w:line="233" w:lineRule="auto"/>
        <w:tabs>
          <w:tab w:leader="none" w:pos="783" w:val="left"/>
        </w:tabs>
        <w:numPr>
          <w:ilvl w:val="1"/>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composed of members of, and designated by, the Board of Directors and, unless otherwise determined by the Board, consisting solely of persons who are “outside directors” within the meaning of Section 162(m), as Section 162(m) may be amended from time to time, which committee shall at all times comprise at least the minimum number of such persons necessary to comply with Section 162(m). If the Management Development and Compensation Committee of the Board of Directors satisfies the foregoing criteria, references in this Plan to the Committee shall be deemed to refer to such Committee of the Board of Directors. All references to the Committee shall be treated as references to the Committee’s delegate with respect to any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Award granted within the scope of the delegate’s authority pursuant to Paragraph 3(c).</w:t>
      </w:r>
    </w:p>
    <w:p>
      <w:pPr>
        <w:spacing w:after="0" w:line="158" w:lineRule="exact"/>
        <w:rPr>
          <w:sz w:val="20"/>
          <w:szCs w:val="20"/>
          <w:color w:val="auto"/>
        </w:rPr>
      </w:pPr>
    </w:p>
    <w:p>
      <w:pPr>
        <w:jc w:val="both"/>
        <w:ind w:right="120" w:firstLine="521"/>
        <w:spacing w:after="0" w:line="236" w:lineRule="auto"/>
        <w:tabs>
          <w:tab w:leader="none" w:pos="80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Martin Marietta Materials, Inc., a North Carolina corporation, including any successor thereto by merger, consolidation, acquisition of all or substantially all the assets thereof, or otherwise.</w:t>
      </w:r>
    </w:p>
    <w:p>
      <w:pPr>
        <w:spacing w:after="0" w:line="176" w:lineRule="exact"/>
        <w:rPr>
          <w:rFonts w:ascii="Arial" w:cs="Arial" w:eastAsia="Arial" w:hAnsi="Arial"/>
          <w:sz w:val="17"/>
          <w:szCs w:val="17"/>
          <w:color w:val="auto"/>
        </w:rPr>
      </w:pPr>
    </w:p>
    <w:p>
      <w:pPr>
        <w:jc w:val="both"/>
        <w:ind w:right="120" w:firstLine="521"/>
        <w:spacing w:after="0" w:line="238" w:lineRule="auto"/>
        <w:tabs>
          <w:tab w:leader="none" w:pos="74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a covered employee within the meaning of section 162(m) or the Treasury Regulations promulgated thereunder.</w:t>
      </w:r>
    </w:p>
    <w:p>
      <w:pPr>
        <w:spacing w:after="0" w:line="161" w:lineRule="exact"/>
        <w:rPr>
          <w:rFonts w:ascii="Arial" w:cs="Arial" w:eastAsia="Arial" w:hAnsi="Arial"/>
          <w:sz w:val="17"/>
          <w:szCs w:val="17"/>
          <w:color w:val="auto"/>
        </w:rPr>
      </w:pPr>
    </w:p>
    <w:p>
      <w:pPr>
        <w:ind w:left="780" w:hanging="259"/>
        <w:spacing w:after="0"/>
        <w:tabs>
          <w:tab w:leader="none" w:pos="7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on which an Award is granted.</w:t>
      </w:r>
    </w:p>
    <w:p>
      <w:pPr>
        <w:spacing w:after="0" w:line="169" w:lineRule="exact"/>
        <w:rPr>
          <w:rFonts w:ascii="Arial" w:cs="Arial" w:eastAsia="Arial" w:hAnsi="Arial"/>
          <w:sz w:val="17"/>
          <w:szCs w:val="17"/>
          <w:color w:val="auto"/>
        </w:rPr>
      </w:pPr>
    </w:p>
    <w:p>
      <w:pPr>
        <w:jc w:val="both"/>
        <w:ind w:right="120" w:firstLine="521"/>
        <w:spacing w:after="0" w:line="236" w:lineRule="auto"/>
        <w:tabs>
          <w:tab w:leader="none" w:pos="80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any physical or mental impairment that would qualify a Grantee for disability benefits under the standards of the long-term disability plan maintained by the Company or under the federal social security system.</w:t>
      </w:r>
    </w:p>
    <w:p>
      <w:pPr>
        <w:spacing w:after="0" w:line="197" w:lineRule="exact"/>
        <w:rPr>
          <w:rFonts w:ascii="Arial" w:cs="Arial" w:eastAsia="Arial" w:hAnsi="Arial"/>
          <w:sz w:val="17"/>
          <w:szCs w:val="17"/>
          <w:color w:val="auto"/>
        </w:rPr>
      </w:pPr>
    </w:p>
    <w:p>
      <w:pPr>
        <w:ind w:left="720" w:hanging="199"/>
        <w:spacing w:after="0"/>
        <w:tabs>
          <w:tab w:leader="none" w:pos="7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Employee</w:t>
      </w:r>
      <w:r>
        <w:rPr>
          <w:rFonts w:ascii="Arial" w:cs="Arial" w:eastAsia="Arial" w:hAnsi="Arial"/>
          <w:sz w:val="17"/>
          <w:szCs w:val="17"/>
          <w:color w:val="auto"/>
        </w:rPr>
        <w:t>” means an employee of the Company or an</w:t>
      </w:r>
    </w:p>
    <w:p>
      <w:pPr>
        <w:spacing w:after="0"/>
        <w:rPr>
          <w:rFonts w:ascii="Arial" w:cs="Arial" w:eastAsia="Arial" w:hAnsi="Arial"/>
          <w:sz w:val="17"/>
          <w:szCs w:val="17"/>
          <w:color w:val="auto"/>
        </w:rPr>
      </w:pPr>
      <w:r>
        <w:rPr>
          <w:rFonts w:ascii="Arial" w:cs="Arial" w:eastAsia="Arial" w:hAnsi="Arial"/>
          <w:sz w:val="17"/>
          <w:szCs w:val="17"/>
          <w:color w:val="auto"/>
        </w:rPr>
        <w:t>Affiliate.</w:t>
      </w:r>
    </w:p>
    <w:p>
      <w:pPr>
        <w:spacing w:after="0" w:line="203" w:lineRule="exact"/>
        <w:rPr>
          <w:rFonts w:ascii="Arial" w:cs="Arial" w:eastAsia="Arial" w:hAnsi="Arial"/>
          <w:sz w:val="17"/>
          <w:szCs w:val="17"/>
          <w:color w:val="auto"/>
        </w:rPr>
      </w:pPr>
    </w:p>
    <w:p>
      <w:pPr>
        <w:ind w:left="760" w:hanging="239"/>
        <w:spacing w:after="0"/>
        <w:tabs>
          <w:tab w:leader="none" w:pos="7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Grantee</w:t>
      </w:r>
      <w:r>
        <w:rPr>
          <w:rFonts w:ascii="Arial" w:cs="Arial" w:eastAsia="Arial" w:hAnsi="Arial"/>
          <w:sz w:val="17"/>
          <w:szCs w:val="17"/>
          <w:color w:val="auto"/>
        </w:rPr>
        <w:t>” means an Eligible Employee who is granted an</w:t>
      </w:r>
    </w:p>
    <w:p>
      <w:pPr>
        <w:spacing w:after="0"/>
        <w:rPr>
          <w:rFonts w:ascii="Arial" w:cs="Arial" w:eastAsia="Arial" w:hAnsi="Arial"/>
          <w:sz w:val="17"/>
          <w:szCs w:val="17"/>
          <w:color w:val="auto"/>
        </w:rPr>
      </w:pPr>
      <w:r>
        <w:rPr>
          <w:rFonts w:ascii="Arial" w:cs="Arial" w:eastAsia="Arial" w:hAnsi="Arial"/>
          <w:sz w:val="17"/>
          <w:szCs w:val="17"/>
          <w:color w:val="auto"/>
        </w:rPr>
        <w:t>Award.</w:t>
      </w:r>
    </w:p>
    <w:p>
      <w:pPr>
        <w:spacing w:after="0" w:line="209" w:lineRule="exact"/>
        <w:rPr>
          <w:rFonts w:ascii="Arial" w:cs="Arial" w:eastAsia="Arial" w:hAnsi="Arial"/>
          <w:sz w:val="17"/>
          <w:szCs w:val="17"/>
          <w:color w:val="auto"/>
        </w:rPr>
      </w:pPr>
    </w:p>
    <w:p>
      <w:pPr>
        <w:ind w:right="120" w:firstLine="521"/>
        <w:spacing w:after="0" w:line="243" w:lineRule="auto"/>
        <w:tabs>
          <w:tab w:leader="none" w:pos="75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an association, a trust, or any other entity or organization.</w:t>
      </w:r>
    </w:p>
    <w:p>
      <w:pPr>
        <w:spacing w:after="0" w:line="198" w:lineRule="exact"/>
        <w:rPr>
          <w:rFonts w:ascii="Arial" w:cs="Arial" w:eastAsia="Arial" w:hAnsi="Arial"/>
          <w:sz w:val="17"/>
          <w:szCs w:val="17"/>
          <w:color w:val="auto"/>
        </w:rPr>
      </w:pPr>
    </w:p>
    <w:p>
      <w:pPr>
        <w:ind w:right="120" w:firstLine="521"/>
        <w:spacing w:after="0" w:line="243" w:lineRule="auto"/>
        <w:tabs>
          <w:tab w:leader="none" w:pos="73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Martin Marietta Executive Cash Incentive Plan as set forth herein, and as amended from time to time.</w:t>
      </w:r>
    </w:p>
    <w:p>
      <w:pPr>
        <w:spacing w:after="0" w:line="198" w:lineRule="exact"/>
        <w:rPr>
          <w:rFonts w:ascii="Arial" w:cs="Arial" w:eastAsia="Arial" w:hAnsi="Arial"/>
          <w:sz w:val="17"/>
          <w:szCs w:val="17"/>
          <w:color w:val="auto"/>
        </w:rPr>
      </w:pPr>
    </w:p>
    <w:p>
      <w:pPr>
        <w:ind w:left="820" w:hanging="299"/>
        <w:spacing w:after="0"/>
        <w:tabs>
          <w:tab w:leader="none" w:pos="8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the calendar year.</w:t>
      </w:r>
    </w:p>
    <w:p>
      <w:pPr>
        <w:spacing w:after="0" w:line="209" w:lineRule="exact"/>
        <w:rPr>
          <w:rFonts w:ascii="Arial" w:cs="Arial" w:eastAsia="Arial" w:hAnsi="Arial"/>
          <w:sz w:val="17"/>
          <w:szCs w:val="17"/>
          <w:color w:val="auto"/>
        </w:rPr>
      </w:pPr>
    </w:p>
    <w:p>
      <w:pPr>
        <w:jc w:val="both"/>
        <w:ind w:right="120" w:firstLine="521"/>
        <w:spacing w:after="0" w:line="234" w:lineRule="auto"/>
        <w:tabs>
          <w:tab w:leader="none" w:pos="83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Qualitative Performance Standards</w:t>
      </w:r>
      <w:r>
        <w:rPr>
          <w:rFonts w:ascii="Arial" w:cs="Arial" w:eastAsia="Arial" w:hAnsi="Arial"/>
          <w:sz w:val="17"/>
          <w:szCs w:val="17"/>
          <w:color w:val="auto"/>
        </w:rPr>
        <w:t>” means performance standards other than Quantitative Performance Standards, including but not limited to regulatory compliance, customer service, management effectiveness, safety, ethics and other qualitative performance standards relevant to the Company’s business, as may be established by the Committee, and the achievement of which shall be determined in the discretion of the Committee.</w:t>
      </w:r>
    </w:p>
    <w:p>
      <w:pPr>
        <w:spacing w:after="0" w:line="205" w:lineRule="exact"/>
        <w:rPr>
          <w:rFonts w:ascii="Arial" w:cs="Arial" w:eastAsia="Arial" w:hAnsi="Arial"/>
          <w:sz w:val="17"/>
          <w:szCs w:val="17"/>
          <w:color w:val="auto"/>
        </w:rPr>
      </w:pPr>
    </w:p>
    <w:p>
      <w:pPr>
        <w:jc w:val="both"/>
        <w:ind w:right="120" w:firstLine="521"/>
        <w:spacing w:after="0" w:line="234" w:lineRule="auto"/>
        <w:tabs>
          <w:tab w:leader="none" w:pos="80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Quantitative Performance Standards</w:t>
      </w:r>
      <w:r>
        <w:rPr>
          <w:rFonts w:ascii="Arial" w:cs="Arial" w:eastAsia="Arial" w:hAnsi="Arial"/>
          <w:sz w:val="17"/>
          <w:szCs w:val="17"/>
          <w:color w:val="auto"/>
        </w:rPr>
        <w:t>” means performance standards that relate to one or more of the following criteria: stock price (including return on shareholder’s equity or total shareholder return),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w:t>
      </w:r>
    </w:p>
    <w:p>
      <w:pPr>
        <w:spacing w:after="0" w:line="200"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65" w:lineRule="exact"/>
        <w:rPr>
          <w:sz w:val="20"/>
          <w:szCs w:val="20"/>
          <w:color w:val="auto"/>
        </w:rPr>
      </w:pPr>
    </w:p>
    <w:p>
      <w:pPr>
        <w:ind w:left="936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78" w:name="page79"/>
    <w:bookmarkEnd w:id="78"/>
    <w:p>
      <w:pPr>
        <w:jc w:val="both"/>
        <w:spacing w:after="0" w:line="239" w:lineRule="auto"/>
        <w:rPr>
          <w:sz w:val="20"/>
          <w:szCs w:val="20"/>
          <w:color w:val="auto"/>
        </w:rPr>
      </w:pPr>
      <w:r>
        <w:rPr>
          <w:rFonts w:ascii="Arial" w:cs="Arial" w:eastAsia="Arial" w:hAnsi="Arial"/>
          <w:sz w:val="17"/>
          <w:szCs w:val="17"/>
          <w:color w:val="auto"/>
        </w:rPr>
        <w:t>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As determined by the Committee, the Quantitative Performance Standards applicable to an Award may provide for a targeted level or levels of achievement on a whole Company basis or with respect to one or more businesses, business units, segments or Subsidiaries, or on the basis of individual performance. The Quantitative Performance Standards may differ from Grantee to Grantee and from Award to Award.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of the Company,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 operations; (ix) an event either not directly related to the operations of the Company or not within the reasonable control of the Company’s management; (x) a change in the fiscal year of the Company; (xi) costs associated with refinancing or repurchase of bank loans or debt securities; (xii) unbudgeted capital expenditures; and (xiii) business interruption events.</w:t>
      </w:r>
    </w:p>
    <w:p>
      <w:pPr>
        <w:spacing w:after="0" w:line="169" w:lineRule="exact"/>
        <w:rPr>
          <w:sz w:val="20"/>
          <w:szCs w:val="20"/>
          <w:color w:val="auto"/>
        </w:rPr>
      </w:pPr>
    </w:p>
    <w:p>
      <w:pPr>
        <w:jc w:val="both"/>
        <w:ind w:firstLine="521"/>
        <w:spacing w:after="0" w:line="235" w:lineRule="auto"/>
        <w:tabs>
          <w:tab w:leader="none" w:pos="77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means termination of a Grantee’s employment at a time when the Grantee is eligible to commence receiving retirement benefits under the Martin Marietta Materials, Inc. Pension Plan, or any successor plan, without actuarial reduction. The Committee, in its sole discretion, may classify a Grantee’s termination of employment as a “Retirement” under other circumstances.</w:t>
      </w:r>
    </w:p>
    <w:p>
      <w:pPr>
        <w:spacing w:after="0" w:line="175" w:lineRule="exact"/>
        <w:rPr>
          <w:rFonts w:ascii="Arial" w:cs="Arial" w:eastAsia="Arial" w:hAnsi="Arial"/>
          <w:sz w:val="17"/>
          <w:szCs w:val="17"/>
          <w:color w:val="auto"/>
        </w:rPr>
      </w:pPr>
    </w:p>
    <w:p>
      <w:pPr>
        <w:jc w:val="both"/>
        <w:ind w:firstLine="521"/>
        <w:spacing w:after="0" w:line="238" w:lineRule="auto"/>
        <w:tabs>
          <w:tab w:leader="none" w:pos="77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16(b) Officer</w:t>
      </w:r>
      <w:r>
        <w:rPr>
          <w:rFonts w:ascii="Arial" w:cs="Arial" w:eastAsia="Arial" w:hAnsi="Arial"/>
          <w:sz w:val="17"/>
          <w:szCs w:val="17"/>
          <w:color w:val="auto"/>
        </w:rPr>
        <w:t>” means an officer of the Company who is subject to the short-swing profit recapture rules of section 16(b) of the 1934 Act.</w:t>
      </w:r>
    </w:p>
    <w:p>
      <w:pPr>
        <w:spacing w:after="0" w:line="161" w:lineRule="exact"/>
        <w:rPr>
          <w:rFonts w:ascii="Arial" w:cs="Arial" w:eastAsia="Arial" w:hAnsi="Arial"/>
          <w:sz w:val="17"/>
          <w:szCs w:val="17"/>
          <w:color w:val="auto"/>
        </w:rPr>
      </w:pPr>
    </w:p>
    <w:p>
      <w:pPr>
        <w:jc w:val="both"/>
        <w:ind w:firstLine="521"/>
        <w:spacing w:after="0" w:line="236" w:lineRule="auto"/>
        <w:tabs>
          <w:tab w:leader="none" w:pos="79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162(m)</w:t>
      </w:r>
      <w:r>
        <w:rPr>
          <w:rFonts w:ascii="Arial" w:cs="Arial" w:eastAsia="Arial" w:hAnsi="Arial"/>
          <w:sz w:val="17"/>
          <w:szCs w:val="17"/>
          <w:color w:val="auto"/>
        </w:rPr>
        <w:t>” means Section 162(m) of the Internal Revenue Code of 1986, as amended, or any successor statute and the Treasury Regulations promulgated thereunder, as they may be amended from time to time.</w:t>
      </w:r>
    </w:p>
    <w:p>
      <w:pPr>
        <w:spacing w:after="0" w:line="162" w:lineRule="exact"/>
        <w:rPr>
          <w:rFonts w:ascii="Arial" w:cs="Arial" w:eastAsia="Arial" w:hAnsi="Arial"/>
          <w:sz w:val="17"/>
          <w:szCs w:val="17"/>
          <w:color w:val="auto"/>
        </w:rPr>
      </w:pPr>
    </w:p>
    <w:p>
      <w:pPr>
        <w:jc w:val="both"/>
        <w:ind w:firstLine="521"/>
        <w:spacing w:after="0" w:line="236" w:lineRule="auto"/>
        <w:tabs>
          <w:tab w:leader="none" w:pos="81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162(m) Award</w:t>
      </w:r>
      <w:r>
        <w:rPr>
          <w:rFonts w:ascii="Arial" w:cs="Arial" w:eastAsia="Arial" w:hAnsi="Arial"/>
          <w:sz w:val="17"/>
          <w:szCs w:val="17"/>
          <w:color w:val="auto"/>
        </w:rPr>
        <w:t>” means an Award granted to an individual who, at the Date of Grant, is, or is likely to be, as of the end of the tax year in which the Company would claim a tax deduction in connection with such Award, a</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E-2  </w:t>
      </w:r>
      <w:r>
        <w:rPr>
          <w:sz w:val="1"/>
          <w:szCs w:val="1"/>
          <w:color w:val="auto"/>
        </w:rPr>
        <w:drawing>
          <wp:inline distT="0" distB="0" distL="0" distR="0">
            <wp:extent cx="342900" cy="20574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Arial" w:cs="Arial" w:eastAsia="Arial" w:hAnsi="Arial"/>
          <w:sz w:val="17"/>
          <w:szCs w:val="17"/>
          <w:color w:val="auto"/>
        </w:rPr>
        <w:t>Covered Employee and is designated by the Committee as a Section 162(m) Award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-375285</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8" w:lineRule="exact"/>
        <w:rPr>
          <w:sz w:val="20"/>
          <w:szCs w:val="20"/>
          <w:color w:val="auto"/>
        </w:rPr>
      </w:pPr>
    </w:p>
    <w:p>
      <w:pPr>
        <w:jc w:val="both"/>
        <w:ind w:firstLine="521"/>
        <w:spacing w:after="0" w:line="235" w:lineRule="auto"/>
        <w:tabs>
          <w:tab w:leader="none" w:pos="72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202" w:lineRule="exact"/>
        <w:rPr>
          <w:rFonts w:ascii="Arial" w:cs="Arial" w:eastAsia="Arial" w:hAnsi="Arial"/>
          <w:sz w:val="17"/>
          <w:szCs w:val="17"/>
          <w:color w:val="auto"/>
        </w:rPr>
      </w:pPr>
    </w:p>
    <w:p>
      <w:pPr>
        <w:jc w:val="both"/>
        <w:ind w:firstLine="521"/>
        <w:spacing w:after="0" w:line="238" w:lineRule="auto"/>
        <w:tabs>
          <w:tab w:leader="none" w:pos="77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together with such Person’s Affiliates, provided that the term “Third Party” shall not include the Company or an Affiliate of the Company.</w:t>
      </w:r>
    </w:p>
    <w:p>
      <w:pPr>
        <w:spacing w:after="0" w:line="289" w:lineRule="exact"/>
        <w:rPr>
          <w:rFonts w:ascii="Arial" w:cs="Arial" w:eastAsia="Arial" w:hAnsi="Arial"/>
          <w:sz w:val="17"/>
          <w:szCs w:val="17"/>
          <w:color w:val="auto"/>
        </w:rPr>
      </w:pPr>
    </w:p>
    <w:p>
      <w:pPr>
        <w:ind w:left="340" w:hanging="332"/>
        <w:spacing w:after="0"/>
        <w:tabs>
          <w:tab w:leader="none" w:pos="34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 OF THE PLAN</w:t>
      </w:r>
    </w:p>
    <w:p>
      <w:pPr>
        <w:spacing w:after="0" w:line="121" w:lineRule="exact"/>
        <w:rPr>
          <w:rFonts w:ascii="Arial" w:cs="Arial" w:eastAsia="Arial" w:hAnsi="Arial"/>
          <w:sz w:val="17"/>
          <w:szCs w:val="17"/>
          <w:b w:val="1"/>
          <w:bCs w:val="1"/>
          <w:color w:val="auto"/>
        </w:rPr>
      </w:pPr>
    </w:p>
    <w:p>
      <w:pPr>
        <w:jc w:val="both"/>
        <w:ind w:firstLine="521"/>
        <w:spacing w:after="0" w:line="234" w:lineRule="auto"/>
        <w:tabs>
          <w:tab w:leader="none" w:pos="851"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205" w:lineRule="exact"/>
        <w:rPr>
          <w:rFonts w:ascii="Arial" w:cs="Arial" w:eastAsia="Arial" w:hAnsi="Arial"/>
          <w:sz w:val="17"/>
          <w:szCs w:val="17"/>
          <w:color w:val="auto"/>
        </w:rPr>
      </w:pPr>
    </w:p>
    <w:p>
      <w:pPr>
        <w:jc w:val="both"/>
        <w:ind w:firstLine="692"/>
        <w:spacing w:after="0" w:line="238" w:lineRule="auto"/>
        <w:tabs>
          <w:tab w:leader="none" w:pos="885" w:val="left"/>
        </w:tabs>
        <w:numPr>
          <w:ilvl w:val="2"/>
          <w:numId w:val="140"/>
        </w:numPr>
        <w:rPr>
          <w:rFonts w:ascii="Arial" w:cs="Arial" w:eastAsia="Arial" w:hAnsi="Arial"/>
          <w:sz w:val="17"/>
          <w:szCs w:val="17"/>
          <w:color w:val="auto"/>
        </w:rPr>
      </w:pPr>
      <w:r>
        <w:rPr>
          <w:rFonts w:ascii="Arial" w:cs="Arial" w:eastAsia="Arial" w:hAnsi="Arial"/>
          <w:sz w:val="17"/>
          <w:szCs w:val="17"/>
          <w:color w:val="auto"/>
        </w:rPr>
        <w:t>provide rules and regulations for the management, operation and administration of the Plan, and, from time to time, to amend or supplement such rules and regulations;</w:t>
      </w:r>
    </w:p>
    <w:p>
      <w:pPr>
        <w:spacing w:after="0" w:line="201" w:lineRule="exact"/>
        <w:rPr>
          <w:rFonts w:ascii="Arial" w:cs="Arial" w:eastAsia="Arial" w:hAnsi="Arial"/>
          <w:sz w:val="17"/>
          <w:szCs w:val="17"/>
          <w:color w:val="auto"/>
        </w:rPr>
      </w:pPr>
    </w:p>
    <w:p>
      <w:pPr>
        <w:ind w:firstLine="692"/>
        <w:spacing w:after="0" w:line="243" w:lineRule="auto"/>
        <w:tabs>
          <w:tab w:leader="none" w:pos="94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construe the Plan, which construction, as long as made in good faith, shall be final and conclusive upon all parties hereto;</w:t>
      </w:r>
    </w:p>
    <w:p>
      <w:pPr>
        <w:spacing w:after="0" w:line="198" w:lineRule="exact"/>
        <w:rPr>
          <w:rFonts w:ascii="Arial" w:cs="Arial" w:eastAsia="Arial" w:hAnsi="Arial"/>
          <w:sz w:val="17"/>
          <w:szCs w:val="17"/>
          <w:color w:val="auto"/>
        </w:rPr>
      </w:pPr>
    </w:p>
    <w:p>
      <w:pPr>
        <w:jc w:val="both"/>
        <w:ind w:firstLine="692"/>
        <w:spacing w:after="0" w:line="236" w:lineRule="auto"/>
        <w:tabs>
          <w:tab w:leader="none" w:pos="983" w:val="left"/>
        </w:tabs>
        <w:numPr>
          <w:ilvl w:val="2"/>
          <w:numId w:val="140"/>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203" w:lineRule="exact"/>
        <w:rPr>
          <w:rFonts w:ascii="Arial" w:cs="Arial" w:eastAsia="Arial" w:hAnsi="Arial"/>
          <w:sz w:val="17"/>
          <w:szCs w:val="17"/>
          <w:color w:val="auto"/>
        </w:rPr>
      </w:pPr>
    </w:p>
    <w:p>
      <w:pPr>
        <w:ind w:firstLine="692"/>
        <w:spacing w:after="0" w:line="243" w:lineRule="auto"/>
        <w:tabs>
          <w:tab w:leader="none" w:pos="1011" w:val="left"/>
        </w:tabs>
        <w:numPr>
          <w:ilvl w:val="2"/>
          <w:numId w:val="140"/>
        </w:numPr>
        <w:rPr>
          <w:rFonts w:ascii="Arial" w:cs="Arial" w:eastAsia="Arial" w:hAnsi="Arial"/>
          <w:sz w:val="17"/>
          <w:szCs w:val="17"/>
          <w:color w:val="auto"/>
        </w:rPr>
      </w:pPr>
      <w:r>
        <w:rPr>
          <w:rFonts w:ascii="Arial" w:cs="Arial" w:eastAsia="Arial" w:hAnsi="Arial"/>
          <w:sz w:val="17"/>
          <w:szCs w:val="17"/>
          <w:color w:val="auto"/>
        </w:rPr>
        <w:t>determine whether the conditions to the payment of an Award have been satisfied.</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resolution of any questions with respect to payments and entitlements pursuant to the provisions of the Plan shall be determined by the Committee, and all such determinations shall be final and conclusive.</w:t>
      </w:r>
    </w:p>
    <w:p>
      <w:pPr>
        <w:spacing w:after="0" w:line="204" w:lineRule="exact"/>
        <w:rPr>
          <w:sz w:val="20"/>
          <w:szCs w:val="20"/>
          <w:color w:val="auto"/>
        </w:rPr>
      </w:pPr>
    </w:p>
    <w:p>
      <w:pPr>
        <w:jc w:val="both"/>
        <w:ind w:firstLine="521"/>
        <w:spacing w:after="0" w:line="235" w:lineRule="auto"/>
        <w:tabs>
          <w:tab w:leader="none" w:pos="77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Subject to the express terms and conditions set forth in the Plan, the Committee shall have the power, from time to time, to select those Eligible Employees to whom Awards shall be granted under the Plan, to determine the amount of cash that may become payable pursuant to each Award, and, pursuant to the provisions of the Plan, to determine the terms and conditions of each Award.</w:t>
      </w:r>
    </w:p>
    <w:p>
      <w:pPr>
        <w:spacing w:after="0" w:line="202" w:lineRule="exact"/>
        <w:rPr>
          <w:rFonts w:ascii="Arial" w:cs="Arial" w:eastAsia="Arial" w:hAnsi="Arial"/>
          <w:sz w:val="17"/>
          <w:szCs w:val="17"/>
          <w:color w:val="auto"/>
        </w:rPr>
      </w:pPr>
    </w:p>
    <w:p>
      <w:pPr>
        <w:ind w:firstLine="521"/>
        <w:spacing w:after="0" w:line="243" w:lineRule="auto"/>
        <w:tabs>
          <w:tab w:leader="none" w:pos="81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The Committee may delegate its authority with respect to the grant, amendment,</w:t>
      </w:r>
    </w:p>
    <w:p>
      <w:pPr>
        <w:sectPr>
          <w:pgSz w:w="11900" w:h="16838" w:orient="portrait"/>
          <w:cols w:equalWidth="0" w:num="2">
            <w:col w:w="5480" w:space="340"/>
            <w:col w:w="5480"/>
          </w:cols>
          <w:pgMar w:left="240" w:top="336" w:right="359" w:bottom="1440" w:gutter="0" w:footer="0" w:header="0"/>
        </w:sectPr>
      </w:pPr>
    </w:p>
    <w:bookmarkStart w:id="79" w:name="page80"/>
    <w:bookmarkEnd w:id="79"/>
    <w:p>
      <w:pPr>
        <w:jc w:val="both"/>
        <w:spacing w:after="0" w:line="234" w:lineRule="auto"/>
        <w:rPr>
          <w:sz w:val="20"/>
          <w:szCs w:val="20"/>
          <w:color w:val="auto"/>
        </w:rPr>
      </w:pPr>
      <w:r>
        <w:rPr>
          <w:rFonts w:ascii="Arial" w:cs="Arial" w:eastAsia="Arial" w:hAnsi="Arial"/>
          <w:sz w:val="17"/>
          <w:szCs w:val="17"/>
          <w:color w:val="auto"/>
        </w:rPr>
        <w:t>interpretation and administration of grants to a person, persons or committee, in its sole and absolute discretion; provided that, with respect to a Section 162(m) Award, the Committee may only delegate its authority to another committee of the Board that satisfies the criteria set forth in Paragraph 2(d). Actions taken by the Committee’s duly-authorized delegate shall have the same force and effect as actions taken by the Committee. Any delegation of authority pursuant to this Paragraph 3(c) shall continue in effect until the earliest of:</w:t>
      </w:r>
    </w:p>
    <w:p>
      <w:pPr>
        <w:spacing w:after="0" w:line="204" w:lineRule="exact"/>
        <w:rPr>
          <w:sz w:val="20"/>
          <w:szCs w:val="20"/>
          <w:color w:val="auto"/>
        </w:rPr>
      </w:pPr>
    </w:p>
    <w:p>
      <w:pPr>
        <w:ind w:firstLine="692"/>
        <w:spacing w:after="0" w:line="243" w:lineRule="auto"/>
        <w:tabs>
          <w:tab w:leader="none" w:pos="906" w:val="left"/>
        </w:tabs>
        <w:numPr>
          <w:ilvl w:val="2"/>
          <w:numId w:val="142"/>
        </w:numPr>
        <w:rPr>
          <w:rFonts w:ascii="Arial" w:cs="Arial" w:eastAsia="Arial" w:hAnsi="Arial"/>
          <w:sz w:val="17"/>
          <w:szCs w:val="17"/>
          <w:color w:val="auto"/>
        </w:rPr>
      </w:pPr>
      <w:r>
        <w:rPr>
          <w:rFonts w:ascii="Arial" w:cs="Arial" w:eastAsia="Arial" w:hAnsi="Arial"/>
          <w:sz w:val="17"/>
          <w:szCs w:val="17"/>
          <w:color w:val="auto"/>
        </w:rPr>
        <w:t>such time as the Committee shall, in its sole and absolute discretion, revoke such delegation of authority;</w:t>
      </w:r>
    </w:p>
    <w:p>
      <w:pPr>
        <w:spacing w:after="0" w:line="198" w:lineRule="exact"/>
        <w:rPr>
          <w:rFonts w:ascii="Arial" w:cs="Arial" w:eastAsia="Arial" w:hAnsi="Arial"/>
          <w:sz w:val="17"/>
          <w:szCs w:val="17"/>
          <w:color w:val="auto"/>
        </w:rPr>
      </w:pPr>
    </w:p>
    <w:p>
      <w:pPr>
        <w:jc w:val="both"/>
        <w:ind w:firstLine="692"/>
        <w:spacing w:after="0" w:line="236" w:lineRule="auto"/>
        <w:tabs>
          <w:tab w:leader="none" w:pos="933" w:val="left"/>
        </w:tabs>
        <w:numPr>
          <w:ilvl w:val="2"/>
          <w:numId w:val="142"/>
        </w:numPr>
        <w:rPr>
          <w:rFonts w:ascii="Arial" w:cs="Arial" w:eastAsia="Arial" w:hAnsi="Arial"/>
          <w:sz w:val="17"/>
          <w:szCs w:val="17"/>
          <w:color w:val="auto"/>
        </w:rPr>
      </w:pPr>
      <w:r>
        <w:rPr>
          <w:rFonts w:ascii="Arial" w:cs="Arial" w:eastAsia="Arial" w:hAnsi="Arial"/>
          <w:sz w:val="17"/>
          <w:szCs w:val="17"/>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203" w:lineRule="exact"/>
        <w:rPr>
          <w:rFonts w:ascii="Arial" w:cs="Arial" w:eastAsia="Arial" w:hAnsi="Arial"/>
          <w:sz w:val="17"/>
          <w:szCs w:val="17"/>
          <w:color w:val="auto"/>
        </w:rPr>
      </w:pPr>
    </w:p>
    <w:p>
      <w:pPr>
        <w:ind w:firstLine="692"/>
        <w:spacing w:after="0" w:line="243" w:lineRule="auto"/>
        <w:tabs>
          <w:tab w:leader="none" w:pos="1005" w:val="left"/>
        </w:tabs>
        <w:numPr>
          <w:ilvl w:val="2"/>
          <w:numId w:val="142"/>
        </w:numPr>
        <w:rPr>
          <w:rFonts w:ascii="Arial" w:cs="Arial" w:eastAsia="Arial" w:hAnsi="Arial"/>
          <w:sz w:val="17"/>
          <w:szCs w:val="17"/>
          <w:color w:val="auto"/>
        </w:rPr>
      </w:pPr>
      <w:r>
        <w:rPr>
          <w:rFonts w:ascii="Arial" w:cs="Arial" w:eastAsia="Arial" w:hAnsi="Arial"/>
          <w:sz w:val="17"/>
          <w:szCs w:val="17"/>
          <w:color w:val="auto"/>
        </w:rPr>
        <w:t>the delegate shall notify the Committee that he or she declines to continue to exercise such authority.</w:t>
      </w:r>
    </w:p>
    <w:p>
      <w:pPr>
        <w:spacing w:after="0" w:line="198" w:lineRule="exact"/>
        <w:rPr>
          <w:rFonts w:ascii="Arial" w:cs="Arial" w:eastAsia="Arial" w:hAnsi="Arial"/>
          <w:sz w:val="17"/>
          <w:szCs w:val="17"/>
          <w:color w:val="auto"/>
        </w:rPr>
      </w:pPr>
    </w:p>
    <w:p>
      <w:pPr>
        <w:jc w:val="both"/>
        <w:ind w:firstLine="521"/>
        <w:spacing w:after="0" w:line="234" w:lineRule="auto"/>
        <w:tabs>
          <w:tab w:leader="none" w:pos="837"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Grantee Information</w:t>
      </w:r>
      <w:r>
        <w:rPr>
          <w:rFonts w:ascii="Arial" w:cs="Arial" w:eastAsia="Arial" w:hAnsi="Arial"/>
          <w:sz w:val="17"/>
          <w:szCs w:val="17"/>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5" w:lineRule="exact"/>
        <w:rPr>
          <w:rFonts w:ascii="Arial" w:cs="Arial" w:eastAsia="Arial" w:hAnsi="Arial"/>
          <w:sz w:val="17"/>
          <w:szCs w:val="17"/>
          <w:color w:val="auto"/>
        </w:rPr>
      </w:pPr>
    </w:p>
    <w:p>
      <w:pPr>
        <w:ind w:left="340" w:hanging="332"/>
        <w:spacing w:after="0"/>
        <w:tabs>
          <w:tab w:leader="none" w:pos="34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Awards may be granted only to Eligible Employees of the Company and its Affiliates, as determined by the Committee. No Awards shall be granted to an individual who is not an Eligible Employee of the Company or an Affiliate.</w:t>
      </w:r>
    </w:p>
    <w:p>
      <w:pPr>
        <w:spacing w:after="0" w:line="184"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AWARDS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Committee may grant Awards in accordance with the Plan. The terms and conditions of Awards shall be as determined from time to time by the Committee, consistent, however, with the following:</w:t>
      </w:r>
    </w:p>
    <w:p>
      <w:pPr>
        <w:spacing w:after="0" w:line="202" w:lineRule="exact"/>
        <w:rPr>
          <w:sz w:val="20"/>
          <w:szCs w:val="20"/>
          <w:color w:val="auto"/>
        </w:rPr>
      </w:pPr>
    </w:p>
    <w:p>
      <w:pPr>
        <w:jc w:val="both"/>
        <w:ind w:firstLine="521"/>
        <w:spacing w:after="0" w:line="238" w:lineRule="auto"/>
        <w:tabs>
          <w:tab w:leader="none" w:pos="783"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Time of Grant</w:t>
      </w:r>
      <w:r>
        <w:rPr>
          <w:rFonts w:ascii="Arial" w:cs="Arial" w:eastAsia="Arial" w:hAnsi="Arial"/>
          <w:sz w:val="17"/>
          <w:szCs w:val="17"/>
          <w:color w:val="auto"/>
        </w:rPr>
        <w:t>. Awards may be granted at any time from the date of adoption of the Plan by the Board until the Plan is terminated by the Board or the Committee.</w:t>
      </w:r>
    </w:p>
    <w:p>
      <w:pPr>
        <w:spacing w:after="0" w:line="201" w:lineRule="exact"/>
        <w:rPr>
          <w:rFonts w:ascii="Arial" w:cs="Arial" w:eastAsia="Arial" w:hAnsi="Arial"/>
          <w:sz w:val="17"/>
          <w:szCs w:val="17"/>
          <w:color w:val="auto"/>
        </w:rPr>
      </w:pPr>
    </w:p>
    <w:p>
      <w:pPr>
        <w:ind w:firstLine="521"/>
        <w:spacing w:after="0" w:line="243" w:lineRule="auto"/>
        <w:tabs>
          <w:tab w:leader="none" w:pos="77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Non-uniformity of Awards</w:t>
      </w:r>
      <w:r>
        <w:rPr>
          <w:rFonts w:ascii="Arial" w:cs="Arial" w:eastAsia="Arial" w:hAnsi="Arial"/>
          <w:sz w:val="17"/>
          <w:szCs w:val="17"/>
          <w:color w:val="auto"/>
        </w:rPr>
        <w:t>. The provisions of Awards need not be the same with respect to each Grantee.</w:t>
      </w:r>
    </w:p>
    <w:p>
      <w:pPr>
        <w:spacing w:after="0" w:line="191" w:lineRule="exact"/>
        <w:rPr>
          <w:rFonts w:ascii="Arial" w:cs="Arial" w:eastAsia="Arial" w:hAnsi="Arial"/>
          <w:sz w:val="17"/>
          <w:szCs w:val="17"/>
          <w:color w:val="auto"/>
        </w:rPr>
      </w:pPr>
    </w:p>
    <w:p>
      <w:pPr>
        <w:ind w:left="840" w:hanging="319"/>
        <w:spacing w:after="0"/>
        <w:tabs>
          <w:tab w:leader="none" w:pos="84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Establishment of Targets and Conditions to Payment of</w:t>
      </w:r>
    </w:p>
    <w:p>
      <w:pPr>
        <w:spacing w:after="0"/>
        <w:rPr>
          <w:rFonts w:ascii="Arial" w:cs="Arial" w:eastAsia="Arial" w:hAnsi="Arial"/>
          <w:sz w:val="17"/>
          <w:szCs w:val="17"/>
          <w:color w:val="auto"/>
        </w:rPr>
      </w:pPr>
      <w:r>
        <w:rPr>
          <w:rFonts w:ascii="Arial" w:cs="Arial" w:eastAsia="Arial" w:hAnsi="Arial"/>
          <w:sz w:val="17"/>
          <w:szCs w:val="17"/>
          <w:u w:val="single" w:color="auto"/>
          <w:color w:val="auto"/>
        </w:rPr>
        <w:t>Awards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firstLine="692"/>
        <w:spacing w:after="0" w:line="238" w:lineRule="auto"/>
        <w:tabs>
          <w:tab w:leader="none" w:pos="92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Except as otherwise provided by the Committee, Awards shall be expressed as a percentage of a Grantee’s base earnings as of the applicable Date of Grant.</w:t>
      </w:r>
    </w:p>
    <w:p>
      <w:pPr>
        <w:spacing w:after="0" w:line="20" w:lineRule="exact"/>
        <w:rPr>
          <w:sz w:val="20"/>
          <w:szCs w:val="20"/>
          <w:color w:val="auto"/>
        </w:rPr>
      </w:pPr>
      <w:r>
        <w:rPr>
          <w:sz w:val="20"/>
          <w:szCs w:val="20"/>
          <w:color w:val="auto"/>
        </w:rPr>
        <w:br w:type="column"/>
      </w:r>
    </w:p>
    <w:p>
      <w:pPr>
        <w:ind w:right="60" w:firstLine="692"/>
        <w:spacing w:after="0" w:line="243" w:lineRule="auto"/>
        <w:tabs>
          <w:tab w:leader="none" w:pos="98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Committee shall establish such conditions on the payment of an Award as it may, in its sole discretion, deem appropriate.</w:t>
      </w:r>
    </w:p>
    <w:p>
      <w:pPr>
        <w:spacing w:after="0" w:line="198" w:lineRule="exact"/>
        <w:rPr>
          <w:rFonts w:ascii="Arial" w:cs="Arial" w:eastAsia="Arial" w:hAnsi="Arial"/>
          <w:sz w:val="17"/>
          <w:szCs w:val="17"/>
          <w:color w:val="auto"/>
        </w:rPr>
      </w:pPr>
    </w:p>
    <w:p>
      <w:pPr>
        <w:jc w:val="both"/>
        <w:ind w:right="60" w:firstLine="692"/>
        <w:spacing w:after="0" w:line="235" w:lineRule="auto"/>
        <w:tabs>
          <w:tab w:leader="none" w:pos="100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Award may provide for the payment of Awards in installments or in a lump sum, in each case, upon the satisfaction of Qualitative Performance Standards or Quantitative Performance Standards, on an individual, divisional or Company-wide basis, as determined by the Committee.</w:t>
      </w:r>
    </w:p>
    <w:p>
      <w:pPr>
        <w:spacing w:after="0" w:line="204" w:lineRule="exact"/>
        <w:rPr>
          <w:rFonts w:ascii="Arial" w:cs="Arial" w:eastAsia="Arial" w:hAnsi="Arial"/>
          <w:sz w:val="17"/>
          <w:szCs w:val="17"/>
          <w:color w:val="auto"/>
        </w:rPr>
      </w:pPr>
    </w:p>
    <w:p>
      <w:pPr>
        <w:jc w:val="both"/>
        <w:ind w:right="60" w:firstLine="692"/>
        <w:spacing w:after="0" w:line="234" w:lineRule="auto"/>
        <w:tabs>
          <w:tab w:leader="none" w:pos="97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For any Section 162(m) Award, payment of the Award shall be based solely upon the satisfaction of Quantitative Performance Standards; provided that other standards, including Qualitative Performance Standards may be used to reduce, but in no event increase, the amount otherwise payable under such Award. The Quantitative Performance Standards and the related Targets for any Section 162(m) Award shall be set by the Committee within the time period prescribed by, and shall otherwise comply with the requirements of, Section 162(m), as determined by the Committee in its sole discretion.</w:t>
      </w:r>
    </w:p>
    <w:p>
      <w:pPr>
        <w:spacing w:after="0" w:line="200" w:lineRule="exact"/>
        <w:rPr>
          <w:rFonts w:ascii="Arial" w:cs="Arial" w:eastAsia="Arial" w:hAnsi="Arial"/>
          <w:sz w:val="17"/>
          <w:szCs w:val="17"/>
          <w:color w:val="auto"/>
        </w:rPr>
      </w:pPr>
    </w:p>
    <w:p>
      <w:pPr>
        <w:jc w:val="both"/>
        <w:ind w:right="60" w:firstLine="692"/>
        <w:spacing w:after="0" w:line="234" w:lineRule="auto"/>
        <w:tabs>
          <w:tab w:leader="none" w:pos="95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Each Grantee shall be entitled to receive payment of the Award for a Plan Year only after certification by the Committee of the extent to which the Targets established by the Committee for such Plan Year have been satisfied. The Company shall pay the amounts, if any, earned under the Awards to each Grantee as soon as reasonably practicable following the end of each Plan Year, but not later than 2-1/2 months following the close of such Plan Year, unless otherwise determined by the Committee at the Date of Grant.</w:t>
      </w:r>
    </w:p>
    <w:p>
      <w:pPr>
        <w:spacing w:after="0" w:line="203" w:lineRule="exact"/>
        <w:rPr>
          <w:rFonts w:ascii="Arial" w:cs="Arial" w:eastAsia="Arial" w:hAnsi="Arial"/>
          <w:sz w:val="17"/>
          <w:szCs w:val="17"/>
          <w:color w:val="auto"/>
        </w:rPr>
      </w:pPr>
    </w:p>
    <w:p>
      <w:pPr>
        <w:jc w:val="both"/>
        <w:ind w:right="60" w:firstLine="692"/>
        <w:spacing w:after="0" w:line="233" w:lineRule="auto"/>
        <w:tabs>
          <w:tab w:leader="none" w:pos="104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-6205220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540"/>
          </w:cols>
          <w:pgMar w:left="240" w:top="336" w:right="299" w:bottom="1440" w:gutter="0" w:footer="0" w:header="0"/>
        </w:sectPr>
      </w:pPr>
    </w:p>
    <w:bookmarkStart w:id="80" w:name="page81"/>
    <w:bookmarkEnd w:id="80"/>
    <w:p>
      <w:pPr>
        <w:jc w:val="both"/>
        <w:ind w:left="-20" w:firstLine="692"/>
        <w:spacing w:after="0" w:line="234" w:lineRule="auto"/>
        <w:tabs>
          <w:tab w:leader="none" w:pos="104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 to the extent such action would result in such Section 162(m) Award not being tax deductible under Section 162(m).</w:t>
      </w:r>
    </w:p>
    <w:p>
      <w:pPr>
        <w:spacing w:after="0" w:line="202" w:lineRule="exact"/>
        <w:rPr>
          <w:rFonts w:ascii="Arial" w:cs="Arial" w:eastAsia="Arial" w:hAnsi="Arial"/>
          <w:sz w:val="17"/>
          <w:szCs w:val="17"/>
          <w:color w:val="auto"/>
        </w:rPr>
      </w:pPr>
    </w:p>
    <w:p>
      <w:pPr>
        <w:ind w:left="760" w:hanging="259"/>
        <w:spacing w:after="0"/>
        <w:tabs>
          <w:tab w:leader="none" w:pos="76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Transfer and Termination of Grantee’s Employment</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left="-20" w:firstLine="692"/>
        <w:spacing w:after="0" w:line="233" w:lineRule="auto"/>
        <w:tabs>
          <w:tab w:leader="none" w:pos="863"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Transfer of Employment</w:t>
      </w:r>
      <w:r>
        <w:rPr>
          <w:rFonts w:ascii="Arial" w:cs="Arial" w:eastAsia="Arial" w:hAnsi="Arial"/>
          <w:sz w:val="17"/>
          <w:szCs w:val="17"/>
          <w:color w:val="auto"/>
        </w:rPr>
        <w:t>. A transfer of an Eligible Employee between two employers, each of which is the Company or an Affiliate of the Company (a “Transfer”), shall not be deemed a termination of employment. The Committee may grant Awards (other than Section 162(m) Awards) pursuant to which the Committee reserves the right to modify the calculation of an Award in connection with a Transfer. In general, except in connection with a Section 162(m) Award or as otherwise provided by the Committee at the time an Award is granted or in connection with a Transfer, upon the Transfer of a Grantee between divisions while an Award is outstanding and unexpired, a portion of the outstanding Award corresponding to the portion of the Plan Year remaining after the Transfer shall be treated as having terminated and expired, and a new Award shall be treated as having been made, effective as of the effective date of the Transfer, for the portion of the Award which had expired, but subject to the performance and payment conditions applicable generally to Awards for Grantees who are employees of the transferee division, all as shall be determined by the Committee in an equitable manner.</w:t>
      </w:r>
    </w:p>
    <w:p>
      <w:pPr>
        <w:spacing w:after="0" w:line="203" w:lineRule="exact"/>
        <w:rPr>
          <w:rFonts w:ascii="Arial" w:cs="Arial" w:eastAsia="Arial" w:hAnsi="Arial"/>
          <w:sz w:val="17"/>
          <w:szCs w:val="17"/>
          <w:color w:val="auto"/>
        </w:rPr>
      </w:pPr>
    </w:p>
    <w:p>
      <w:pPr>
        <w:ind w:left="900" w:hanging="228"/>
        <w:spacing w:after="0"/>
        <w:tabs>
          <w:tab w:leader="none" w:pos="900"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left="680" w:firstLine="334"/>
        <w:spacing w:after="0" w:line="233" w:lineRule="auto"/>
        <w:tabs>
          <w:tab w:leader="none" w:pos="1346" w:val="left"/>
        </w:tabs>
        <w:numPr>
          <w:ilvl w:val="2"/>
          <w:numId w:val="149"/>
        </w:numPr>
        <w:rPr>
          <w:rFonts w:ascii="Arial" w:cs="Arial" w:eastAsia="Arial" w:hAnsi="Arial"/>
          <w:sz w:val="17"/>
          <w:szCs w:val="17"/>
          <w:color w:val="auto"/>
        </w:rPr>
      </w:pPr>
      <w:r>
        <w:rPr>
          <w:rFonts w:ascii="Arial" w:cs="Arial" w:eastAsia="Arial" w:hAnsi="Arial"/>
          <w:sz w:val="17"/>
          <w:szCs w:val="17"/>
          <w:u w:val="single" w:color="auto"/>
          <w:color w:val="auto"/>
        </w:rPr>
        <w:t>Termination For Any Reason Other Than Death, Disability or Retirement</w:t>
      </w:r>
      <w:r>
        <w:rPr>
          <w:rFonts w:ascii="Arial" w:cs="Arial" w:eastAsia="Arial" w:hAnsi="Arial"/>
          <w:sz w:val="17"/>
          <w:szCs w:val="17"/>
          <w:color w:val="auto"/>
        </w:rPr>
        <w:t>. An employee must be a full-time employee of the Company or an Affiliate on December 31 of the applicable Plan Year to be eligible to receive payment in respect of his or her Award for such Plan Year, except as otherwise provided by the Committee or in this Plan. Employees in the eligibility group hired during a Plan Year, as determined by the Committee in its sole discretion, will be eligible for an award under the Plan in that year, prorated based on the number of months the Grantee is employed by the Company or an Affiliate. Except as otherwise provided by the Committee,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204" w:lineRule="exact"/>
        <w:rPr>
          <w:rFonts w:ascii="Arial" w:cs="Arial" w:eastAsia="Arial" w:hAnsi="Arial"/>
          <w:sz w:val="17"/>
          <w:szCs w:val="17"/>
          <w:color w:val="auto"/>
        </w:rPr>
      </w:pPr>
    </w:p>
    <w:p>
      <w:pPr>
        <w:jc w:val="both"/>
        <w:ind w:left="680" w:firstLine="334"/>
        <w:spacing w:after="0" w:line="238" w:lineRule="auto"/>
        <w:tabs>
          <w:tab w:leader="none" w:pos="1305" w:val="left"/>
        </w:tabs>
        <w:numPr>
          <w:ilvl w:val="2"/>
          <w:numId w:val="149"/>
        </w:numPr>
        <w:rPr>
          <w:rFonts w:ascii="Arial" w:cs="Arial" w:eastAsia="Arial" w:hAnsi="Arial"/>
          <w:sz w:val="17"/>
          <w:szCs w:val="17"/>
          <w:color w:val="auto"/>
        </w:rPr>
      </w:pPr>
      <w:r>
        <w:rPr>
          <w:rFonts w:ascii="Arial" w:cs="Arial" w:eastAsia="Arial" w:hAnsi="Arial"/>
          <w:sz w:val="17"/>
          <w:szCs w:val="17"/>
          <w:u w:val="single" w:color="auto"/>
          <w:color w:val="auto"/>
        </w:rPr>
        <w:t>Termination Because of Death</w:t>
      </w:r>
      <w:r>
        <w:rPr>
          <w:rFonts w:ascii="Arial" w:cs="Arial" w:eastAsia="Arial" w:hAnsi="Arial"/>
          <w:sz w:val="17"/>
          <w:szCs w:val="17"/>
          <w:color w:val="auto"/>
        </w:rPr>
        <w:t>. Except as otherwise provided by the Committee, if a Grantee terminates employment with the Company and its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E-4  </w:t>
      </w:r>
      <w:r>
        <w:rPr>
          <w:sz w:val="1"/>
          <w:szCs w:val="1"/>
          <w:color w:val="auto"/>
        </w:rPr>
        <w:drawing>
          <wp:inline distT="0" distB="0" distL="0" distR="0">
            <wp:extent cx="342900" cy="20574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ind w:left="700"/>
        <w:spacing w:after="0" w:line="234" w:lineRule="auto"/>
        <w:rPr>
          <w:sz w:val="20"/>
          <w:szCs w:val="20"/>
          <w:color w:val="auto"/>
        </w:rPr>
      </w:pPr>
      <w:r>
        <w:rPr>
          <w:rFonts w:ascii="Arial" w:cs="Arial" w:eastAsia="Arial" w:hAnsi="Arial"/>
          <w:sz w:val="17"/>
          <w:szCs w:val="17"/>
          <w:color w:val="auto"/>
        </w:rPr>
        <w:t>Affiliates because of death, the Company shall pay the Award to the Grantee’s estate as soon as practicable following the Grantee’s death, but not later than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beginning after the Plan Year in which the Grantee dies. The Award shall be calculated based on the assumption that the applicable Targets were satisfied, and such amount shall be pro rated based on the portion of the applicable Plan Year elapsed as of the date of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4" w:lineRule="exact"/>
        <w:rPr>
          <w:sz w:val="20"/>
          <w:szCs w:val="20"/>
          <w:color w:val="auto"/>
        </w:rPr>
      </w:pPr>
    </w:p>
    <w:p>
      <w:pPr>
        <w:jc w:val="both"/>
        <w:ind w:left="700" w:firstLine="334"/>
        <w:spacing w:after="0" w:line="233" w:lineRule="auto"/>
        <w:tabs>
          <w:tab w:leader="none" w:pos="1326" w:val="left"/>
        </w:tabs>
        <w:numPr>
          <w:ilvl w:val="2"/>
          <w:numId w:val="150"/>
        </w:numPr>
        <w:rPr>
          <w:rFonts w:ascii="Arial" w:cs="Arial" w:eastAsia="Arial" w:hAnsi="Arial"/>
          <w:sz w:val="17"/>
          <w:szCs w:val="17"/>
          <w:color w:val="auto"/>
        </w:rPr>
      </w:pPr>
      <w:r>
        <w:rPr>
          <w:rFonts w:ascii="Arial" w:cs="Arial" w:eastAsia="Arial" w:hAnsi="Arial"/>
          <w:sz w:val="17"/>
          <w:szCs w:val="17"/>
          <w:u w:val="single" w:color="auto"/>
          <w:color w:val="auto"/>
        </w:rPr>
        <w:t>Termination Because of Disability or Retirement</w:t>
      </w:r>
      <w:r>
        <w:rPr>
          <w:rFonts w:ascii="Arial" w:cs="Arial" w:eastAsia="Arial" w:hAnsi="Arial"/>
          <w:sz w:val="17"/>
          <w:szCs w:val="17"/>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Plan Year in which the Grantee’s employment terminated, and such amount shall be pro rated based on the portion of the applicable Plan Year elapsed as of the date of such termination of employment.</w:t>
      </w:r>
    </w:p>
    <w:p>
      <w:pPr>
        <w:spacing w:after="0" w:line="208" w:lineRule="exact"/>
        <w:rPr>
          <w:rFonts w:ascii="Arial" w:cs="Arial" w:eastAsia="Arial" w:hAnsi="Arial"/>
          <w:sz w:val="17"/>
          <w:szCs w:val="17"/>
          <w:color w:val="auto"/>
        </w:rPr>
      </w:pPr>
    </w:p>
    <w:p>
      <w:pPr>
        <w:ind w:firstLine="521"/>
        <w:spacing w:after="0" w:line="243" w:lineRule="auto"/>
        <w:tabs>
          <w:tab w:leader="none" w:pos="797"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Maximum Grant</w:t>
      </w:r>
      <w:r>
        <w:rPr>
          <w:rFonts w:ascii="Arial" w:cs="Arial" w:eastAsia="Arial" w:hAnsi="Arial"/>
          <w:sz w:val="17"/>
          <w:szCs w:val="17"/>
          <w:color w:val="auto"/>
        </w:rPr>
        <w:t>. In no event shall the amount paid to any Grantee pursuant to an Award for any Plan Year exceed $7.5 million.</w:t>
      </w:r>
    </w:p>
    <w:p>
      <w:pPr>
        <w:spacing w:after="0" w:line="198" w:lineRule="exact"/>
        <w:rPr>
          <w:rFonts w:ascii="Arial" w:cs="Arial" w:eastAsia="Arial" w:hAnsi="Arial"/>
          <w:sz w:val="17"/>
          <w:szCs w:val="17"/>
          <w:color w:val="auto"/>
        </w:rPr>
      </w:pPr>
    </w:p>
    <w:p>
      <w:pPr>
        <w:jc w:val="both"/>
        <w:ind w:firstLine="521"/>
        <w:spacing w:after="0" w:line="236" w:lineRule="auto"/>
        <w:tabs>
          <w:tab w:leader="none" w:pos="776"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Shareholder Approval</w:t>
      </w:r>
      <w:r>
        <w:rPr>
          <w:rFonts w:ascii="Arial" w:cs="Arial" w:eastAsia="Arial" w:hAnsi="Arial"/>
          <w:sz w:val="17"/>
          <w:szCs w:val="17"/>
          <w:color w:val="auto"/>
        </w:rPr>
        <w:t>. The effectiveness of the grants of Section 162(m) Awards under the Plan shall be conditioned on the approval of the Plan by the Company’s shareholders in accordance with Section 162(m).</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AND TERMINATION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Plan may be terminated by the Board or the Committee at any time. The Plan may be amended by the Board or the Committee at any time. No Award shall be adversely affected by any such termination or amendment without the written consent of the Grantee.</w:t>
      </w:r>
    </w:p>
    <w:p>
      <w:pPr>
        <w:spacing w:after="0" w:line="184"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29" w:lineRule="exact"/>
        <w:rPr>
          <w:rFonts w:ascii="Arial" w:cs="Arial" w:eastAsia="Arial" w:hAnsi="Arial"/>
          <w:sz w:val="17"/>
          <w:szCs w:val="17"/>
          <w:b w:val="1"/>
          <w:bCs w:val="1"/>
          <w:color w:val="auto"/>
        </w:rPr>
      </w:pPr>
    </w:p>
    <w:p>
      <w:pPr>
        <w:jc w:val="both"/>
        <w:ind w:firstLine="521"/>
        <w:spacing w:after="0" w:line="234" w:lineRule="auto"/>
        <w:tabs>
          <w:tab w:leader="none" w:pos="783"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Unsecured Creditor Status</w:t>
      </w:r>
      <w:r>
        <w:rPr>
          <w:rFonts w:ascii="Arial" w:cs="Arial" w:eastAsia="Arial" w:hAnsi="Arial"/>
          <w:sz w:val="17"/>
          <w:szCs w:val="17"/>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presently or at any time in the future.</w:t>
      </w:r>
    </w:p>
    <w:p>
      <w:pPr>
        <w:spacing w:after="0" w:line="202" w:lineRule="exact"/>
        <w:rPr>
          <w:rFonts w:ascii="Arial" w:cs="Arial" w:eastAsia="Arial" w:hAnsi="Arial"/>
          <w:sz w:val="17"/>
          <w:szCs w:val="17"/>
          <w:color w:val="auto"/>
        </w:rPr>
      </w:pPr>
    </w:p>
    <w:p>
      <w:pPr>
        <w:jc w:val="both"/>
        <w:ind w:firstLine="521"/>
        <w:spacing w:after="0" w:line="238" w:lineRule="auto"/>
        <w:tabs>
          <w:tab w:leader="none" w:pos="851"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Non-Assignment of Awards</w:t>
      </w:r>
      <w:r>
        <w:rPr>
          <w:rFonts w:ascii="Arial" w:cs="Arial" w:eastAsia="Arial" w:hAnsi="Arial"/>
          <w:sz w:val="17"/>
          <w:szCs w:val="17"/>
          <w:color w:val="auto"/>
        </w:rPr>
        <w:t>. The Grantee shall not be permitted to sell, transfer, pledge or assign any amount payable pursuant to the Plan or an Award, provided that the</w:t>
      </w:r>
    </w:p>
    <w:p>
      <w:pPr>
        <w:sectPr>
          <w:pgSz w:w="11900" w:h="16838" w:orient="portrait"/>
          <w:cols w:equalWidth="0" w:num="2">
            <w:col w:w="5460" w:space="340"/>
            <w:col w:w="5480"/>
          </w:cols>
          <w:pgMar w:left="260" w:top="336" w:right="359" w:bottom="1440" w:gutter="0" w:footer="0" w:header="0"/>
        </w:sectPr>
      </w:pPr>
    </w:p>
    <w:bookmarkStart w:id="81" w:name="page82"/>
    <w:bookmarkEnd w:id="81"/>
    <w:p>
      <w:pPr>
        <w:spacing w:after="0" w:line="243" w:lineRule="auto"/>
        <w:rPr>
          <w:sz w:val="20"/>
          <w:szCs w:val="20"/>
          <w:color w:val="auto"/>
        </w:rPr>
      </w:pPr>
      <w:r>
        <w:rPr>
          <w:rFonts w:ascii="Arial" w:cs="Arial" w:eastAsia="Arial" w:hAnsi="Arial"/>
          <w:sz w:val="17"/>
          <w:szCs w:val="17"/>
          <w:color w:val="auto"/>
        </w:rPr>
        <w:t>right to payment of an Award may pass by will or the laws of descent and distribution.</w:t>
      </w:r>
    </w:p>
    <w:p>
      <w:pPr>
        <w:spacing w:after="0" w:line="198" w:lineRule="exact"/>
        <w:rPr>
          <w:sz w:val="20"/>
          <w:szCs w:val="20"/>
          <w:color w:val="auto"/>
        </w:rPr>
      </w:pPr>
    </w:p>
    <w:p>
      <w:pPr>
        <w:jc w:val="both"/>
        <w:ind w:firstLine="521"/>
        <w:spacing w:after="0" w:line="234" w:lineRule="auto"/>
        <w:tabs>
          <w:tab w:leader="none" w:pos="77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Other Company Plans</w:t>
      </w:r>
      <w:r>
        <w:rPr>
          <w:rFonts w:ascii="Arial" w:cs="Arial" w:eastAsia="Arial" w:hAnsi="Arial"/>
          <w:sz w:val="17"/>
          <w:szCs w:val="17"/>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203" w:lineRule="exact"/>
        <w:rPr>
          <w:rFonts w:ascii="Arial" w:cs="Arial" w:eastAsia="Arial" w:hAnsi="Arial"/>
          <w:sz w:val="17"/>
          <w:szCs w:val="17"/>
          <w:color w:val="auto"/>
        </w:rPr>
      </w:pPr>
    </w:p>
    <w:p>
      <w:pPr>
        <w:jc w:val="both"/>
        <w:ind w:firstLine="521"/>
        <w:spacing w:after="0" w:line="235" w:lineRule="auto"/>
        <w:tabs>
          <w:tab w:leader="none" w:pos="81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Separability</w:t>
      </w:r>
      <w:r>
        <w:rPr>
          <w:rFonts w:ascii="Arial" w:cs="Arial" w:eastAsia="Arial" w:hAnsi="Arial"/>
          <w:sz w:val="17"/>
          <w:szCs w:val="17"/>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204" w:lineRule="exact"/>
        <w:rPr>
          <w:rFonts w:ascii="Arial" w:cs="Arial" w:eastAsia="Arial" w:hAnsi="Arial"/>
          <w:sz w:val="17"/>
          <w:szCs w:val="17"/>
          <w:color w:val="auto"/>
        </w:rPr>
      </w:pPr>
    </w:p>
    <w:p>
      <w:pPr>
        <w:jc w:val="both"/>
        <w:ind w:firstLine="521"/>
        <w:spacing w:after="0" w:line="234" w:lineRule="auto"/>
        <w:tabs>
          <w:tab w:leader="none" w:pos="824"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Continued Employment</w:t>
      </w:r>
      <w:r>
        <w:rPr>
          <w:rFonts w:ascii="Arial" w:cs="Arial" w:eastAsia="Arial" w:hAnsi="Arial"/>
          <w:sz w:val="17"/>
          <w:szCs w:val="17"/>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205" w:lineRule="exact"/>
        <w:rPr>
          <w:rFonts w:ascii="Arial" w:cs="Arial" w:eastAsia="Arial" w:hAnsi="Arial"/>
          <w:sz w:val="17"/>
          <w:szCs w:val="17"/>
          <w:color w:val="auto"/>
        </w:rPr>
      </w:pPr>
    </w:p>
    <w:p>
      <w:pPr>
        <w:jc w:val="both"/>
        <w:ind w:firstLine="521"/>
        <w:spacing w:after="0" w:line="234" w:lineRule="auto"/>
        <w:tabs>
          <w:tab w:leader="none" w:pos="76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Incapacity</w:t>
      </w:r>
      <w:r>
        <w:rPr>
          <w:rFonts w:ascii="Arial" w:cs="Arial" w:eastAsia="Arial" w:hAnsi="Arial"/>
          <w:sz w:val="17"/>
          <w:szCs w:val="17"/>
          <w:color w:val="auto"/>
        </w:rPr>
        <w:t>. If the Committee determines that a Grantee is unable to care for his affairs because of illness or accident, any benefit due such Grantee under the Plan may be paid to his or her spouse, child, parent, or any other person deemed by the Committee to have incurred expense for such Grantee (including a duly appointed guardian, committee or other legal representative), and any such payment shall be a complete discharge of the Company’s obligations hereunder.</w:t>
      </w:r>
    </w:p>
    <w:p>
      <w:pPr>
        <w:spacing w:after="0" w:line="205" w:lineRule="exact"/>
        <w:rPr>
          <w:rFonts w:ascii="Arial" w:cs="Arial" w:eastAsia="Arial" w:hAnsi="Arial"/>
          <w:sz w:val="17"/>
          <w:szCs w:val="17"/>
          <w:color w:val="auto"/>
        </w:rPr>
      </w:pPr>
    </w:p>
    <w:p>
      <w:pPr>
        <w:jc w:val="both"/>
        <w:ind w:firstLine="521"/>
        <w:spacing w:after="0" w:line="236" w:lineRule="auto"/>
        <w:tabs>
          <w:tab w:leader="none" w:pos="78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0" w:lineRule="exact"/>
        <w:rPr>
          <w:sz w:val="20"/>
          <w:szCs w:val="20"/>
          <w:color w:val="auto"/>
        </w:rPr>
      </w:pPr>
      <w:r>
        <w:rPr>
          <w:sz w:val="20"/>
          <w:szCs w:val="20"/>
          <w:color w:val="auto"/>
        </w:rPr>
        <w:br w:type="column"/>
      </w:r>
    </w:p>
    <w:p>
      <w:pPr>
        <w:jc w:val="both"/>
        <w:ind w:right="60" w:firstLine="521"/>
        <w:spacing w:after="0" w:line="233" w:lineRule="auto"/>
        <w:tabs>
          <w:tab w:leader="none" w:pos="851"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Clawback/Recoupment</w:t>
      </w:r>
      <w:r>
        <w:rPr>
          <w:rFonts w:ascii="Arial" w:cs="Arial" w:eastAsia="Arial" w:hAnsi="Arial"/>
          <w:sz w:val="17"/>
          <w:szCs w:val="17"/>
          <w:color w:val="auto"/>
        </w:rPr>
        <w:t>. Notwithstanding anything to the contrary contained herein, an Award held by a Grantee shall be cancelled if such Grantee, without the consent of the Company, while employed by or providing services to the Company or any Affiliate or after termination of such employment or service, to the extent applicable to the Grantee, violates any policy adopted by the Company or any Affiliate relating to the recovery of compensation granted, paid, delivered, awarded or otherwise provided to any Grantee by the Company or any Affiliate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Grantee will forfeit any amount paid under an Award if the Grantee engages in any activity referred to in the preceding sentence, or (ii) a Grantee must repay to the Company the amount previously paid under any Award subject to performance requirements if a financial restatement reduces the amount that would have been earned under such Award.</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-2893695</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Plan and all determinations made and actions taken pursuant to the Plan shall be governed in accordance with North Carolina law.</w:t>
      </w:r>
    </w:p>
    <w:p>
      <w:pPr>
        <w:spacing w:after="0" w:line="178"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effective date of this Plan is February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540"/>
          </w:cols>
          <w:pgMar w:left="240" w:top="336" w:right="29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2653030</wp:posOffset>
            </wp:positionH>
            <wp:positionV relativeFrom="page">
              <wp:posOffset>4325620</wp:posOffset>
            </wp:positionV>
            <wp:extent cx="2263775" cy="660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2637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Martin Marietta</w:t>
      </w:r>
    </w:p>
    <w:p>
      <w:pPr>
        <w:jc w:val="center"/>
        <w:ind w:right="-20"/>
        <w:spacing w:after="0" w:line="234" w:lineRule="auto"/>
        <w:rPr>
          <w:sz w:val="20"/>
          <w:szCs w:val="20"/>
          <w:color w:val="auto"/>
        </w:rPr>
      </w:pPr>
      <w:r>
        <w:rPr>
          <w:rFonts w:ascii="Arial" w:cs="Arial" w:eastAsia="Arial" w:hAnsi="Arial"/>
          <w:sz w:val="18"/>
          <w:szCs w:val="18"/>
          <w:color w:val="auto"/>
        </w:rPr>
        <w:t>2710 Wycliff Road</w:t>
      </w:r>
    </w:p>
    <w:p>
      <w:pPr>
        <w:jc w:val="center"/>
        <w:ind w:right="-20"/>
        <w:spacing w:after="0" w:line="235" w:lineRule="auto"/>
        <w:rPr>
          <w:sz w:val="20"/>
          <w:szCs w:val="20"/>
          <w:color w:val="auto"/>
        </w:rPr>
      </w:pPr>
      <w:r>
        <w:rPr>
          <w:rFonts w:ascii="Arial" w:cs="Arial" w:eastAsia="Arial" w:hAnsi="Arial"/>
          <w:sz w:val="18"/>
          <w:szCs w:val="18"/>
          <w:color w:val="auto"/>
        </w:rPr>
        <w:t>Raleigh, NC 27607</w:t>
      </w:r>
    </w:p>
    <w:p>
      <w:pPr>
        <w:ind w:left="4380" w:hanging="466"/>
        <w:spacing w:after="0" w:line="235" w:lineRule="auto"/>
        <w:tabs>
          <w:tab w:leader="none" w:pos="4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781-4550</w:t>
      </w:r>
    </w:p>
    <w:p>
      <w:pPr>
        <w:ind w:left="3560"/>
        <w:spacing w:after="0" w:line="234" w:lineRule="auto"/>
        <w:rPr>
          <w:rFonts w:ascii="Arial" w:cs="Arial" w:eastAsia="Arial" w:hAnsi="Arial"/>
          <w:sz w:val="18"/>
          <w:szCs w:val="18"/>
          <w:color w:val="auto"/>
        </w:rPr>
      </w:pPr>
      <w:r>
        <w:rPr>
          <w:rFonts w:ascii="Arial" w:cs="Arial" w:eastAsia="Arial" w:hAnsi="Arial"/>
          <w:sz w:val="18"/>
          <w:szCs w:val="18"/>
          <w:color w:val="auto"/>
        </w:rPr>
        <w:t>www.martinmarietta.com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NYSE Stock Symbol: MLM</w:t>
      </w:r>
    </w:p>
    <w:p>
      <w:pPr>
        <w:sectPr>
          <w:pgSz w:w="11900" w:h="16838" w:orient="portrait"/>
          <w:cols w:equalWidth="0" w:num="1">
            <w:col w:w="9019"/>
          </w:cols>
          <w:pgMar w:left="1440" w:top="1440" w:right="1440"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 FOLD AND DETACH HERE q</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MARTIN MARIETTA MATERIALS,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to be held May 19, 2016</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19, 2016, and at any adjournment thereof.</w:t>
      </w:r>
    </w:p>
    <w:p>
      <w:pPr>
        <w:spacing w:after="0" w:line="162" w:lineRule="exact"/>
        <w:rPr>
          <w:sz w:val="20"/>
          <w:szCs w:val="20"/>
          <w:color w:val="auto"/>
        </w:rPr>
      </w:pPr>
    </w:p>
    <w:p>
      <w:pPr>
        <w:ind w:left="460" w:right="340"/>
        <w:spacing w:after="0" w:line="282" w:lineRule="auto"/>
        <w:rPr>
          <w:sz w:val="20"/>
          <w:szCs w:val="20"/>
          <w:color w:val="auto"/>
        </w:rPr>
      </w:pPr>
      <w:r>
        <w:rPr>
          <w:rFonts w:ascii="Arial" w:cs="Arial" w:eastAsia="Arial" w:hAnsi="Arial"/>
          <w:sz w:val="18"/>
          <w:szCs w:val="18"/>
          <w:b w:val="1"/>
          <w:bCs w:val="1"/>
          <w:color w:val="auto"/>
        </w:rPr>
        <w:t>YOU DO NOT NEED TO MARK ANY BOXES IF YOU WISH TO VOTE IN ACCORDANCE WITH THE BOARD OF DIRECTORS’ RECOMMENDATIONS. PLEASE DATE AND SIGN THE PROXY AND RETURN IT PROMPTLY IN THE ENCLOSED ENVELOPE.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YOU VOTE FOR ITEMS 1, 2, 3, 4, 5 and 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780" w:type="dxa"/>
            <w:vAlign w:val="bottom"/>
          </w:tcPr>
          <w:p>
            <w:pPr>
              <w:ind w:left="180"/>
              <w:spacing w:after="0" w:line="207" w:lineRule="exact"/>
              <w:rPr>
                <w:sz w:val="20"/>
                <w:szCs w:val="20"/>
                <w:color w:val="auto"/>
              </w:rPr>
            </w:pPr>
            <w:r>
              <w:rPr>
                <w:rFonts w:ascii="Arial" w:cs="Arial" w:eastAsia="Arial" w:hAnsi="Arial"/>
                <w:sz w:val="18"/>
                <w:szCs w:val="18"/>
                <w:b w:val="1"/>
                <w:bCs w:val="1"/>
                <w:color w:val="auto"/>
              </w:rPr>
              <w:t xml:space="preserve">Please mark votes as in this example: </w:t>
            </w:r>
            <w:r>
              <w:rPr>
                <w:rFonts w:ascii="MS PGothic" w:cs="MS PGothic" w:eastAsia="MS PGothic" w:hAnsi="MS PGothic"/>
                <w:sz w:val="18"/>
                <w:szCs w:val="18"/>
                <w:color w:val="auto"/>
              </w:rPr>
              <w:t>☒</w:t>
            </w:r>
          </w:p>
        </w:tc>
        <w:tc>
          <w:tcPr>
            <w:tcW w:w="1340" w:type="dxa"/>
            <w:vAlign w:val="bottom"/>
          </w:tcPr>
          <w:p>
            <w:pPr>
              <w:spacing w:after="0"/>
              <w:rPr>
                <w:sz w:val="24"/>
                <w:szCs w:val="24"/>
                <w:color w:val="auto"/>
              </w:rPr>
            </w:pPr>
          </w:p>
        </w:tc>
      </w:tr>
      <w:tr>
        <w:trPr>
          <w:trHeight w:val="439"/>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2400" w:type="dxa"/>
            <w:vAlign w:val="bottom"/>
          </w:tcPr>
          <w:p>
            <w:pPr>
              <w:ind w:left="160"/>
              <w:spacing w:after="0"/>
              <w:rPr>
                <w:sz w:val="20"/>
                <w:szCs w:val="20"/>
                <w:color w:val="auto"/>
              </w:rPr>
            </w:pPr>
            <w:r>
              <w:rPr>
                <w:rFonts w:ascii="Arial" w:cs="Arial" w:eastAsia="Arial" w:hAnsi="Arial"/>
                <w:sz w:val="18"/>
                <w:szCs w:val="18"/>
                <w:color w:val="auto"/>
              </w:rPr>
              <w:t>Election of Directors:</w:t>
            </w:r>
          </w:p>
        </w:tc>
        <w:tc>
          <w:tcPr>
            <w:tcW w:w="1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9"/>
        </w:trPr>
        <w:tc>
          <w:tcPr>
            <w:tcW w:w="30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8"/>
                <w:szCs w:val="18"/>
                <w:color w:val="auto"/>
              </w:rPr>
              <w:t>C. Howard Nye</w:t>
            </w:r>
          </w:p>
        </w:tc>
        <w:tc>
          <w:tcPr>
            <w:tcW w:w="12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3780" w:type="dxa"/>
            <w:vAlign w:val="bottom"/>
          </w:tcPr>
          <w:p>
            <w:pPr>
              <w:ind w:left="1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3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r>
        <w:trPr>
          <w:trHeight w:val="324"/>
        </w:trPr>
        <w:tc>
          <w:tcPr>
            <w:tcW w:w="30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8"/>
                <w:szCs w:val="18"/>
                <w:color w:val="auto"/>
              </w:rPr>
              <w:t>Laree E. Perez</w:t>
            </w:r>
          </w:p>
        </w:tc>
        <w:tc>
          <w:tcPr>
            <w:tcW w:w="12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3780" w:type="dxa"/>
            <w:vAlign w:val="bottom"/>
          </w:tcPr>
          <w:p>
            <w:pPr>
              <w:ind w:left="1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3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r>
        <w:trPr>
          <w:trHeight w:val="324"/>
        </w:trPr>
        <w:tc>
          <w:tcPr>
            <w:tcW w:w="30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8"/>
                <w:szCs w:val="18"/>
                <w:color w:val="auto"/>
              </w:rPr>
              <w:t>Dennis L. Rediker</w:t>
            </w:r>
          </w:p>
        </w:tc>
        <w:tc>
          <w:tcPr>
            <w:tcW w:w="12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3780" w:type="dxa"/>
            <w:vAlign w:val="bottom"/>
          </w:tcPr>
          <w:p>
            <w:pPr>
              <w:ind w:left="1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3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r>
        <w:trPr>
          <w:trHeight w:val="324"/>
        </w:trPr>
        <w:tc>
          <w:tcPr>
            <w:tcW w:w="300" w:type="dxa"/>
            <w:vAlign w:val="bottom"/>
          </w:tcPr>
          <w:p>
            <w:pPr>
              <w:spacing w:after="0"/>
              <w:rPr>
                <w:sz w:val="24"/>
                <w:szCs w:val="24"/>
                <w:color w:val="auto"/>
              </w:rPr>
            </w:pPr>
          </w:p>
        </w:tc>
        <w:tc>
          <w:tcPr>
            <w:tcW w:w="2400" w:type="dxa"/>
            <w:vAlign w:val="bottom"/>
          </w:tcPr>
          <w:p>
            <w:pPr>
              <w:ind w:left="520"/>
              <w:spacing w:after="0"/>
              <w:rPr>
                <w:sz w:val="20"/>
                <w:szCs w:val="20"/>
                <w:color w:val="auto"/>
              </w:rPr>
            </w:pPr>
            <w:r>
              <w:rPr>
                <w:rFonts w:ascii="Arial" w:cs="Arial" w:eastAsia="Arial" w:hAnsi="Arial"/>
                <w:sz w:val="18"/>
                <w:szCs w:val="18"/>
                <w:color w:val="auto"/>
              </w:rPr>
              <w:t>Donald W. Slager</w:t>
            </w:r>
          </w:p>
        </w:tc>
        <w:tc>
          <w:tcPr>
            <w:tcW w:w="12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3780" w:type="dxa"/>
            <w:vAlign w:val="bottom"/>
          </w:tcPr>
          <w:p>
            <w:pPr>
              <w:ind w:left="1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3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bl>
    <w:p>
      <w:pPr>
        <w:spacing w:after="0" w:line="20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Approval of Amendment to Articles of Incorporation to provide for the annual election of the Board of Directors.</w:t>
      </w:r>
    </w:p>
    <w:p>
      <w:pPr>
        <w:spacing w:after="0" w:line="220" w:lineRule="exact"/>
        <w:rPr>
          <w:sz w:val="20"/>
          <w:szCs w:val="20"/>
          <w:color w:val="auto"/>
        </w:rPr>
      </w:pPr>
    </w:p>
    <w:p>
      <w:pPr>
        <w:ind w:left="2200"/>
        <w:spacing w:after="0" w:line="207" w:lineRule="exact"/>
        <w:tabs>
          <w:tab w:leader="none" w:pos="5380" w:val="left"/>
          <w:tab w:leader="none" w:pos="8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Ratification of selection of PricewaterhouseCoopers as independent auditors.</w:t>
      </w:r>
    </w:p>
    <w:p>
      <w:pPr>
        <w:spacing w:after="0" w:line="220" w:lineRule="exact"/>
        <w:rPr>
          <w:sz w:val="20"/>
          <w:szCs w:val="20"/>
          <w:color w:val="auto"/>
        </w:rPr>
      </w:pPr>
    </w:p>
    <w:p>
      <w:pPr>
        <w:ind w:left="2200"/>
        <w:spacing w:after="0" w:line="207" w:lineRule="exact"/>
        <w:tabs>
          <w:tab w:leader="none" w:pos="5380" w:val="left"/>
          <w:tab w:leader="none" w:pos="8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Approval of Amendment to Amended and Restated Stock Based Award Plan.</w:t>
      </w:r>
    </w:p>
    <w:p>
      <w:pPr>
        <w:spacing w:after="0" w:line="220" w:lineRule="exact"/>
        <w:rPr>
          <w:sz w:val="20"/>
          <w:szCs w:val="20"/>
          <w:color w:val="auto"/>
        </w:rPr>
      </w:pPr>
    </w:p>
    <w:p>
      <w:pPr>
        <w:ind w:left="2200"/>
        <w:spacing w:after="0" w:line="207" w:lineRule="exact"/>
        <w:tabs>
          <w:tab w:leader="none" w:pos="5380" w:val="left"/>
          <w:tab w:leader="none" w:pos="8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Approval of Executive Cash Incentive Plan.</w:t>
      </w:r>
    </w:p>
    <w:p>
      <w:pPr>
        <w:spacing w:after="0" w:line="220" w:lineRule="exact"/>
        <w:rPr>
          <w:sz w:val="20"/>
          <w:szCs w:val="20"/>
          <w:color w:val="auto"/>
        </w:rPr>
      </w:pPr>
    </w:p>
    <w:p>
      <w:pPr>
        <w:ind w:left="2200"/>
        <w:spacing w:after="0" w:line="207" w:lineRule="exact"/>
        <w:tabs>
          <w:tab w:leader="none" w:pos="5380" w:val="left"/>
          <w:tab w:leader="none" w:pos="8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Approval, by a non-binding advisory vote, of the compensation of Martin Marietta Materials, Inc.’s named executive officers.</w:t>
      </w:r>
    </w:p>
    <w:p>
      <w:pPr>
        <w:spacing w:after="0" w:line="220" w:lineRule="exact"/>
        <w:rPr>
          <w:sz w:val="20"/>
          <w:szCs w:val="20"/>
          <w:color w:val="auto"/>
        </w:rPr>
      </w:pPr>
    </w:p>
    <w:p>
      <w:pPr>
        <w:ind w:left="2200"/>
        <w:spacing w:after="0" w:line="207" w:lineRule="exact"/>
        <w:tabs>
          <w:tab w:leader="none" w:pos="5380" w:val="left"/>
          <w:tab w:leader="none" w:pos="83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their discretion, the proxies are authorized to vote upon such other business as may properly come before the meeting, or any adjournments thereof.</w:t>
      </w:r>
    </w:p>
    <w:p>
      <w:pPr>
        <w:sectPr>
          <w:pgSz w:w="11900" w:h="16838" w:orient="portrait"/>
          <w:cols w:equalWidth="0" w:num="1">
            <w:col w:w="11400"/>
          </w:cols>
          <w:pgMar w:left="240" w:top="1246"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 FOLD AND DETACH HERE q</w:t>
      </w:r>
    </w:p>
    <w:p>
      <w:pPr>
        <w:spacing w:after="0" w:line="200" w:lineRule="exact"/>
        <w:rPr>
          <w:sz w:val="20"/>
          <w:szCs w:val="20"/>
          <w:color w:val="auto"/>
        </w:rPr>
      </w:pPr>
    </w:p>
    <w:p>
      <w:pPr>
        <w:spacing w:after="0" w:line="29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all nominees as Directors,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amendment to the Articles of Incorporation to provide for the annual election of the Board of Directors,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PricewaterhouseCoopers as independent auditors,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amendment to the Amended and Restated Stock Based Award Plan,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Executive Cash Incentive Plan,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by a non-binding advisory vote, of the compensation of our named executive officers. The Board of Directors recommends voting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item.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Please date and sign exactly as printed below and return</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promptly in the enclosed postage paid envelope</w:t>
      </w:r>
    </w:p>
    <w:p>
      <w:pPr>
        <w:spacing w:after="0" w:line="211" w:lineRule="exact"/>
        <w:rPr>
          <w:sz w:val="20"/>
          <w:szCs w:val="20"/>
          <w:color w:val="auto"/>
        </w:rPr>
      </w:pPr>
    </w:p>
    <w:p>
      <w:pPr>
        <w:ind w:left="6860"/>
        <w:spacing w:after="0"/>
        <w:tabs>
          <w:tab w:leader="none" w:pos="8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-10160</wp:posOffset>
            </wp:positionV>
            <wp:extent cx="4572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Signature if held jointly</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(When signing as attorney, executor, administrator, trustee,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guardian, etc., give title as such. If joint account, each joint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owner should sign. If a corporation or a partnership, sign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full corporate name or partnership name, as the case may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 by an authorized person.)</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lvl w:ilvl="1">
      <w:lvlJc w:val="left"/>
      <w:lvlText w:val="(%2)"/>
      <w:numFmt w:val="decimal"/>
      <w:start w:val="1"/>
    </w:lvl>
  </w:abstractNum>
  <w:abstractNum w:abstractNumId="4">
    <w:nsid w:val="7FB7E0AA"/>
    <w:multiLevelType w:val="hybridMultilevel"/>
    <w:lvl w:ilvl="0">
      <w:lvlJc w:val="left"/>
      <w:lvlText w:val="(%1)"/>
      <w:numFmt w:val="decimal"/>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1"/>
      <w:numFmt w:val="bullet"/>
      <w:start w:val="1"/>
    </w:lvl>
  </w:abstractNum>
  <w:abstractNum w:abstractNumId="8">
    <w:nsid w:val="885E1B"/>
    <w:multiLevelType w:val="hybridMultilevel"/>
    <w:lvl w:ilvl="0">
      <w:lvlJc w:val="left"/>
      <w:lvlText w:val="1"/>
      <w:numFmt w:val="bullet"/>
      <w:start w:val="1"/>
    </w:lvl>
  </w:abstractNum>
  <w:abstractNum w:abstractNumId="9">
    <w:nsid w:val="76272110"/>
    <w:multiLevelType w:val="hybridMultilevel"/>
    <w:lvl w:ilvl="0">
      <w:lvlJc w:val="left"/>
      <w:lvlText w:val="2"/>
      <w:numFmt w:val="bullet"/>
      <w:start w:val="1"/>
    </w:lvl>
  </w:abstractNum>
  <w:abstractNum w:abstractNumId="10">
    <w:nsid w:val="4C04A8AF"/>
    <w:multiLevelType w:val="hybridMultilevel"/>
    <w:lvl w:ilvl="0">
      <w:lvlJc w:val="left"/>
      <w:lvlText w:val="3"/>
      <w:numFmt w:val="bullet"/>
      <w:start w:val="1"/>
    </w:lvl>
  </w:abstractNum>
  <w:abstractNum w:abstractNumId="11">
    <w:nsid w:val="1716703B"/>
    <w:multiLevelType w:val="hybridMultilevel"/>
    <w:lvl w:ilvl="0">
      <w:lvlJc w:val="left"/>
      <w:lvlText w:val="4"/>
      <w:numFmt w:val="bullet"/>
      <w:start w:val="1"/>
    </w:lvl>
  </w:abstractNum>
  <w:abstractNum w:abstractNumId="12">
    <w:nsid w:val="14E17E33"/>
    <w:multiLevelType w:val="hybridMultilevel"/>
    <w:lvl w:ilvl="0">
      <w:lvlJc w:val="left"/>
      <w:lvlText w:val="5"/>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1"/>
      <w:numFmt w:val="bullet"/>
      <w:start w:val="1"/>
    </w:lvl>
  </w:abstractNum>
  <w:abstractNum w:abstractNumId="15">
    <w:nsid w:val="68EBC550"/>
    <w:multiLevelType w:val="hybridMultilevel"/>
    <w:lvl w:ilvl="0">
      <w:lvlJc w:val="left"/>
      <w:lvlText w:val="2"/>
      <w:numFmt w:val="bullet"/>
      <w:start w:val="1"/>
    </w:lvl>
  </w:abstractNum>
  <w:abstractNum w:abstractNumId="16">
    <w:nsid w:val="2DF6D648"/>
    <w:multiLevelType w:val="hybridMultilevel"/>
    <w:lvl w:ilvl="0">
      <w:lvlJc w:val="left"/>
      <w:lvlText w:val="3"/>
      <w:numFmt w:val="bullet"/>
      <w:start w:val="1"/>
    </w:lvl>
  </w:abstractNum>
  <w:abstractNum w:abstractNumId="17">
    <w:nsid w:val="46B7D447"/>
    <w:multiLevelType w:val="hybridMultilevel"/>
    <w:lvl w:ilvl="0">
      <w:lvlJc w:val="left"/>
      <w:lvlText w:val="4"/>
      <w:numFmt w:val="bullet"/>
      <w:start w:val="1"/>
    </w:lvl>
  </w:abstractNum>
  <w:abstractNum w:abstractNumId="18">
    <w:nsid w:val="4A2AC315"/>
    <w:multiLevelType w:val="hybridMultilevel"/>
    <w:lvl w:ilvl="0">
      <w:lvlJc w:val="left"/>
      <w:lvlText w:val="5"/>
      <w:numFmt w:val="bullet"/>
      <w:start w:val="1"/>
    </w:lvl>
  </w:abstractNum>
  <w:abstractNum w:abstractNumId="19">
    <w:nsid w:val="39EE015C"/>
    <w:multiLevelType w:val="hybridMultilevel"/>
    <w:lvl w:ilvl="0">
      <w:lvlJc w:val="left"/>
      <w:lvlText w:val="6"/>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1)"/>
      <w:numFmt w:val="decimal"/>
      <w:start w:val="2"/>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lvl w:ilvl="1">
      <w:lvlJc w:val="left"/>
      <w:lvlText w:val="v"/>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1)"/>
      <w:numFmt w:val="lowerRoman"/>
      <w:start w:val="3"/>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1)"/>
      <w:numFmt w:val="decimal"/>
      <w:start w:val="4"/>
    </w:lvl>
  </w:abstractNum>
  <w:abstractNum w:abstractNumId="42">
    <w:nsid w:val="14FCE74E"/>
    <w:multiLevelType w:val="hybridMultilevel"/>
    <w:lvl w:ilvl="0">
      <w:lvlJc w:val="left"/>
      <w:lvlText w:val="(%1)"/>
      <w:numFmt w:val="lowerRoman"/>
      <w:start w:val="6"/>
    </w:lvl>
  </w:abstractNum>
  <w:abstractNum w:abstractNumId="43">
    <w:nsid w:val="6A3DD3E8"/>
    <w:multiLevelType w:val="hybridMultilevel"/>
    <w:lvl w:ilvl="0">
      <w:lvlJc w:val="left"/>
      <w:lvlText w:val="(%1)"/>
      <w:numFmt w:val="decimal"/>
      <w:start w:val="2"/>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lvl w:ilvl="1">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1"/>
      <w:numFmt w:val="bullet"/>
      <w:start w:val="1"/>
    </w:lvl>
  </w:abstractNum>
  <w:abstractNum w:abstractNumId="56">
    <w:nsid w:val="1CA0C5FA"/>
    <w:multiLevelType w:val="hybridMultilevel"/>
    <w:lvl w:ilvl="0">
      <w:lvlJc w:val="left"/>
      <w:lvlText w:val="2"/>
      <w:numFmt w:val="bullet"/>
      <w:start w:val="1"/>
    </w:lvl>
  </w:abstractNum>
  <w:abstractNum w:abstractNumId="57">
    <w:nsid w:val="53584BCB"/>
    <w:multiLevelType w:val="hybridMultilevel"/>
    <w:lvl w:ilvl="0">
      <w:lvlJc w:val="left"/>
      <w:lvlText w:val="3"/>
      <w:numFmt w:val="bullet"/>
      <w:start w:val="1"/>
    </w:lvl>
  </w:abstractNum>
  <w:abstractNum w:abstractNumId="58">
    <w:nsid w:val="415E286C"/>
    <w:multiLevelType w:val="hybridMultilevel"/>
    <w:lvl w:ilvl="0">
      <w:lvlJc w:val="left"/>
      <w:lvlText w:val="4"/>
      <w:numFmt w:val="bullet"/>
      <w:start w:val="1"/>
    </w:lvl>
  </w:abstractNum>
  <w:abstractNum w:abstractNumId="59">
    <w:nsid w:val="7C58FD05"/>
    <w:multiLevelType w:val="hybridMultilevel"/>
    <w:lvl w:ilvl="0">
      <w:lvlJc w:val="left"/>
      <w:lvlText w:val="5"/>
      <w:numFmt w:val="bullet"/>
      <w:start w:val="1"/>
    </w:lvl>
  </w:abstractNum>
  <w:abstractNum w:abstractNumId="60">
    <w:nsid w:val="23D86AAC"/>
    <w:multiLevelType w:val="hybridMultilevel"/>
    <w:lvl w:ilvl="0">
      <w:lvlJc w:val="left"/>
      <w:lvlText w:val="6"/>
      <w:numFmt w:val="bullet"/>
      <w:start w:val="1"/>
    </w:lvl>
  </w:abstractNum>
  <w:abstractNum w:abstractNumId="61">
    <w:nsid w:val="45E6D486"/>
    <w:multiLevelType w:val="hybridMultilevel"/>
    <w:lvl w:ilvl="0">
      <w:lvlJc w:val="left"/>
      <w:lvlText w:val="7"/>
      <w:numFmt w:val="bullet"/>
      <w:start w:val="1"/>
    </w:lvl>
  </w:abstractNum>
  <w:abstractNum w:abstractNumId="62">
    <w:nsid w:val="5C10FE21"/>
    <w:multiLevelType w:val="hybridMultilevel"/>
    <w:lvl w:ilvl="0">
      <w:lvlJc w:val="left"/>
      <w:lvlText w:val="1"/>
      <w:numFmt w:val="bullet"/>
      <w:start w:val="1"/>
    </w:lvl>
  </w:abstractNum>
  <w:abstractNum w:abstractNumId="63">
    <w:nsid w:val="E7FFA2B"/>
    <w:multiLevelType w:val="hybridMultilevel"/>
    <w:lvl w:ilvl="0">
      <w:lvlJc w:val="left"/>
      <w:lvlText w:val="2"/>
      <w:numFmt w:val="bullet"/>
      <w:start w:val="1"/>
    </w:lvl>
  </w:abstractNum>
  <w:abstractNum w:abstractNumId="64">
    <w:nsid w:val="3C5991AA"/>
    <w:multiLevelType w:val="hybridMultilevel"/>
    <w:lvl w:ilvl="0">
      <w:lvlJc w:val="left"/>
      <w:lvlText w:val="3"/>
      <w:numFmt w:val="bullet"/>
      <w:start w:val="1"/>
    </w:lvl>
  </w:abstractNum>
  <w:abstractNum w:abstractNumId="65">
    <w:nsid w:val="4BD8591A"/>
    <w:multiLevelType w:val="hybridMultilevel"/>
    <w:lvl w:ilvl="0">
      <w:lvlJc w:val="left"/>
      <w:lvlText w:val="4"/>
      <w:numFmt w:val="bullet"/>
      <w:start w:val="1"/>
    </w:lvl>
  </w:abstractNum>
  <w:abstractNum w:abstractNumId="66">
    <w:nsid w:val="78DF6A55"/>
    <w:multiLevelType w:val="hybridMultilevel"/>
    <w:lvl w:ilvl="0">
      <w:lvlJc w:val="left"/>
      <w:lvlText w:val="5"/>
      <w:numFmt w:val="bullet"/>
      <w:start w:val="1"/>
    </w:lvl>
  </w:abstractNum>
  <w:abstractNum w:abstractNumId="67">
    <w:nsid w:val="39B7AAA2"/>
    <w:multiLevelType w:val="hybridMultilevel"/>
    <w:lvl w:ilvl="0">
      <w:lvlJc w:val="left"/>
      <w:lvlText w:val="6"/>
      <w:numFmt w:val="bullet"/>
      <w:start w:val="1"/>
    </w:lvl>
  </w:abstractNum>
  <w:abstractNum w:abstractNumId="68">
    <w:nsid w:val="2B0D8DBE"/>
    <w:multiLevelType w:val="hybridMultilevel"/>
    <w:lvl w:ilvl="0">
      <w:lvlJc w:val="left"/>
      <w:lvlText w:val="7"/>
      <w:numFmt w:val="bullet"/>
      <w:start w:val="1"/>
    </w:lvl>
  </w:abstractNum>
  <w:abstractNum w:abstractNumId="69">
    <w:nsid w:val="6C80EC70"/>
    <w:multiLevelType w:val="hybridMultilevel"/>
    <w:lvl w:ilvl="0">
      <w:lvlJc w:val="left"/>
      <w:lvlText w:val="1"/>
      <w:numFmt w:val="bullet"/>
      <w:start w:val="1"/>
    </w:lvl>
  </w:abstractNum>
  <w:abstractNum w:abstractNumId="70">
    <w:nsid w:val="379E21B5"/>
    <w:multiLevelType w:val="hybridMultilevel"/>
    <w:lvl w:ilvl="0">
      <w:lvlJc w:val="left"/>
      <w:lvlText w:val="2"/>
      <w:numFmt w:val="bullet"/>
      <w:start w:val="1"/>
    </w:lvl>
  </w:abstractNum>
  <w:abstractNum w:abstractNumId="71">
    <w:nsid w:val="69E373"/>
    <w:multiLevelType w:val="hybridMultilevel"/>
    <w:lvl w:ilvl="0">
      <w:lvlJc w:val="left"/>
      <w:lvlText w:val="3"/>
      <w:numFmt w:val="bullet"/>
      <w:start w:val="1"/>
    </w:lvl>
  </w:abstractNum>
  <w:abstractNum w:abstractNumId="72">
    <w:nsid w:val="2C27173B"/>
    <w:multiLevelType w:val="hybridMultilevel"/>
    <w:lvl w:ilvl="0">
      <w:lvlJc w:val="left"/>
      <w:lvlText w:val="4"/>
      <w:numFmt w:val="bullet"/>
      <w:start w:val="1"/>
    </w:lvl>
  </w:abstractNum>
  <w:abstractNum w:abstractNumId="73">
    <w:nsid w:val="4C9B0904"/>
    <w:multiLevelType w:val="hybridMultilevel"/>
    <w:lvl w:ilvl="0">
      <w:lvlJc w:val="left"/>
      <w:lvlText w:val="5"/>
      <w:numFmt w:val="bullet"/>
      <w:start w:val="1"/>
    </w:lvl>
  </w:abstractNum>
  <w:abstractNum w:abstractNumId="74">
    <w:nsid w:val="6AA7B75C"/>
    <w:multiLevelType w:val="hybridMultilevel"/>
    <w:lvl w:ilvl="0">
      <w:lvlJc w:val="left"/>
      <w:lvlText w:val="6"/>
      <w:numFmt w:val="bullet"/>
      <w:start w:val="1"/>
    </w:lvl>
  </w:abstractNum>
  <w:abstractNum w:abstractNumId="75">
    <w:nsid w:val="1DF029D3"/>
    <w:multiLevelType w:val="hybridMultilevel"/>
    <w:lvl w:ilvl="0">
      <w:lvlJc w:val="left"/>
      <w:lvlText w:val="7"/>
      <w:numFmt w:val="bullet"/>
      <w:start w:val="1"/>
    </w:lvl>
  </w:abstractNum>
  <w:abstractNum w:abstractNumId="76">
    <w:nsid w:val="5675FF36"/>
    <w:multiLevelType w:val="hybridMultilevel"/>
    <w:lvl w:ilvl="0">
      <w:lvlJc w:val="left"/>
      <w:lvlText w:val="8"/>
      <w:numFmt w:val="bullet"/>
      <w:start w:val="1"/>
    </w:lvl>
  </w:abstractNum>
  <w:abstractNum w:abstractNumId="77">
    <w:nsid w:val="3DD15094"/>
    <w:multiLevelType w:val="hybridMultilevel"/>
    <w:lvl w:ilvl="0">
      <w:lvlJc w:val="left"/>
      <w:lvlText w:val="9"/>
      <w:numFmt w:val="bullet"/>
      <w:start w:val="1"/>
    </w:lvl>
  </w:abstractNum>
  <w:abstractNum w:abstractNumId="78">
    <w:nsid w:val="3DB012B3"/>
    <w:multiLevelType w:val="hybridMultilevel"/>
    <w:lvl w:ilvl="0">
      <w:lvlJc w:val="left"/>
      <w:lvlText w:val="%1"/>
      <w:numFmt w:val="decimal"/>
      <w:start w:val="10"/>
    </w:lvl>
  </w:abstractNum>
  <w:abstractNum w:abstractNumId="79">
    <w:nsid w:val="2708C9AF"/>
    <w:multiLevelType w:val="hybridMultilevel"/>
    <w:lvl w:ilvl="0">
      <w:lvlJc w:val="left"/>
      <w:lvlText w:val="1"/>
      <w:numFmt w:val="bullet"/>
      <w:start w:val="1"/>
    </w:lvl>
  </w:abstractNum>
  <w:abstractNum w:abstractNumId="80">
    <w:nsid w:val="5B25ACE2"/>
    <w:multiLevelType w:val="hybridMultilevel"/>
    <w:lvl w:ilvl="0">
      <w:lvlJc w:val="left"/>
      <w:lvlText w:val="(%1)"/>
      <w:numFmt w:val="upperLetter"/>
      <w:start w:val="3"/>
    </w:lvl>
    <w:lvl w:ilvl="1">
      <w:lvlJc w:val="left"/>
      <w:lvlText w:val="(%2)"/>
      <w:numFmt w:val="upperLetter"/>
      <w:start w:val="1"/>
    </w:lvl>
  </w:abstractNum>
  <w:abstractNum w:abstractNumId="81">
    <w:nsid w:val="175DFCF0"/>
    <w:multiLevelType w:val="hybridMultilevel"/>
    <w:lvl w:ilvl="0">
      <w:lvlJc w:val="left"/>
      <w:lvlText w:val="(%1)"/>
      <w:numFmt w:val="upperLetter"/>
      <w:start w:val="2"/>
    </w:lvl>
  </w:abstractNum>
  <w:abstractNum w:abstractNumId="82">
    <w:nsid w:val="4F97E3E4"/>
    <w:multiLevelType w:val="hybridMultilevel"/>
    <w:lvl w:ilvl="0">
      <w:lvlJc w:val="left"/>
      <w:lvlText w:val="1"/>
      <w:numFmt w:val="bullet"/>
      <w:start w:val="1"/>
    </w:lvl>
  </w:abstractNum>
  <w:abstractNum w:abstractNumId="83">
    <w:nsid w:val="53B0A9E"/>
    <w:multiLevelType w:val="hybridMultilevel"/>
    <w:lvl w:ilvl="0">
      <w:lvlJc w:val="left"/>
      <w:lvlText w:val="%1."/>
      <w:numFmt w:val="decimal"/>
      <w:start w:val="55"/>
    </w:lvl>
  </w:abstractNum>
  <w:abstractNum w:abstractNumId="84">
    <w:nsid w:val="34FD6B4F"/>
    <w:multiLevelType w:val="hybridMultilevel"/>
    <w:lvl w:ilvl="0">
      <w:lvlJc w:val="left"/>
      <w:lvlText w:val="(%1)"/>
      <w:numFmt w:val="lowerRoman"/>
      <w:start w:val="2"/>
    </w:lvl>
  </w:abstractNum>
  <w:abstractNum w:abstractNumId="85">
    <w:nsid w:val="5915FF32"/>
    <w:multiLevelType w:val="hybridMultilevel"/>
    <w:lvl w:ilvl="0">
      <w:lvlJc w:val="left"/>
      <w:lvlText w:val="1"/>
      <w:numFmt w:val="bullet"/>
      <w:start w:val="1"/>
    </w:lvl>
  </w:abstractNum>
  <w:abstractNum w:abstractNumId="86">
    <w:nsid w:val="56438D15"/>
    <w:multiLevelType w:val="hybridMultilevel"/>
    <w:lvl w:ilvl="0">
      <w:lvlJc w:val="left"/>
      <w:lvlText w:val="2"/>
      <w:numFmt w:val="bullet"/>
      <w:start w:val="1"/>
    </w:lvl>
  </w:abstractNum>
  <w:abstractNum w:abstractNumId="87">
    <w:nsid w:val="519E3149"/>
    <w:multiLevelType w:val="hybridMultilevel"/>
    <w:lvl w:ilvl="0">
      <w:lvlJc w:val="left"/>
      <w:lvlText w:val="3"/>
      <w:numFmt w:val="bullet"/>
      <w:start w:val="1"/>
    </w:lvl>
  </w:abstractNum>
  <w:abstractNum w:abstractNumId="88">
    <w:nsid w:val="2C6E4AFD"/>
    <w:multiLevelType w:val="hybridMultilevel"/>
    <w:lvl w:ilvl="0">
      <w:lvlJc w:val="left"/>
      <w:lvlText w:val="4"/>
      <w:numFmt w:val="bullet"/>
      <w:start w:val="1"/>
    </w:lvl>
  </w:abstractNum>
  <w:abstractNum w:abstractNumId="89">
    <w:nsid w:val="17A1B582"/>
    <w:multiLevelType w:val="hybridMultilevel"/>
    <w:lvl w:ilvl="0">
      <w:lvlJc w:val="left"/>
      <w:lvlText w:val="5"/>
      <w:numFmt w:val="bullet"/>
      <w:start w:val="1"/>
    </w:lvl>
  </w:abstractNum>
  <w:abstractNum w:abstractNumId="90">
    <w:nsid w:val="4DF72E4E"/>
    <w:multiLevelType w:val="hybridMultilevel"/>
    <w:lvl w:ilvl="0">
      <w:lvlJc w:val="left"/>
      <w:lvlText w:val="6"/>
      <w:numFmt w:val="bullet"/>
      <w:start w:val="1"/>
    </w:lvl>
  </w:abstractNum>
  <w:abstractNum w:abstractNumId="91">
    <w:nsid w:val="5046B5A9"/>
    <w:multiLevelType w:val="hybridMultilevel"/>
    <w:lvl w:ilvl="0">
      <w:lvlJc w:val="left"/>
      <w:lvlText w:val="7"/>
      <w:numFmt w:val="bullet"/>
      <w:start w:val="1"/>
    </w:lvl>
  </w:abstractNum>
  <w:abstractNum w:abstractNumId="92">
    <w:nsid w:val="5D888A08"/>
    <w:multiLevelType w:val="hybridMultilevel"/>
    <w:lvl w:ilvl="0">
      <w:lvlJc w:val="left"/>
      <w:lvlText w:val="8"/>
      <w:numFmt w:val="bullet"/>
      <w:start w:val="1"/>
    </w:lvl>
  </w:abstractNum>
  <w:abstractNum w:abstractNumId="93">
    <w:nsid w:val="2A082C70"/>
    <w:multiLevelType w:val="hybridMultilevel"/>
    <w:lvl w:ilvl="0">
      <w:lvlJc w:val="left"/>
      <w:lvlText w:val="9"/>
      <w:numFmt w:val="bullet"/>
      <w:start w:val="1"/>
    </w:lvl>
  </w:abstractNum>
  <w:abstractNum w:abstractNumId="94">
    <w:nsid w:val="5EC6AFD4"/>
    <w:multiLevelType w:val="hybridMultilevel"/>
    <w:lvl w:ilvl="0">
      <w:lvlJc w:val="left"/>
      <w:lvlText w:val="%1"/>
      <w:numFmt w:val="decimal"/>
      <w:start w:val="10"/>
    </w:lvl>
  </w:abstractNum>
  <w:abstractNum w:abstractNumId="95">
    <w:nsid w:val="19E21BB2"/>
    <w:multiLevelType w:val="hybridMultilevel"/>
    <w:lvl w:ilvl="0">
      <w:lvlJc w:val="left"/>
      <w:lvlText w:val="•"/>
      <w:numFmt w:val="bullet"/>
      <w:start w:val="1"/>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1)"/>
      <w:numFmt w:val="decimal"/>
      <w:start w:val="1"/>
    </w:lvl>
  </w:abstractNum>
  <w:abstractNum w:abstractNumId="98">
    <w:nsid w:val="5399C654"/>
    <w:multiLevelType w:val="hybridMultilevel"/>
    <w:lvl w:ilvl="0">
      <w:lvlJc w:val="left"/>
      <w:lvlText w:val="(%1)"/>
      <w:numFmt w:val="decimal"/>
      <w:start w:val="1"/>
    </w:lvl>
  </w:abstractNum>
  <w:abstractNum w:abstractNumId="99">
    <w:nsid w:val="20EE1348"/>
    <w:multiLevelType w:val="hybridMultilevel"/>
    <w:lvl w:ilvl="0">
      <w:lvlJc w:val="left"/>
      <w:lvlText w:val="(%1)"/>
      <w:numFmt w:val="lowerRoman"/>
      <w:start w:val="10"/>
    </w:lvl>
  </w:abstractNum>
  <w:abstractNum w:abstractNumId="100">
    <w:nsid w:val="4427069A"/>
    <w:multiLevelType w:val="hybridMultilevel"/>
    <w:lvl w:ilvl="0">
      <w:lvlJc w:val="left"/>
      <w:lvlText w:val="(%1)"/>
      <w:numFmt w:val="lowerRoman"/>
      <w:start w:val="12"/>
    </w:lvl>
  </w:abstractNum>
  <w:abstractNum w:abstractNumId="101">
    <w:nsid w:val="B37E80A"/>
    <w:multiLevelType w:val="hybridMultilevel"/>
    <w:lvl w:ilvl="0">
      <w:lvlJc w:val="left"/>
      <w:lvlText w:val="(%1)"/>
      <w:numFmt w:val="lowerRoman"/>
      <w:start w:val="1"/>
    </w:lvl>
  </w:abstractNum>
  <w:abstractNum w:abstractNumId="102">
    <w:nsid w:val="2157F6BC"/>
    <w:multiLevelType w:val="hybridMultilevel"/>
    <w:lvl w:ilvl="0">
      <w:lvlJc w:val="left"/>
      <w:lvlText w:val="(%1)"/>
      <w:numFmt w:val="lowerRoman"/>
      <w:start w:val="3"/>
    </w:lvl>
  </w:abstractNum>
  <w:abstractNum w:abstractNumId="103">
    <w:nsid w:val="704E1DD5"/>
    <w:multiLevelType w:val="hybridMultilevel"/>
    <w:lvl w:ilvl="0">
      <w:lvlJc w:val="left"/>
      <w:lvlText w:val="1"/>
      <w:numFmt w:val="bullet"/>
      <w:start w:val="1"/>
    </w:lvl>
  </w:abstractNum>
  <w:abstractNum w:abstractNumId="104">
    <w:nsid w:val="57D2F10E"/>
    <w:multiLevelType w:val="hybridMultilevel"/>
    <w:lvl w:ilvl="0">
      <w:lvlJc w:val="left"/>
      <w:lvlText w:val="2"/>
      <w:numFmt w:val="bullet"/>
      <w:start w:val="1"/>
    </w:lvl>
  </w:abstractNum>
  <w:abstractNum w:abstractNumId="105">
    <w:nsid w:val="BFFAE18"/>
    <w:multiLevelType w:val="hybridMultilevel"/>
    <w:lvl w:ilvl="0">
      <w:lvlJc w:val="left"/>
      <w:lvlText w:val="3"/>
      <w:numFmt w:val="bullet"/>
      <w:start w:val="1"/>
    </w:lvl>
  </w:abstractNum>
  <w:abstractNum w:abstractNumId="106">
    <w:nsid w:val="E3E47A8"/>
    <w:multiLevelType w:val="hybridMultilevel"/>
    <w:lvl w:ilvl="0">
      <w:lvlJc w:val="left"/>
      <w:lvlText w:val="4"/>
      <w:numFmt w:val="bullet"/>
      <w:start w:val="1"/>
    </w:lvl>
  </w:abstractNum>
  <w:abstractNum w:abstractNumId="107">
    <w:nsid w:val="2E48F044"/>
    <w:multiLevelType w:val="hybridMultilevel"/>
    <w:lvl w:ilvl="0">
      <w:lvlJc w:val="left"/>
      <w:lvlText w:val="5"/>
      <w:numFmt w:val="bullet"/>
      <w:start w:val="1"/>
    </w:lvl>
  </w:abstractNum>
  <w:abstractNum w:abstractNumId="108">
    <w:nsid w:val="49D0FEAC"/>
    <w:multiLevelType w:val="hybridMultilevel"/>
    <w:lvl w:ilvl="0">
      <w:lvlJc w:val="left"/>
      <w:lvlText w:val="%1."/>
      <w:numFmt w:val="decimal"/>
      <w:start w:val="1"/>
    </w:lvl>
  </w:abstractNum>
  <w:abstractNum w:abstractNumId="109">
    <w:nsid w:val="4BEE5A5B"/>
    <w:multiLevelType w:val="hybridMultilevel"/>
    <w:lvl w:ilvl="0">
      <w:lvlJc w:val="left"/>
      <w:lvlText w:val="%1."/>
      <w:numFmt w:val="decimal"/>
      <w:start w:val="5"/>
    </w:lvl>
  </w:abstractNum>
  <w:abstractNum w:abstractNumId="110">
    <w:nsid w:val="5551B9F3"/>
    <w:multiLevelType w:val="hybridMultilevel"/>
    <w:lvl w:ilvl="0">
      <w:lvlJc w:val="left"/>
      <w:lvlText w:val="(%1)"/>
      <w:numFmt w:val="lowerLetter"/>
      <w:start w:val="2"/>
    </w:lvl>
  </w:abstractNum>
  <w:abstractNum w:abstractNumId="111">
    <w:nsid w:val="24F6AB8E"/>
    <w:multiLevelType w:val="hybridMultilevel"/>
    <w:lvl w:ilvl="0">
      <w:lvlJc w:val="left"/>
      <w:lvlText w:val="(%1)"/>
      <w:numFmt w:val="lowerRoman"/>
      <w:start w:val="2"/>
    </w:lvl>
  </w:abstractNum>
  <w:abstractNum w:abstractNumId="112">
    <w:nsid w:val="634C574C"/>
    <w:multiLevelType w:val="hybridMultilevel"/>
    <w:lvl w:ilvl="0">
      <w:lvlJc w:val="left"/>
      <w:lvlText w:val="(%1)"/>
      <w:numFmt w:val="lowerRoman"/>
      <w:start w:val="11"/>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1"/>
      <w:numFmt w:val="lowerLetter"/>
      <w:start w:val="1"/>
    </w:lvl>
    <w:lvl w:ilvl="1">
      <w:lvlJc w:val="left"/>
      <w:lvlText w:val="(%2)"/>
      <w:numFmt w:val="lowerRoman"/>
      <w:start w:val="1"/>
    </w:lvl>
  </w:abstractNum>
  <w:abstractNum w:abstractNumId="115">
    <w:nsid w:val="1849C29B"/>
    <w:multiLevelType w:val="hybridMultilevel"/>
    <w:lvl w:ilvl="0">
      <w:lvlJc w:val="left"/>
      <w:lvlText w:val="(%1)"/>
      <w:numFmt w:val="lowerLetter"/>
      <w:start w:val="2"/>
    </w:lvl>
    <w:lvl w:ilvl="1">
      <w:lvlJc w:val="left"/>
      <w:lvlText w:val="(%2)"/>
      <w:numFmt w:val="lowerRoman"/>
      <w:start w:val="1"/>
    </w:lvl>
  </w:abstractNum>
  <w:abstractNum w:abstractNumId="116">
    <w:nsid w:val="7DFF9D09"/>
    <w:multiLevelType w:val="hybridMultilevel"/>
    <w:lvl w:ilvl="0">
      <w:lvlJc w:val="left"/>
      <w:lvlText w:val="(%1)"/>
      <w:numFmt w:val="lowerLetter"/>
      <w:start w:val="3"/>
    </w:lvl>
  </w:abstractNum>
  <w:abstractNum w:abstractNumId="117">
    <w:nsid w:val="754342"/>
    <w:multiLevelType w:val="hybridMultilevel"/>
    <w:lvl w:ilvl="0">
      <w:lvlJc w:val="left"/>
      <w:lvlText w:val="(%1)"/>
      <w:numFmt w:val="lowerLetter"/>
      <w:start w:val="7"/>
    </w:lvl>
    <w:lvl w:ilvl="1">
      <w:lvlJc w:val="left"/>
      <w:lvlText w:val="(%2)"/>
      <w:numFmt w:val="lowerRoman"/>
      <w:start w:val="1"/>
    </w:lvl>
  </w:abstractNum>
  <w:abstractNum w:abstractNumId="118">
    <w:nsid w:val="69E7F3E5"/>
    <w:multiLevelType w:val="hybridMultilevel"/>
    <w:lvl w:ilvl="0">
      <w:lvlJc w:val="left"/>
      <w:lvlText w:val="(%1)"/>
      <w:numFmt w:val="lowerLetter"/>
      <w:start w:val="1"/>
    </w:lvl>
    <w:lvl w:ilvl="1">
      <w:lvlJc w:val="left"/>
      <w:lvlText w:val="(%2)"/>
      <w:numFmt w:val="lowerRoman"/>
      <w:start w:val="1"/>
    </w:lvl>
  </w:abstractNum>
  <w:abstractNum w:abstractNumId="119">
    <w:nsid w:val="2A6DE806"/>
    <w:multiLevelType w:val="hybridMultilevel"/>
    <w:lvl w:ilvl="0">
      <w:lvlJc w:val="left"/>
      <w:lvlText w:val="(%1)"/>
      <w:numFmt w:val="lowerLetter"/>
      <w:start w:val="3"/>
    </w:lvl>
    <w:lvl w:ilvl="1">
      <w:lvlJc w:val="left"/>
      <w:lvlText w:val="(%2)"/>
      <w:numFmt w:val="lowerRoman"/>
      <w:start w:val="1"/>
    </w:lvl>
  </w:abstractNum>
  <w:abstractNum w:abstractNumId="120">
    <w:nsid w:val="1816F8C4"/>
    <w:multiLevelType w:val="hybridMultilevel"/>
    <w:lvl w:ilvl="0">
      <w:lvlJc w:val="left"/>
      <w:lvlText w:val="(%1)"/>
      <w:numFmt w:val="lowerLetter"/>
      <w:start w:val="1"/>
    </w:lvl>
  </w:abstractNum>
  <w:abstractNum w:abstractNumId="121">
    <w:nsid w:val="37DF2233"/>
    <w:multiLevelType w:val="hybridMultilevel"/>
    <w:lvl w:ilvl="0">
      <w:lvlJc w:val="left"/>
      <w:lvlText w:val="(%1)"/>
      <w:numFmt w:val="lowerLetter"/>
      <w:start w:val="2"/>
    </w:lvl>
  </w:abstractNum>
  <w:abstractNum w:abstractNumId="122">
    <w:nsid w:val="7AB49DAF"/>
    <w:multiLevelType w:val="hybridMultilevel"/>
    <w:lvl w:ilvl="0">
      <w:lvlJc w:val="left"/>
      <w:lvlText w:val="(%1)"/>
      <w:numFmt w:val="lowerLetter"/>
      <w:start w:val="8"/>
    </w:lvl>
  </w:abstractNum>
  <w:abstractNum w:abstractNumId="123">
    <w:nsid w:val="759F82CD"/>
    <w:multiLevelType w:val="hybridMultilevel"/>
    <w:lvl w:ilvl="0">
      <w:lvlJc w:val="left"/>
      <w:lvlText w:val="(%1)"/>
      <w:numFmt w:val="lowerLetter"/>
      <w:start w:val="1"/>
    </w:lvl>
  </w:abstractNum>
  <w:abstractNum w:abstractNumId="124">
    <w:nsid w:val="61E74EA3"/>
    <w:multiLevelType w:val="hybridMultilevel"/>
    <w:lvl w:ilvl="0">
      <w:lvlJc w:val="left"/>
      <w:lvlText w:val="(%1)"/>
      <w:numFmt w:val="lowerLetter"/>
      <w:start w:val="5"/>
    </w:lvl>
    <w:lvl w:ilvl="1">
      <w:lvlJc w:val="left"/>
      <w:lvlText w:val="(%2)"/>
      <w:numFmt w:val="lowerRoman"/>
      <w:start w:val="1"/>
    </w:lvl>
  </w:abstractNum>
  <w:abstractNum w:abstractNumId="125">
    <w:nsid w:val="597B4D84"/>
    <w:multiLevelType w:val="hybridMultilevel"/>
    <w:lvl w:ilvl="0">
      <w:lvlJc w:val="left"/>
      <w:lvlText w:val="(%1)"/>
      <w:numFmt w:val="lowerLetter"/>
      <w:start w:val="6"/>
    </w:lvl>
  </w:abstractNum>
  <w:abstractNum w:abstractNumId="126">
    <w:nsid w:val="F819E7F"/>
    <w:multiLevelType w:val="hybridMultilevel"/>
    <w:lvl w:ilvl="0">
      <w:lvlJc w:val="left"/>
      <w:lvlText w:val="(%1)"/>
      <w:numFmt w:val="lowerLetter"/>
      <w:start w:val="1"/>
    </w:lvl>
  </w:abstractNum>
  <w:abstractNum w:abstractNumId="127">
    <w:nsid w:val="57C7D42D"/>
    <w:multiLevelType w:val="hybridMultilevel"/>
    <w:lvl w:ilvl="0">
      <w:lvlJc w:val="left"/>
      <w:lvlText w:val="(%1)"/>
      <w:numFmt w:val="lowerLetter"/>
      <w:start w:val="1"/>
    </w:lvl>
  </w:abstractNum>
  <w:abstractNum w:abstractNumId="128">
    <w:nsid w:val="312167AD"/>
    <w:multiLevelType w:val="hybridMultilevel"/>
    <w:lvl w:ilvl="0">
      <w:lvlJc w:val="left"/>
      <w:lvlText w:val="(%1)"/>
      <w:numFmt w:val="lowerLetter"/>
      <w:start w:val="2"/>
    </w:lvl>
    <w:lvl w:ilvl="1">
      <w:lvlJc w:val="left"/>
      <w:lvlText w:val="(%2)"/>
      <w:numFmt w:val="lowerRoman"/>
      <w:start w:val="1"/>
    </w:lvl>
  </w:abstractNum>
  <w:abstractNum w:abstractNumId="129">
    <w:nsid w:val="631B64D4"/>
    <w:multiLevelType w:val="hybridMultilevel"/>
    <w:lvl w:ilvl="0">
      <w:lvlJc w:val="left"/>
      <w:lvlText w:val="(%1)"/>
      <w:numFmt w:val="lowerRoman"/>
      <w:start w:val="4"/>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Letter"/>
      <w:start w:val="4"/>
    </w:lvl>
  </w:abstractNum>
  <w:abstractNum w:abstractNumId="132">
    <w:nsid w:val="6E534CDE"/>
    <w:multiLevelType w:val="hybridMultilevel"/>
    <w:lvl w:ilvl="0">
      <w:lvlJc w:val="left"/>
      <w:lvlText w:val="(%1)"/>
      <w:numFmt w:val="lowerLetter"/>
      <w:start w:val="1"/>
    </w:lvl>
  </w:abstractNum>
  <w:abstractNum w:abstractNumId="133">
    <w:nsid w:val="1A0DDE32"/>
    <w:multiLevelType w:val="hybridMultilevel"/>
    <w:lvl w:ilvl="0">
      <w:lvlJc w:val="left"/>
      <w:lvlText w:val="(%1)"/>
      <w:numFmt w:val="lowerLetter"/>
      <w:start w:val="1"/>
    </w:lvl>
  </w:abstractNum>
  <w:abstractNum w:abstractNumId="134">
    <w:nsid w:val="65968C1C"/>
    <w:multiLevelType w:val="hybridMultilevel"/>
    <w:lvl w:ilvl="0">
      <w:lvlJc w:val="left"/>
      <w:lvlText w:val="%1."/>
      <w:numFmt w:val="decimal"/>
      <w:start w:val="1"/>
    </w:lvl>
  </w:abstractNum>
  <w:abstractNum w:abstractNumId="135">
    <w:nsid w:val="46263DEC"/>
    <w:multiLevelType w:val="hybridMultilevel"/>
    <w:lvl w:ilvl="0">
      <w:lvlJc w:val="left"/>
      <w:lvlText w:val="%1."/>
      <w:numFmt w:val="decimal"/>
      <w:start w:val="2"/>
    </w:lvl>
    <w:lvl w:ilvl="1">
      <w:lvlJc w:val="left"/>
      <w:lvlText w:val="(%2)"/>
      <w:numFmt w:val="lowerLetter"/>
      <w:start w:val="1"/>
    </w:lvl>
  </w:abstractNum>
  <w:abstractNum w:abstractNumId="136">
    <w:nsid w:val="260D8C4A"/>
    <w:multiLevelType w:val="hybridMultilevel"/>
    <w:lvl w:ilvl="0">
      <w:lvlJc w:val="left"/>
      <w:lvlText w:val="(%1)"/>
      <w:numFmt w:val="lowerLetter"/>
      <w:start w:val="5"/>
    </w:lvl>
  </w:abstractNum>
  <w:abstractNum w:abstractNumId="137">
    <w:nsid w:val="73D4D3C4"/>
    <w:multiLevelType w:val="hybridMultilevel"/>
    <w:lvl w:ilvl="0">
      <w:lvlJc w:val="left"/>
      <w:lvlText w:val="(%1)"/>
      <w:numFmt w:val="lowerLetter"/>
      <w:start w:val="16"/>
    </w:lvl>
  </w:abstractNum>
  <w:abstractNum w:abstractNumId="138">
    <w:nsid w:val="746F2E30"/>
    <w:multiLevelType w:val="hybridMultilevel"/>
    <w:lvl w:ilvl="0">
      <w:lvlJc w:val="left"/>
      <w:lvlText w:val="%1"/>
      <w:numFmt w:val="decimal"/>
      <w:start w:val="1"/>
    </w:lvl>
    <w:lvl w:ilvl="1">
      <w:lvlJc w:val="left"/>
      <w:lvlText w:val="(%2)"/>
      <w:numFmt w:val="lowerLetter"/>
      <w:start w:val="20"/>
    </w:lvl>
    <w:lvl w:ilvl="2">
      <w:lvlJc w:val="left"/>
      <w:lvlText w:val="%3"/>
      <w:numFmt w:val="lowerRoman"/>
      <w:start w:val="1"/>
    </w:lvl>
  </w:abstractNum>
  <w:abstractNum w:abstractNumId="139">
    <w:nsid w:val="6FDE8A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0">
    <w:nsid w:val="3FC32E20"/>
    <w:multiLevelType w:val="hybridMultilevel"/>
    <w:lvl w:ilvl="0">
      <w:lvlJc w:val="left"/>
      <w:lvlText w:val="(%1)"/>
      <w:numFmt w:val="lowerLetter"/>
      <w:start w:val="2"/>
    </w:lvl>
  </w:abstractNum>
  <w:abstractNum w:abstractNumId="141">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14D5368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3">
    <w:nsid w:val="230F856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4">
    <w:nsid w:val="6EAA85FB"/>
    <w:multiLevelType w:val="hybridMultilevel"/>
    <w:lvl w:ilvl="0">
      <w:lvlJc w:val="left"/>
      <w:lvlText w:val="%1."/>
      <w:numFmt w:val="decimal"/>
      <w:start w:val="5"/>
    </w:lvl>
  </w:abstractNum>
  <w:abstractNum w:abstractNumId="145">
    <w:nsid w:val="3F06ECB2"/>
    <w:multiLevelType w:val="hybridMultilevel"/>
    <w:lvl w:ilvl="0">
      <w:lvlJc w:val="left"/>
      <w:lvlText w:val="(%1)"/>
      <w:numFmt w:val="lowerLetter"/>
      <w:start w:val="1"/>
    </w:lvl>
    <w:lvl w:ilvl="1">
      <w:lvlJc w:val="left"/>
      <w:lvlText w:val="(%2)"/>
      <w:numFmt w:val="lowerLetter"/>
      <w:start w:val="9"/>
    </w:lvl>
  </w:abstractNum>
  <w:abstractNum w:abstractNumId="146">
    <w:nsid w:val="3B594807"/>
    <w:multiLevelType w:val="hybridMultilevel"/>
    <w:lvl w:ilvl="0">
      <w:lvlJc w:val="left"/>
      <w:lvlText w:val="(%1)"/>
      <w:numFmt w:val="lowerRoman"/>
      <w:start w:val="2"/>
    </w:lvl>
  </w:abstractNum>
  <w:abstractNum w:abstractNumId="147">
    <w:nsid w:val="6CAA2304"/>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148">
    <w:nsid w:val="3F7C2FF4"/>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9">
    <w:nsid w:val="25413B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50">
    <w:nsid w:val="17180B0B"/>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51">
    <w:nsid w:val="579328B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52">
    <w:nsid w:val="5D205E20"/>
    <w:multiLevelType w:val="hybridMultilevel"/>
    <w:lvl w:ilvl="0">
      <w:lvlJc w:val="left"/>
      <w:lvlText w:val="%1."/>
      <w:numFmt w:val="decimal"/>
      <w:start w:val="7"/>
    </w:lvl>
    <w:lvl w:ilvl="1">
      <w:lvlJc w:val="left"/>
      <w:lvlText w:val="(%2)"/>
      <w:numFmt w:val="lowerLetter"/>
      <w:start w:val="1"/>
    </w:lvl>
  </w:abstractNum>
  <w:abstractNum w:abstractNumId="153">
    <w:nsid w:val="11CCA8BA"/>
    <w:multiLevelType w:val="hybridMultilevel"/>
    <w:lvl w:ilvl="0">
      <w:lvlJc w:val="left"/>
      <w:lvlText w:val="(%1)"/>
      <w:numFmt w:val="lowerLetter"/>
      <w:start w:val="3"/>
    </w:lvl>
  </w:abstractNum>
  <w:abstractNum w:abstractNumId="154">
    <w:nsid w:val="4D32AB86"/>
    <w:multiLevelType w:val="hybridMultilevel"/>
    <w:lvl w:ilvl="0">
      <w:lvlJc w:val="left"/>
      <w:lvlText w:val="%1"/>
      <w:numFmt w:val="decimal"/>
      <w:start w:val="1"/>
    </w:lvl>
    <w:lvl w:ilvl="1">
      <w:lvlJc w:val="left"/>
      <w:lvlText w:val="(%2)"/>
      <w:numFmt w:val="lowerLetter"/>
      <w:start w:val="8"/>
    </w:lvl>
  </w:abstractNum>
  <w:abstractNum w:abstractNumId="155">
    <w:nsid w:val="3F07ACC3"/>
    <w:multiLevelType w:val="hybridMultilevel"/>
    <w:lvl w:ilvl="0">
      <w:lvlJc w:val="left"/>
      <w:lvlText w:val="%1."/>
      <w:numFmt w:val="decimal"/>
      <w:start w:val="8"/>
    </w:lvl>
    <w:lvl w:ilvl="1">
      <w:lvlJc w:val="left"/>
      <w:lvlText w:val="%2"/>
      <w:numFmt w:val="lowerLetter"/>
      <w:start w:val="1"/>
    </w:lvl>
  </w:abstractNum>
  <w:abstractNum w:abstractNumId="156">
    <w:nsid w:val="6B47F63E"/>
    <w:multiLevelType w:val="hybridMultilevel"/>
    <w:lvl w:ilvl="0">
      <w:lvlJc w:val="left"/>
      <w:lvlText w:val="%1."/>
      <w:numFmt w:val="decimal"/>
      <w:start w:val="9"/>
    </w:lvl>
  </w:abstractNum>
  <w:abstractNum w:abstractNumId="157">
    <w:nsid w:val="5CB44A05"/>
    <w:multiLevelType w:val="hybridMultilevel"/>
    <w:lvl w:ilvl="0">
      <w:lvlJc w:val="left"/>
      <w:lvlText w:val="(%1)"/>
      <w:numFmt w:val="decimal"/>
      <w:start w:val="919"/>
    </w:lvl>
  </w:abstractNum>
  <w:abstractNum w:abstractNumId="158">
    <w:nsid w:val="16CF80F1"/>
    <w:multiLevelType w:val="hybridMultilevel"/>
    <w:lvl w:ilvl="0">
      <w:lvlJc w:val="left"/>
      <w:lvlText w:val="%1."/>
      <w:numFmt w:val="decimal"/>
      <w:start w:val="2"/>
    </w:lvl>
  </w:abstractNum>
  <w:abstractNum w:abstractNumId="159">
    <w:nsid w:val="1C695DEC"/>
    <w:multiLevelType w:val="hybridMultilevel"/>
    <w:lvl w:ilvl="0">
      <w:lvlJc w:val="left"/>
      <w:lvlText w:val="%1."/>
      <w:numFmt w:val="decimal"/>
      <w:start w:val="3"/>
    </w:lvl>
  </w:abstractNum>
  <w:abstractNum w:abstractNumId="160">
    <w:nsid w:val="3FCFAED9"/>
    <w:multiLevelType w:val="hybridMultilevel"/>
    <w:lvl w:ilvl="0">
      <w:lvlJc w:val="left"/>
      <w:lvlText w:val="%1."/>
      <w:numFmt w:val="decimal"/>
      <w:start w:val="4"/>
    </w:lvl>
  </w:abstractNum>
  <w:abstractNum w:abstractNumId="161">
    <w:nsid w:val="F856867"/>
    <w:multiLevelType w:val="hybridMultilevel"/>
    <w:lvl w:ilvl="0">
      <w:lvlJc w:val="left"/>
      <w:lvlText w:val="%1."/>
      <w:numFmt w:val="decimal"/>
      <w:start w:val="5"/>
    </w:lvl>
  </w:abstractNum>
  <w:abstractNum w:abstractNumId="162">
    <w:nsid w:val="11B1CC33"/>
    <w:multiLevelType w:val="hybridMultilevel"/>
    <w:lvl w:ilvl="0">
      <w:lvlJc w:val="left"/>
      <w:lvlText w:val="%1."/>
      <w:numFmt w:val="decimal"/>
      <w:start w:val="6"/>
    </w:lvl>
  </w:abstractNum>
  <w:abstractNum w:abstractNumId="163">
    <w:nsid w:val="2E22FBB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2019-12-06T04:10:58Z</dcterms:created>
  <dcterms:modified xsi:type="dcterms:W3CDTF">2019-12-06T04:10:58Z</dcterms:modified>
</cp:coreProperties>
</file>